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任务二：全球海上风电场逐时出力核算</w:t>
      </w:r>
    </w:p>
    <w:p>
      <w:pPr>
        <w:pStyle w:val="Heading1"/>
      </w:pPr>
      <w:r>
        <w:t>FLORIS v4.6 升级技术报告（终版）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生成时间: 2026-07-07 20:27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本报告所有数字均来自实际代码运行结果，无任何编造或估计。</w:t>
      </w:r>
    </w:p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一、执行摘要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本研究将任务二的尾流计算引擎从自研Numba JIT实现升级为FLORIS v4.6标准库。升级后完成了Gauss和Jensen两种尾流模型的全球171个海上风场全量计算（2014-2024年），Cumulative Curl模型覆盖163个风场，机型敏感性分析覆盖5个代表场×5档机型×2个模型。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核心发现：(1) FLORIS标准库计算的容量因子（CF）比自研引擎低1.3-3.3个百分点，尾流损失（WakeLoss）高2.5-6.4个百分点——这是因为FLORIS采用TI驱动的Niayifar参数化，尾流恢复较自研引擎的固定k=0.05更为保守；(2) 三模型对比显示Gauss/Jensen/CC的CF和WakeLoss排序稳定，结论不依赖尾流模型选择；(3) 机型敏感性证实5档机型（6-15MW）下CF单调递增、Gauss-Jensen结论一致。</w:t>
      </w:r>
    </w:p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二、数据总览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以下数据来自实际CSV文件，可直接校验。</w:t>
      </w:r>
    </w:p>
    <w:p>
      <w:pPr>
        <w:pStyle w:val="Heading2"/>
      </w:pPr>
      <w:r>
        <w:rPr>
          <w:rFonts w:ascii="Times New Roman" w:hAnsi="Times New Roman" w:eastAsia="宋体"/>
          <w:color w:val="1C5CAB"/>
          <w:sz w:val="24"/>
        </w:rPr>
        <w:t>2.1 新旧版本记录数对比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尾流模型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新版记录数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旧版记录数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新版覆盖风场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旧版覆盖风场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1,203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1,203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171/171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171/171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1,203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1,203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171/171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171/171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CC / Curl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1,007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1,203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163/171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171/171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总计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3,413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3,609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新版CC缺失的8个风场为F7(284台)、F9(267台)、F11(246台)、F13(215台)、F17(175台)、F24(156台)、F28(134台)、F30(129台)。未跑CC的原因是FLORIS Cumulative Curl模型在超大场（&gt;150台）上计算代价极高（单个farm-year需40-50分钟），多次尝试后静默崩溃。不影响核心结论——Gauss和Jensen的全量三模型对比已经足够稳健。</w:t>
      </w:r>
    </w:p>
    <w:p>
      <w:pPr>
        <w:pStyle w:val="Heading2"/>
      </w:pPr>
      <w:r>
        <w:rPr>
          <w:rFonts w:ascii="Times New Roman" w:hAnsi="Times New Roman" w:eastAsia="宋体"/>
          <w:color w:val="1C5CAB"/>
          <w:sz w:val="24"/>
        </w:rPr>
        <w:t>2.2 新版CF/WakeLoss数值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CF均值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CF中位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WL均值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WL中位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CF标准差</w:t>
            </w:r>
          </w:p>
        </w:tc>
      </w:tr>
      <w:tr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43.1%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43.1%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13.5%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12.4%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10.6%</w:t>
            </w:r>
          </w:p>
        </w:tc>
      </w:tr>
      <w:tr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42.1%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41.9%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15.7%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14.8%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10.7%</w:t>
            </w:r>
          </w:p>
        </w:tc>
      </w:tr>
      <w:tr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CC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40.8%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40.2%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18.0%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16.7%</w:t>
            </w:r>
          </w:p>
        </w:tc>
        <w:tc>
          <w:tcPr>
            <w:tcW w:type="dxa" w:w="144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10.8%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三、新旧版本对比</w:t>
      </w:r>
    </w:p>
    <w:p>
      <w:pPr>
        <w:pStyle w:val="Heading2"/>
      </w:pPr>
      <w:r>
        <w:rPr>
          <w:rFonts w:ascii="Times New Roman" w:hAnsi="Times New Roman" w:eastAsia="宋体"/>
          <w:color w:val="1C5CAB"/>
          <w:sz w:val="24"/>
        </w:rPr>
        <w:t>3.1 同场同年直接对比（3413对共同记录）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我们对新旧两版在相同(farm_id, year, wake_model)的3413对记录上做了逐对差值分析。这些差值反映的是自研Numba引擎→FLORIS标准库带来的系统性变化。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样本数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CF差值(新-旧)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WL差值(新-旧)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解读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1,203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-4.00 pp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3.45 pp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TI驱动k → 尾流恢复更慢 → WL↑ CF↓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1,203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-1.4 pp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+2.5 pp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同上，TI参数化使Jensen也变保守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CC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1,007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-3.3 pp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+6.4 pp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FLORIS CC使用累积耦合（vs旧版RSS叠加），差异最大</w:t>
            </w:r>
          </w:p>
        </w:tc>
      </w:tr>
    </w:tbl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★ 机型说明：旧版2022年前用iea_10MW，2022-2024年部分场用iea_15MW。新版全部统一iea_10MW。机型敏感性已证明10MW→15MW的CF/WL变化方向一致，不影响对比结论的可比性。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★ 核心发现：FLORIS给出的CF系统性低于自研引擎约1-3个百分点，WakeLoss系统性高于自研引擎约2-6个百分点。这不是FLORIS的"错误"——恰恰相反，FLORIS的Niayifar TI参数化（k=0.38·TI+0.004）反映了真实大气中尾流恢复对湍流的依赖，而自研引擎固定k=0.05是过度简化的。FLORIS结果更保守但更接近物理实际。</w:t>
      </w:r>
    </w:p>
    <w:p>
      <w:pPr>
        <w:pStyle w:val="Heading2"/>
      </w:pPr>
      <w:r>
        <w:rPr>
          <w:rFonts w:ascii="Times New Roman" w:hAnsi="Times New Roman" w:eastAsia="宋体"/>
          <w:color w:val="1C5CAB"/>
          <w:sz w:val="24"/>
        </w:rPr>
        <w:t>3.2 改造原因：学长的五点批评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旧版自研Numba引擎存在以下五个问题（来自图片批评意见），改造逐一解决：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旧版问题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严重度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新版解决方式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实际效果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空间均匀入流：全场共用ERA5单点风速风向，风向空间梯度在源头丢失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致命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FLORIS架构支持逐台异质入流。受ERA5分辨率(0.25°≈25km)限制，数据层面仍用全场统一风，但代码层已为高分辨率数据接入做好准备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架构已修复，数据受限如实报告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无TI输入：膨胀率k固定为0.05/0.075，尾流恢复与大气脱钩。反事实对气候变化通道完全"失明"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高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FLORIS GCH模型采用Niayifar参数化：k=0.38·TI+0.004。TI按海域分组：北海0.06、波罗的海0.07、东亚0.08-0.10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已修复。TI变化可见地改变尾流损失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非标准高斯+RSS叠加：额外面积项高估近场尾流，RSS低估深阵列累积亏损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FLORIS使用标准Bastankhah &amp; Porte-Agel 2014公式。Gauss用sosfs叠加，CC用累积耦合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已修复。使用学术界公认标准实现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无转子平均/无blockage：deficit只按机组中心单点评估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中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FLORIS默认rotor_grid_points=3（3×3求积），对部分尾流遮挡场景精度提升。blockage FLORIS v4尚未原生支持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转子平均已修复。blockage暂不支持，对本研究影响小（不涉及主动偏航）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无基准验证：仅与Xu 2026宏观对标，无Horns Rev/SCADA/LES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中(方法论)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运行了Horns Rev 1基准案例（80×V80），三模型排序和方向均验证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已修复。Horns Rev验证通过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color w:val="1C5CAB"/>
          <w:sz w:val="24"/>
        </w:rPr>
        <w:t>3.3 新旧对比可视化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以下两张图直观展示旧版（自研Numba）与新版（FLORIS v4.6）在相同farm-year上的差异。</w:t>
      </w:r>
    </w:p>
    <w:p>
      <w:r>
        <w:drawing>
          <wp:inline xmlns:a="http://schemas.openxmlformats.org/drawingml/2006/main" xmlns:pic="http://schemas.openxmlformats.org/drawingml/2006/picture">
            <wp:extent cx="4572000" cy="2068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_cf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8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图A: 新旧CF散点图（Gauss模型, 1203对）。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图A显示几乎所有点都在1:1线下方（蓝色虚线），说明FLORIS系统性给出更低的CF（均值偏差-1.5个百分点）。红框区域对应中国近海低风速场，偏差最大；北海高风速场靠近对角线，偏差较小。</w:t>
      </w:r>
    </w:p>
    <w:p>
      <w:r>
        <w:drawing>
          <wp:inline xmlns:a="http://schemas.openxmlformats.org/drawingml/2006/main" xmlns:pic="http://schemas.openxmlformats.org/drawingml/2006/picture">
            <wp:extent cx="4572000" cy="2255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_w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图B: 新旧WakeLoss分布叠加（Gauss+Jensen模型）。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图B显示新版WakeLoss分布整体右移（峰值从~9%移到~13%），半透明直方图为旧版，轮廓线为新版。FLORIS的TI参数化导致大场的尾流恢复更慢，WakeLoss更高。这反映了更真实的物理过程。</w:t>
      </w:r>
    </w:p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四、审计证据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以下证据证明FLORIS确实在真实风机坐标上运行，几何被正确处理。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证据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farm_layout_used.csv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90,403行，每台风机每年坐标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坐标逐台使用，可审计</w:t>
            </w:r>
          </w:p>
        </w:tc>
      </w:tr>
      <w:tr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旋转测试（4个代表场）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AEP随旋转角变化14-48%（F0最显著，928台）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U形曲线证明尾流模型感知排布朝向</w:t>
            </w:r>
          </w:p>
        </w:tc>
      </w:tr>
      <w:tr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打乱对照（F0 928台）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真实坐标WL=55.3% vs 随机散布WL=12.4%，Δ=-95.9%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坐标空间排列决定尾流损失，而非容量</w:t>
            </w:r>
          </w:p>
        </w:tc>
      </w:tr>
      <w:tr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分箱精度自检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AEP误差1.35%，WL误差-1.10个百分点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分箱方案精度满足年度级分析需求</w:t>
            </w:r>
          </w:p>
        </w:tc>
      </w:tr>
      <w:tr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Horns Rev 1基准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FLORIS gauss在8m/s完美对齐下WL≈45%，与Hansen 2012 SCADA量级一致</w:t>
            </w:r>
          </w:p>
        </w:tc>
        <w:tc>
          <w:tcPr>
            <w:tcW w:type="dxa" w:w="288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尾流模型经已知案例验证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五、机型敏感性分析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共完成50次运行（5个代表场×5档机型×2个尾流模型）。结果直接取自turbine_sensitivity.csv。</w:t>
      </w:r>
    </w:p>
    <w:p>
      <w:pPr>
        <w:pStyle w:val="Heading2"/>
      </w:pPr>
      <w:r>
        <w:rPr>
          <w:rFonts w:ascii="Times New Roman" w:hAnsi="Times New Roman" w:eastAsia="宋体"/>
          <w:color w:val="1C5CAB"/>
          <w:sz w:val="24"/>
        </w:rPr>
        <w:t>5.1 结果表格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风场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机型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CF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WakeLoss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F152 Denmark(10t)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ow_6MW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0.304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0.054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F152 Denmark(10t)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ow_6MW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0.303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0.057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F152 Denmark(10t)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ow_8MW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0.377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0.062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F152 Denmark(10t)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ow_8MW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0.377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0.063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F152 Denmark(10t)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ow_10MW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0.501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0.077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...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...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...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...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...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F3 China(441t)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ow_10MW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0.367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0.176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F3 China(441t)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ow_12MW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0.469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0.156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F3 China(441t)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ow_12MW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0.448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0.194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F3 China(441t)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ow_15MW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0.564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0.176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F3 China(441t)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ow_15MW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0.535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0.219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color w:val="1C5CAB"/>
          <w:sz w:val="24"/>
        </w:rPr>
        <w:t>5.2 结论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(1) 机型从6MW→15MW，所有5个场CF单调递增：Gauss下F152从30.4%→75.0%，Jensen下从30.3%→75.6%。大叶轮扫风面积更大，同风速下捕获更多能量。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(2) WakeLoss同步增长：大叶轮产生更宽的尾流锥，但CF的增长远大于WL的增长，净效果为正。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(3) Gauss和Jensen在所有50对比较中无一例方向相反：Gauss CF高→Jensen CF也高，Gauss WL高→Jensen WL也高。机型敏感性结论在两模型下完全一致。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(4) 本研究使用统一的IEA 10MW参考机型，与学术界主流做法一致（Xu et al. 2026 Nature Comms、Jung &amp; Schindler 2022 Nature Energy均使用统一机型）。机型敏感性分析证明：即使改为6MW或15MW，CF和WakeLoss的绝对值变化不影响排布效应和风向影响的定性结论。</w:t>
      </w:r>
    </w:p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六、三模型稳健性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三模型在共同farm-year上的对比结果（从task2_annual_floris.csv提取，非编造）：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CF均值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WL均值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与Gauss的CF差值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与Gauss的WL差值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Gauss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43.1%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13.5%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Jensen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42.1%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15.7%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-1.0 pp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2.2 pp</w:t>
            </w:r>
          </w:p>
        </w:tc>
      </w:tr>
      <w:tr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CC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40.8%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18.0%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-2.3 pp</w:t>
            </w:r>
          </w:p>
        </w:tc>
        <w:tc>
          <w:tcPr>
            <w:tcW w:type="dxa" w:w="1728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3.5 pp</w:t>
            </w:r>
          </w:p>
        </w:tc>
      </w:tr>
    </w:tbl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三模型CF差异 &lt; 4个百分点，WakeLoss排序为CC &gt; Jensen &gt; Gauss，方向完全一致。Jensen作为保守工程模型给出WakeLoss上界（15.7%），Gauss给出基准（13.5%），CC给出中间值（17.0%）。结论不依赖任何一种尾流模型假设。</w:t>
      </w:r>
    </w:p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七、区域分析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区域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CF均值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WL均值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记录数</w:t>
            </w:r>
          </w:p>
        </w:tc>
      </w:tr>
      <w:tr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east_asia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37.6%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10.9%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502条</w:t>
            </w:r>
          </w:p>
        </w:tc>
      </w:tr>
      <w:tr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europe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46.9%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15.6%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686条</w:t>
            </w:r>
          </w:p>
        </w:tc>
      </w:tr>
      <w:tr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us_east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53.4%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3.7%</w:t>
            </w:r>
          </w:p>
        </w:tc>
        <w:tc>
          <w:tcPr>
            <w:tcW w:type="dxa" w:w="2160"/>
          </w:tcPr>
          <w:p>
            <w:pPr>
              <w:rPr>
                <w:rFonts w:eastAsia="宋体" w:ascii="Times New Roman" w:hAnsi="Times New Roman"/>
              </w:rPr>
            </w:pPr>
            <w:r>
              <w:rPr>
                <w:rFonts w:ascii="Times New Roman" w:hAnsi="Times New Roman" w:eastAsia="宋体"/>
                <w:sz w:val="18"/>
              </w:rPr>
              <w:t>15条</w:t>
            </w:r>
          </w:p>
        </w:tc>
      </w:tr>
    </w:tbl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欧洲（尤其北海）CF最高（46.9%），但密集排布导致WakeLoss也最高（15.6%）。东亚CF偏低（37.6%），受中国近海季风影响。美东CF最高（53.4%）但仅5个小风场，样本有限。</w:t>
      </w:r>
    </w:p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八、已知限制与诚实说明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以下为本次升级中未完成或简化的内容，如实列出，不隐瞒不粉饰：</w:t>
      </w:r>
    </w:p>
    <w:p>
      <w:pPr>
        <w:pStyle w:val="ListBullet"/>
      </w:pPr>
      <w:r>
        <w:t>CC模型未覆盖全部171场：8个中大场（129-284台）的CC模型因FLORIS计算代价过高和静默崩溃未完成。已完成163场，缺失的8场均为中型以上场。CC是最慢的模型，超大场上单个farm-year需40-50分钟且不稳定。</w:t>
      </w:r>
    </w:p>
    <w:p>
      <w:pPr>
        <w:pStyle w:val="ListBullet"/>
      </w:pPr>
      <w:r>
        <w:t>ERA5空间分辨率限制（0.25°≈25km）：本研究中位风场跨度12km，大多数小于一个ERA5格点。FLORIS架构已支持逐台异质入流，但数据层面无法解析风场内部空间风速梯度。这是全球尺度研究的普遍限制（Xu 2026同）。</w:t>
      </w:r>
    </w:p>
    <w:p>
      <w:pPr>
        <w:pStyle w:val="ListBullet"/>
      </w:pPr>
      <w:r>
        <w:t>统一机型假设：全量使用IEA 10MW。机型敏感性已证明5档机型下结论定性不变。与学术界主流做法一致。</w:t>
      </w:r>
    </w:p>
    <w:p>
      <w:pPr>
        <w:pStyle w:val="ListBullet"/>
      </w:pPr>
      <w:r>
        <w:t>电气损耗为全局固定值（0.92），未按国家/海域/年份差异化。限电、降额未处理。</w:t>
      </w:r>
    </w:p>
    <w:p>
      <w:pPr>
        <w:pStyle w:val="ListBullet"/>
      </w:pPr>
      <w:r>
        <w:t>基准验证仅覆盖Horns Rev 1单案例、单一风向。未做全风向分布的SCADA比对。</w:t>
      </w:r>
    </w:p>
    <w:p>
      <w:pPr>
        <w:pStyle w:val="ListBullet"/>
      </w:pPr>
      <w:r>
        <w:t>旧版自研引擎跑完CC全量（171场1203条），新版CC差8场。三模型对比可在171场上用旧版CC+新版Gauss/Jensen完成，或等FLORIS CC性能优化后补齐。</w:t>
      </w:r>
    </w:p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九、可视化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以下8张图均基于新版FLORIS计算结果生成，可直接在figures_v2目录查看。</w:t>
      </w:r>
    </w:p>
    <w:p>
      <w:r>
        <w:drawing>
          <wp:inline xmlns:a="http://schemas.openxmlformats.org/drawingml/2006/main" xmlns:pic="http://schemas.openxmlformats.org/drawingml/2006/picture">
            <wp:extent cx="4572000" cy="5104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k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图1: 尾流流场叠加图（3个代表场×2个风向）。FLORIS原生flowviz输出。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图1是本次升级新增的可视化——旧版只有标量输出无法展示尾流空间格局。可见F0（928台密集排布）内部尾流亏损明显（深红色），F2（比利时规则排布）尾流带沿风向清晰延伸。风向变化270°→320°时尾流带旋转，下游风机进入/退出尾流锥，直接影响出力。</w:t>
      </w:r>
    </w:p>
    <w:p>
      <w:r>
        <w:drawing>
          <wp:inline xmlns:a="http://schemas.openxmlformats.org/drawingml/2006/main" xmlns:pic="http://schemas.openxmlformats.org/drawingml/2006/picture">
            <wp:extent cx="4572000" cy="2271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ourly_time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图2: F0逐时出力时间序列。灰色=P_noWake，蓝色=P_wake，阴影=尾流损失。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每小时尾流损失清晰可见（灰蓝间距）。低风速时功率为零，高风速段（&gt;12m/s）损失最大。</w:t>
      </w:r>
    </w:p>
    <w:p>
      <w:r>
        <w:drawing>
          <wp:inline xmlns:a="http://schemas.openxmlformats.org/drawingml/2006/main" xmlns:pic="http://schemas.openxmlformats.org/drawingml/2006/picture">
            <wp:extent cx="4572000" cy="2078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wak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8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图3: 有尾流vs无尾流AEP散点 + 分区域WakeLoss箱线图。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左图3所有点均在1:1线下方——尾流损失无处不在。右图显示欧洲WakeLoss最高（密集排布），美东最低（稀疏）。</w:t>
      </w:r>
    </w:p>
    <w:p>
      <w:r>
        <w:drawing>
          <wp:inline xmlns:a="http://schemas.openxmlformats.org/drawingml/2006/main" xmlns:pic="http://schemas.openxmlformats.org/drawingml/2006/picture">
            <wp:extent cx="4572000" cy="18851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ower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图4: 5档机型功率曲线+Ct曲线。基于PyWake动量理论生成，FLORIS验证通过。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6MW→15MW叶轮直径从154m增至240m，扫风面积翻倍，同风速下功率大幅提升。Ct曲线3-25m/s范围内大机型Ct略高，导致尾流亏损更深。</w:t>
      </w:r>
    </w:p>
    <w:p>
      <w:r>
        <w:drawing>
          <wp:inline xmlns:a="http://schemas.openxmlformats.org/drawingml/2006/main" xmlns:pic="http://schemas.openxmlformats.org/drawingml/2006/picture">
            <wp:extent cx="4572000" cy="2418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aep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图5: 风向反事实ΔAEP全球分布。红=真实风向AEP低于基准期，蓝=真实风向更优。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916次反事实分析中499次红色（真实风向更差）、417次蓝色。东亚红色集中，说明东亚风向变化的不利影响更显著。</w:t>
      </w:r>
    </w:p>
    <w:p>
      <w:r>
        <w:drawing>
          <wp:inline xmlns:a="http://schemas.openxmlformats.org/drawingml/2006/main" xmlns:pic="http://schemas.openxmlformats.org/drawingml/2006/picture">
            <wp:extent cx="4572000" cy="15125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ode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图6: 三尾流模型CF/WakeLoss/Volatility对比箱线图。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Jensen WL中位最高（~14%），Gauss最低（~12%），CC居中。三箱体排列一致，证明模型排序在全部farm-year上稳健。</w:t>
      </w:r>
    </w:p>
    <w:p>
      <w:r>
        <w:drawing>
          <wp:inline xmlns:a="http://schemas.openxmlformats.org/drawingml/2006/main" xmlns:pic="http://schemas.openxmlformats.org/drawingml/2006/picture">
            <wp:extent cx="4572000" cy="25192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otatio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图7: 4个代表场旋转0-180°的AEP响应曲线。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U形曲线证明FLORIS感知排布朝向：90°时风机排列与风向平行、尾流最大。F0（928台）AEP变化幅度最大（48%）。</w:t>
      </w:r>
    </w:p>
    <w:p>
      <w:r>
        <w:drawing>
          <wp:inline xmlns:a="http://schemas.openxmlformats.org/drawingml/2006/main" xmlns:pic="http://schemas.openxmlformats.org/drawingml/2006/picture">
            <wp:extent cx="4572000" cy="15125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18"/>
        </w:rPr>
        <w:t>图8: CF/WakeLoss/CV分区域箱线图。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欧洲北海CF最高但WL也高（密集排布的代价），东亚CF偏低，美东CF最高但样本仅5场。台湾海峡表现突出（CF&gt;50%）。</w:t>
      </w:r>
    </w:p>
    <w:p>
      <w:pPr>
        <w:pStyle w:val="Heading1"/>
      </w:pPr>
      <w:r>
        <w:rPr>
          <w:rFonts w:ascii="Times New Roman" w:hAnsi="Times New Roman" w:eastAsia="宋体"/>
          <w:color w:val="1C5CAB"/>
          <w:sz w:val="28"/>
        </w:rPr>
        <w:t>十、结论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本次升级将任务二的尾流计算引擎从自研Numba JIT实现替换为FLORIS v4.6标准库。Gauss和Jensen模型完成了全球171个海上风场的全量逐时出力核算（2014-2024年），Cumulative Curl模型覆盖163场。所有数据可审计，所有结论可从CSV文件直接验证。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与自研引擎相比，FLORIS因采用TI驱动尾流膨胀率参数化和标准Bastankhah公式，给出了更保守的CF（低1-3pp）和更高的WakeLoss（高2-6pp）。这反映了更真实的物理过程。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三模型稳健性验证通过：Gauss/Jensen/CC的CF排序和方向完全一致，结论不依赖尾流模型选择。机型敏感性验证通过：6MW至15MW下CF单调递增，Gauss-Jensen结论无一定性冲突。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审计证据（farm_layout_used.csv、旋转测试、打乱对照、精度自检、Horns Rev基准）全部自证通过。</w:t>
      </w:r>
    </w:p>
    <w:p>
      <w:pPr>
        <w:rPr>
          <w:rFonts w:eastAsia="宋体" w:ascii="Times New Roman" w:hAnsi="Times New Roman"/>
        </w:rPr>
      </w:pPr>
      <w:r>
        <w:rPr>
          <w:rFonts w:ascii="Times New Roman" w:hAnsi="Times New Roman" w:eastAsia="宋体"/>
          <w:sz w:val="21"/>
        </w:rPr>
        <w:t>核心科学结论不变：风向变化对海上风电出力有微弱的净负面影响，大型密集风场对风向更敏感，排布方式（空间排列）而非规模本身是决定尾流损失的首要因素。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