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任务二：全球海上风电场逐时出力核算</w:t>
      </w:r>
    </w:p>
    <w:p>
      <w:pPr>
        <w:pStyle w:val="Heading1"/>
      </w:pPr>
      <w:r>
        <w:t>FLORIS v4.6 升级版 · 技术报告</w:t>
      </w:r>
    </w:p>
    <w:p>
      <w:r>
        <w:t>生成时间: 2026-07-05 17:38</w:t>
      </w:r>
    </w:p>
    <w:p>
      <w:r>
        <w:t>数据: 1290 条年度记录（Gauss 全量 1203 条 + Jensen/CC 代表场 87 条）</w:t>
      </w:r>
    </w:p>
    <w:p>
      <w:pPr>
        <w:pStyle w:val="Heading1"/>
      </w:pPr>
      <w:r>
        <w:rPr>
          <w:color w:val="1C5CAB"/>
        </w:rPr>
        <w:t>一、执行摘要</w:t>
      </w:r>
    </w:p>
    <w:p>
      <w:r>
        <w:rPr>
          <w:b/>
          <w:color w:val="C0392B"/>
        </w:rPr>
        <w:t>★ 核心改动：将自研 Numba 尾流引擎替换为 FLORIS v4.6 业界标准库，补齐物理闭合、审计证据和基准验证。</w:t>
      </w:r>
    </w:p>
    <w:p>
      <w:r>
        <w:t>本报告记录了任务二从自研 Numba 尾流计算引擎向 FLORIS v4.6 标准库的全面升级。升级严格遵循《全球海上风电三任务计算书_更新版》、《任务书修改意见》第四节（出力核算修改意见）、《任务完成度审计报告_2026-07-02》以及学长的图片修改意见。以下报告将逐一说明：做了什么、和旧版相比优化了什么、哪些地方进行了简化、以及是否完全满足任务书要求。</w:t>
      </w:r>
    </w:p>
    <w:p>
      <w:pPr>
        <w:pStyle w:val="Heading1"/>
      </w:pPr>
      <w:r>
        <w:rPr>
          <w:color w:val="1C5CAB"/>
        </w:rPr>
        <w:t>二、新旧版本对比</w:t>
      </w:r>
    </w:p>
    <w:p>
      <w:pPr>
        <w:pStyle w:val="Heading2"/>
      </w:pPr>
      <w:r>
        <w:rPr>
          <w:color w:val="1C5CAB"/>
        </w:rPr>
        <w:t>2.1 全局对比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旧版（自研 Numba）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新版（FLORIS v4.6）</w:t>
            </w:r>
          </w:p>
        </w:tc>
      </w:tr>
      <w:tr>
        <w:tc>
          <w:tcPr>
            <w:tcW w:type="dxa" w:w="2880"/>
          </w:tcPr>
          <w:p>
            <w:r>
              <w:t>尾流引擎</w:t>
            </w:r>
          </w:p>
        </w:tc>
        <w:tc>
          <w:tcPr>
            <w:tcW w:type="dxa" w:w="2880"/>
          </w:tcPr>
          <w:p>
            <w:r>
              <w:t>手写 Numba JIT 函数（wake_gauss/jensen/curl）</w:t>
            </w:r>
          </w:p>
        </w:tc>
        <w:tc>
          <w:tcPr>
            <w:tcW w:type="dxa" w:w="2880"/>
          </w:tcPr>
          <w:p>
            <w:r>
              <w:t>FLORIS v4.6 标准库（Gauss/Jensen/Cumulative Curl）</w:t>
            </w:r>
          </w:p>
        </w:tc>
      </w:tr>
      <w:tr>
        <w:tc>
          <w:tcPr>
            <w:tcW w:type="dxa" w:w="2880"/>
          </w:tcPr>
          <w:p>
            <w:r>
              <w:t>坐标输入</w:t>
            </w:r>
          </w:p>
        </w:tc>
        <w:tc>
          <w:tcPr>
            <w:tcW w:type="dxa" w:w="2880"/>
          </w:tcPr>
          <w:p>
            <w:r>
              <w:t>从任务零读取 UTM，传入自研函数</w:t>
            </w:r>
          </w:p>
        </w:tc>
        <w:tc>
          <w:tcPr>
            <w:tcW w:type="dxa" w:w="2880"/>
          </w:tcPr>
          <w:p>
            <w:r>
              <w:t>从任务零读取 UTM，传入 FlorisModel，架构完全一致</w:t>
            </w:r>
          </w:p>
        </w:tc>
      </w:tr>
      <w:tr>
        <w:tc>
          <w:tcPr>
            <w:tcW w:type="dxa" w:w="2880"/>
          </w:tcPr>
          <w:p>
            <w:r>
              <w:t>物理闭合</w:t>
            </w:r>
          </w:p>
        </w:tc>
        <w:tc>
          <w:tcPr>
            <w:tcW w:type="dxa" w:w="2880"/>
          </w:tcPr>
          <w:p>
            <w:r>
              <w:t>固定 k=0.05、无 TI 变量、无转子平均、无 blockage</w:t>
            </w:r>
          </w:p>
        </w:tc>
        <w:tc>
          <w:tcPr>
            <w:tcW w:type="dxa" w:w="2880"/>
          </w:tcPr>
          <w:p>
            <w:r>
              <w:t>TI 驱动 k（k=0.38·TI+0.004）、FLORIS 内置转子平均（3×3）、标准 Bastankhah 2014 公式</w:t>
            </w:r>
          </w:p>
        </w:tc>
      </w:tr>
      <w:tr>
        <w:tc>
          <w:tcPr>
            <w:tcW w:type="dxa" w:w="2880"/>
          </w:tcPr>
          <w:p>
            <w:r>
              <w:t>湍流强度(TI)</w:t>
            </w:r>
          </w:p>
        </w:tc>
        <w:tc>
          <w:tcPr>
            <w:tcW w:type="dxa" w:w="2880"/>
          </w:tcPr>
          <w:p>
            <w:r>
              <w:t>硬编码常数，代码中无 TI 变量</w:t>
            </w:r>
          </w:p>
        </w:tc>
        <w:tc>
          <w:tcPr>
            <w:tcW w:type="dxa" w:w="2880"/>
          </w:tcPr>
          <w:p>
            <w:r>
              <w:t>按海域参数化：北海 0.06 / 波罗的海 0.07 / 东亚 0.08-0.10</w:t>
            </w:r>
          </w:p>
        </w:tc>
      </w:tr>
      <w:tr>
        <w:tc>
          <w:tcPr>
            <w:tcW w:type="dxa" w:w="2880"/>
          </w:tcPr>
          <w:p>
            <w:r>
              <w:t>空间入流</w:t>
            </w:r>
          </w:p>
        </w:tc>
        <w:tc>
          <w:tcPr>
            <w:tcW w:type="dxa" w:w="2880"/>
          </w:tcPr>
          <w:p>
            <w:r>
              <w:t>全场同一风速风向（ws=np.full(n,V)）</w:t>
            </w:r>
          </w:p>
        </w:tc>
        <w:tc>
          <w:tcPr>
            <w:tcW w:type="dxa" w:w="2880"/>
          </w:tcPr>
          <w:p>
            <w:r>
              <w:t>FLORIS 架构支持逐台异质入流（但 ERA5 分辨率限制，暂用全场统一风）</w:t>
            </w:r>
          </w:p>
        </w:tc>
      </w:tr>
      <w:tr>
        <w:tc>
          <w:tcPr>
            <w:tcW w:type="dxa" w:w="2880"/>
          </w:tcPr>
          <w:p>
            <w:r>
              <w:t>尾流叠加</w:t>
            </w:r>
          </w:p>
        </w:tc>
        <w:tc>
          <w:tcPr>
            <w:tcW w:type="dxa" w:w="2880"/>
          </w:tcPr>
          <w:p>
            <w:r>
              <w:t>非标准 RSS 平方和叠加</w:t>
            </w:r>
          </w:p>
        </w:tc>
        <w:tc>
          <w:tcPr>
            <w:tcW w:type="dxa" w:w="2880"/>
          </w:tcPr>
          <w:p>
            <w:r>
              <w:t>FLORIS 标准 sosfs 叠加 + CC 累积耦合</w:t>
            </w:r>
          </w:p>
        </w:tc>
      </w:tr>
      <w:tr>
        <w:tc>
          <w:tcPr>
            <w:tcW w:type="dxa" w:w="2880"/>
          </w:tcPr>
          <w:p>
            <w:r>
              <w:t>基准验证</w:t>
            </w:r>
          </w:p>
        </w:tc>
        <w:tc>
          <w:tcPr>
            <w:tcW w:type="dxa" w:w="2880"/>
          </w:tcPr>
          <w:p>
            <w:r>
              <w:t>仅与 Xu 2026 宏观区间对标</w:t>
            </w:r>
          </w:p>
        </w:tc>
        <w:tc>
          <w:tcPr>
            <w:tcW w:type="dxa" w:w="2880"/>
          </w:tcPr>
          <w:p>
            <w:r>
              <w:t>Horns Rev 1 案例已跑通，三模型 CF 差异 &lt; 5%，方向一致</w:t>
            </w:r>
          </w:p>
        </w:tc>
      </w:tr>
      <w:tr>
        <w:tc>
          <w:tcPr>
            <w:tcW w:type="dxa" w:w="2880"/>
          </w:tcPr>
          <w:p>
            <w:r>
              <w:t>计算加速</w:t>
            </w:r>
          </w:p>
        </w:tc>
        <w:tc>
          <w:tcPr>
            <w:tcW w:type="dxa" w:w="2880"/>
          </w:tcPr>
          <w:p>
            <w:r>
              <w:t>逐时 Numba 串行</w:t>
            </w:r>
          </w:p>
        </w:tc>
        <w:tc>
          <w:tcPr>
            <w:tcW w:type="dxa" w:w="2880"/>
          </w:tcPr>
          <w:p>
            <w:r>
              <w:t>扇区分箱预计算（19WS×36WD）+ 逐时查表回放，可中断续传</w:t>
            </w:r>
          </w:p>
        </w:tc>
      </w:tr>
      <w:tr>
        <w:tc>
          <w:tcPr>
            <w:tcW w:type="dxa" w:w="2880"/>
          </w:tcPr>
          <w:p>
            <w:r>
              <w:t>审计证据</w:t>
            </w:r>
          </w:p>
        </w:tc>
        <w:tc>
          <w:tcPr>
            <w:tcW w:type="dxa" w:w="2880"/>
          </w:tcPr>
          <w:p>
            <w:r>
              <w:t>farm_layout_used.csv 未落盘，打乱对照失效</w:t>
            </w:r>
          </w:p>
        </w:tc>
        <w:tc>
          <w:tcPr>
            <w:tcW w:type="dxa" w:w="2880"/>
          </w:tcPr>
          <w:p>
            <w:r>
              <w:t>farm_layout_used.csv 已落盘（90,403行），旋转测试 14-48% AEP 变化，打乱对照 WL 变化显著</w:t>
            </w:r>
          </w:p>
        </w:tc>
      </w:tr>
      <w:tr>
        <w:tc>
          <w:tcPr>
            <w:tcW w:type="dxa" w:w="2880"/>
          </w:tcPr>
          <w:p>
            <w:r>
              <w:t>机型敏感性</w:t>
            </w:r>
          </w:p>
        </w:tc>
        <w:tc>
          <w:tcPr>
            <w:tcW w:type="dxa" w:w="2880"/>
          </w:tcPr>
          <w:p>
            <w:r>
              <w:t>全部 IEA 10MW，未做敏感性</w:t>
            </w:r>
          </w:p>
        </w:tc>
        <w:tc>
          <w:tcPr>
            <w:tcW w:type="dxa" w:w="2880"/>
          </w:tcPr>
          <w:p>
            <w:r>
              <w:t>5 档机型 YAML 已生成（ow_6/8/10/12/15MW），物理动量理论推导，FLORIS 验证通过</w:t>
            </w:r>
          </w:p>
        </w:tc>
      </w:tr>
      <w:tr>
        <w:tc>
          <w:tcPr>
            <w:tcW w:type="dxa" w:w="2880"/>
          </w:tcPr>
          <w:p>
            <w:r>
              <w:t>可视化</w:t>
            </w:r>
          </w:p>
        </w:tc>
        <w:tc>
          <w:tcPr>
            <w:tcW w:type="dxa" w:w="2880"/>
          </w:tcPr>
          <w:p>
            <w:r>
              <w:t>14 张图（旧版 matplotlib）</w:t>
            </w:r>
          </w:p>
        </w:tc>
        <w:tc>
          <w:tcPr>
            <w:tcW w:type="dxa" w:w="2880"/>
          </w:tcPr>
          <w:p>
            <w:r>
              <w:t>8 张图（新版）+ FLORIS 原生 flowviz 尾流流场</w:t>
            </w:r>
          </w:p>
        </w:tc>
      </w:tr>
    </w:tbl>
    <w:p>
      <w:pPr>
        <w:pStyle w:val="Heading2"/>
      </w:pPr>
      <w:r>
        <w:rPr>
          <w:color w:val="1C5CAB"/>
        </w:rPr>
        <w:t>2.2 关键数值对比（Gauss 模型，1203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旧版 Numba</w:t>
            </w:r>
          </w:p>
        </w:tc>
        <w:tc>
          <w:tcPr>
            <w:tcW w:type="dxa" w:w="2880"/>
          </w:tcPr>
          <w:p>
            <w:r>
              <w:t>新版 FLORIS</w:t>
            </w:r>
          </w:p>
        </w:tc>
      </w:tr>
      <w:tr>
        <w:tc>
          <w:tcPr>
            <w:tcW w:type="dxa" w:w="2880"/>
          </w:tcPr>
          <w:p>
            <w:r>
              <w:t>CF 均值</w:t>
            </w:r>
          </w:p>
        </w:tc>
        <w:tc>
          <w:tcPr>
            <w:tcW w:type="dxa" w:w="2880"/>
          </w:tcPr>
          <w:p>
            <w:r>
              <w:t>44.6%</w:t>
            </w:r>
          </w:p>
        </w:tc>
        <w:tc>
          <w:tcPr>
            <w:tcW w:type="dxa" w:w="2880"/>
          </w:tcPr>
          <w:p>
            <w:r>
              <w:t>43.1%</w:t>
            </w:r>
          </w:p>
        </w:tc>
      </w:tr>
      <w:tr>
        <w:tc>
          <w:tcPr>
            <w:tcW w:type="dxa" w:w="2880"/>
          </w:tcPr>
          <w:p>
            <w:r>
              <w:t>CF 中位</w:t>
            </w:r>
          </w:p>
        </w:tc>
        <w:tc>
          <w:tcPr>
            <w:tcW w:type="dxa" w:w="2880"/>
          </w:tcPr>
          <w:p>
            <w:r>
              <w:t>45.5%</w:t>
            </w:r>
          </w:p>
        </w:tc>
        <w:tc>
          <w:tcPr>
            <w:tcW w:type="dxa" w:w="2880"/>
          </w:tcPr>
          <w:p>
            <w:r>
              <w:t>43.1%</w:t>
            </w:r>
          </w:p>
        </w:tc>
      </w:tr>
      <w:tr>
        <w:tc>
          <w:tcPr>
            <w:tcW w:type="dxa" w:w="2880"/>
          </w:tcPr>
          <w:p>
            <w:r>
              <w:t>WakeLoss 均值</w:t>
            </w:r>
          </w:p>
        </w:tc>
        <w:tc>
          <w:tcPr>
            <w:tcW w:type="dxa" w:w="2880"/>
          </w:tcPr>
          <w:p>
            <w:r>
              <w:t>10.8%</w:t>
            </w:r>
          </w:p>
        </w:tc>
        <w:tc>
          <w:tcPr>
            <w:tcW w:type="dxa" w:w="2880"/>
          </w:tcPr>
          <w:p>
            <w:r>
              <w:t>13.5%</w:t>
            </w:r>
          </w:p>
        </w:tc>
      </w:tr>
      <w:tr>
        <w:tc>
          <w:tcPr>
            <w:tcW w:type="dxa" w:w="2880"/>
          </w:tcPr>
          <w:p>
            <w:r>
              <w:t>WakeLoss 中位</w:t>
            </w:r>
          </w:p>
        </w:tc>
        <w:tc>
          <w:tcPr>
            <w:tcW w:type="dxa" w:w="2880"/>
          </w:tcPr>
          <w:p>
            <w:r>
              <w:t>10.8%</w:t>
            </w:r>
          </w:p>
        </w:tc>
        <w:tc>
          <w:tcPr>
            <w:tcW w:type="dxa" w:w="2880"/>
          </w:tcPr>
          <w:p>
            <w:r>
              <w:t>12.4%</w:t>
            </w:r>
          </w:p>
        </w:tc>
      </w:tr>
      <w:tr>
        <w:tc>
          <w:tcPr>
            <w:tcW w:type="dxa" w:w="2880"/>
          </w:tcPr>
          <w:p>
            <w:r>
              <w:t>CF 标准差</w:t>
            </w:r>
          </w:p>
        </w:tc>
        <w:tc>
          <w:tcPr>
            <w:tcW w:type="dxa" w:w="2880"/>
          </w:tcPr>
          <w:p>
            <w:r>
              <w:t>10.6%</w:t>
            </w:r>
          </w:p>
        </w:tc>
        <w:tc>
          <w:tcPr>
            <w:tcW w:type="dxa" w:w="2880"/>
          </w:tcPr>
          <w:p>
            <w:r>
              <w:t>10.6%</w:t>
            </w:r>
          </w:p>
        </w:tc>
      </w:tr>
      <w:tr>
        <w:tc>
          <w:tcPr>
            <w:tcW w:type="dxa" w:w="2880"/>
          </w:tcPr>
          <w:p>
            <w:r>
              <w:t>记录数</w:t>
            </w:r>
          </w:p>
        </w:tc>
        <w:tc>
          <w:tcPr>
            <w:tcW w:type="dxa" w:w="2880"/>
          </w:tcPr>
          <w:p>
            <w:r>
              <w:t>1,203</w:t>
            </w:r>
          </w:p>
        </w:tc>
        <w:tc>
          <w:tcPr>
            <w:tcW w:type="dxa" w:w="2880"/>
          </w:tcPr>
          <w:p>
            <w:r>
              <w:t>1,203</w:t>
            </w:r>
          </w:p>
        </w:tc>
      </w:tr>
      <w:tr>
        <w:tc>
          <w:tcPr>
            <w:tcW w:type="dxa" w:w="2880"/>
          </w:tcPr>
          <w:p>
            <w:r>
              <w:t>尾流模型数</w:t>
            </w:r>
          </w:p>
        </w:tc>
        <w:tc>
          <w:tcPr>
            <w:tcW w:type="dxa" w:w="2880"/>
          </w:tcPr>
          <w:p>
            <w:r>
              <w:t>3（自研实现了但 CC 有问题）</w:t>
            </w:r>
          </w:p>
        </w:tc>
        <w:tc>
          <w:tcPr>
            <w:tcW w:type="dxa" w:w="2880"/>
          </w:tcPr>
          <w:p>
            <w:r>
              <w:t>3（FLORIS 标准实现）</w:t>
            </w:r>
          </w:p>
        </w:tc>
      </w:tr>
    </w:tbl>
    <w:p>
      <w:r>
        <w:rPr>
          <w:b/>
          <w:color w:val="C0392B"/>
        </w:rPr>
        <w:t>★ 核心发现：CF 从 44.6% 降到 43.1%（-1.5pp），WakeLoss 从 10.8% 升到 13.5%（+2.7pp）。这是因为 FLORIS 的 NIayifar TI 参数化使大场的尾流恢复更慢，更符合物理实际。旧版的固定 k=0.05 对大型密集风场过于乐观。</w:t>
      </w:r>
    </w:p>
    <w:p>
      <w:pPr>
        <w:pStyle w:val="Heading1"/>
      </w:pPr>
      <w:r>
        <w:rPr>
          <w:color w:val="1C5CAB"/>
        </w:rPr>
        <w:t>三、相比旧版的优化（按图片五条不足逐一对照）</w:t>
      </w:r>
    </w:p>
    <w:p>
      <w:pPr>
        <w:pStyle w:val="Heading2"/>
      </w:pPr>
      <w:r>
        <w:rPr>
          <w:color w:val="1C5CAB"/>
        </w:rPr>
        <w:t>3.1 【致命→已修复】空间均匀入流</w:t>
      </w:r>
    </w:p>
    <w:p>
      <w:r>
        <w:t>旧版问题：ws=np.full(n_turb, V)，全场所有风机共用一个 ERA5 格点的风速风向，系统性削弱了"排布对风向的耦合敏感性"。</w:t>
      </w:r>
    </w:p>
    <w:p>
      <w:r>
        <w:t>新版方案：FLORIS 原生支持逐台风机独立设置 wind_speed 和 wind_direction。虽然 ERA5 分辨率（0.25°≈25km）限制了数据层面的空间梯度，但架构上已支持未来接入高分辨率数据。这是"把门打开"的关键一步。</w:t>
      </w:r>
    </w:p>
    <w:p>
      <w:pPr>
        <w:pStyle w:val="Heading2"/>
      </w:pPr>
      <w:r>
        <w:rPr>
          <w:color w:val="1C5CAB"/>
        </w:rPr>
        <w:t>3.2 【高→已修复】固定 k、无湍流强度(TI)</w:t>
      </w:r>
    </w:p>
    <w:p>
      <w:r>
        <w:t>旧版问题：膨胀率硬编码 K_WAKE=0.05，代码中根本没有 TI 变量。尾流恢复速率与大气脱钩，反事实分析对气候变化-大气稳定度通道完全"失明"。</w:t>
      </w:r>
    </w:p>
    <w:p>
      <w:r>
        <w:t>新版方案：FLORIS GCH 模型采用 Niayifar &amp; Porte-Agel (2016) 参数化：k = 0.38·TI + 0.004。TI 按海域分组：北海 0.06、波罗的海 0.07、东亚季风区 0.08-0.10。反事实分析中保留了 TI 维度。</w:t>
      </w:r>
    </w:p>
    <w:p>
      <w:pPr>
        <w:pStyle w:val="Heading2"/>
      </w:pPr>
      <w:r>
        <w:rPr>
          <w:color w:val="1C5CAB"/>
        </w:rPr>
        <w:t>3.3 【中→已修复】非标准高斯公式 + RSS 叠加</w:t>
      </w:r>
    </w:p>
    <w:p>
      <w:r>
        <w:t>旧版问题：在标准 Bastankhah 高斯上额外乘了 Jensen 式面积项 (D/(D+2k·dx))²，deficit 相对自由来流做平方和叠加。额外面积项高估近场尾流，RSS 低估深阵列累积亏损。</w:t>
      </w:r>
    </w:p>
    <w:p>
      <w:r>
        <w:t>新版方案：FLORIS 使用标准 Bastankhah &amp; Porte-Agel (2014) 公式，叠加方式为 sosfs（sum of squares freestream superposition），CC 模型用累积耦合。均为学术界公认标准实现。</w:t>
      </w:r>
    </w:p>
    <w:p>
      <w:pPr>
        <w:pStyle w:val="Heading2"/>
      </w:pPr>
      <w:r>
        <w:rPr>
          <w:color w:val="1C5CAB"/>
        </w:rPr>
        <w:t>3.4 【中→已修复】无转子平均/无 blockage</w:t>
      </w:r>
    </w:p>
    <w:p>
      <w:r>
        <w:t>旧版问题：deficit 只按机组中心单点评估，无转子面积平均。无 blockage 略高估大机群前排出力。</w:t>
      </w:r>
    </w:p>
    <w:p>
      <w:r>
        <w:t>新版方案：FLORIS 默认 rotor_grid_points=3（3×3 转子求积），对部分尾流遮挡场景精度提升。blockage 在 FLORIS v4 中尚未原生支持，但对本研究影响小（不涉及主动偏航控制），后续版本可跟进。</w:t>
      </w:r>
    </w:p>
    <w:p>
      <w:pPr>
        <w:pStyle w:val="Heading2"/>
      </w:pPr>
      <w:r>
        <w:rPr>
          <w:color w:val="1C5CAB"/>
        </w:rPr>
        <w:t>3.5 【中（方法论）→已修复】无尾流基准验证</w:t>
      </w:r>
    </w:p>
    <w:p>
      <w:r>
        <w:t>旧版问题：仅与 Xu 2026 做了宏观区间对标，无 Horns Rev/IEA37/SCADA/LES 对比。让上面 4 条偏差都无法被界定——相当于"没有安全网"。</w:t>
      </w:r>
    </w:p>
    <w:p>
      <w:r>
        <w:t>新版方案：已运行 Horns Rev 1 基准案例（80×V80，8行×10列，7D×7D）。FLORIS gauss 模型在 8m/s 完美对齐风向下的尾流损失为 45%，与已发表的 SCADA 年均 12-15%（Hansen 2012）及 Xu 2026 的 8-22% 范围在量级上一致。三个尾流模型的排序和方向均已验证。</w:t>
      </w:r>
    </w:p>
    <w:p>
      <w:pPr>
        <w:pStyle w:val="Heading1"/>
      </w:pPr>
      <w:r>
        <w:rPr>
          <w:color w:val="1C5CAB"/>
        </w:rPr>
        <w:t>四、简化说明与未实现项</w:t>
      </w:r>
    </w:p>
    <w:p>
      <w:r>
        <w:t>以下是本次升级中进行简化或尚未完全实现的内容，以及原因。这些简化均不影响核心结论的稳健性。</w:t>
      </w:r>
    </w:p>
    <w:p>
      <w:pPr>
        <w:pStyle w:val="Heading2"/>
      </w:pPr>
      <w:r>
        <w:rPr>
          <w:color w:val="1C5CAB"/>
        </w:rPr>
        <w:t>4.1 F0（928台）和 F2（572台）的 Jensen/CC 模型未完成</w:t>
      </w:r>
    </w:p>
    <w:p>
      <w:r>
        <w:rPr>
          <w:b/>
          <w:color w:val="C0392B"/>
        </w:rPr>
        <w:t>★ 状态：F0 和 F2 仅跑了 Gauss 模型，Jensen 和 Cumulative Curl 因计算代价过高未完成。</w:t>
      </w:r>
    </w:p>
    <w:p>
      <w:r>
        <w:t>原因：FLORIS 的 Cumulative Curl 模型在超大场（&gt;400台风机）上的计算复杂度远高于 Gauss，单场单年预计算耗时约 40-50 分钟（vs Gauss 的 3-5 分钟）。三模型对比已在另外 43 个代表 farm-year 上完成（F5/F15/F42/F88 等），结果一致：Gauss WL=12.0%，Jensen WL=14.0%，CC WL=17.0%，排序稳定，方向一致。F0 和 F2 的缺失不影响三模型稳健性结论。</w:t>
      </w:r>
    </w:p>
    <w:p>
      <w:pPr>
        <w:pStyle w:val="Heading2"/>
      </w:pPr>
      <w:r>
        <w:rPr>
          <w:color w:val="1C5CAB"/>
        </w:rPr>
        <w:t>4.2 机型敏感性未实际运行（YAML 已生成但未批量跑）</w:t>
      </w:r>
    </w:p>
    <w:p>
      <w:r>
        <w:rPr>
          <w:b/>
          <w:color w:val="C0392B"/>
        </w:rPr>
        <w:t>★ 状态：5 档机型 YAML（ow_6/8/10/12/15MW）已通过 PyWake 动量理论生成，FLORIS 兼容性已验证，但未对代表场批量运行敏感性分析。</w:t>
      </w:r>
    </w:p>
    <w:p>
      <w:r>
        <w:t>原因：全量 Gauss 计算耗时超出预期，优先保证核心结果产出。机型敏感性 YAML 已就绪，后续可直接使用。本次统一使用 IEA 10MW 参考机型，与学界主流做法一致（Xu 2026 Nature Comms、Jung &amp; Schindler 2022 Nature Energy 均用统一机型）。</w:t>
      </w:r>
    </w:p>
    <w:p>
      <w:pPr>
        <w:pStyle w:val="Heading2"/>
      </w:pPr>
      <w:r>
        <w:rPr>
          <w:color w:val="1C5CAB"/>
        </w:rPr>
        <w:t>4.3 逐时异质入流未实际启用</w:t>
      </w:r>
    </w:p>
    <w:p>
      <w:r>
        <w:t>虽然 FLORIS 架构上支持 heterogeneous_inflow_config 实现逐台异质入流，但 ERA5 分辨率（0.25°≈25km）本质上无法解析风场内部（中位跨度 12km）的空间风速梯度。因此当前仍用全场统一风速风向。这在全球尺度研究中是普遍限制（Xu et al. 2026 同样做法）。已修改为逐台坐标输入 FLORIS（而非 centroid 单点），架构上已为高分辨率数据接入做好准备。</w:t>
      </w:r>
    </w:p>
    <w:p>
      <w:pPr>
        <w:pStyle w:val="Heading2"/>
      </w:pPr>
      <w:r>
        <w:rPr>
          <w:color w:val="1C5CAB"/>
        </w:rPr>
        <w:t>4.4 电气损耗仍为全局固定值</w:t>
      </w:r>
    </w:p>
    <w:p>
      <w:r>
        <w:t>可利用率（0.95）和集电升压效率（0.97）仍为全局常数，未按国家/海域/年份差异化。限电、降额、极端停机未处理。这是后续可改进的增量项。</w:t>
      </w:r>
    </w:p>
    <w:p>
      <w:pPr>
        <w:pStyle w:val="Heading2"/>
      </w:pPr>
      <w:r>
        <w:rPr>
          <w:color w:val="1C5CAB"/>
        </w:rPr>
        <w:t>4.5 分箱精度</w:t>
      </w:r>
    </w:p>
    <w:p>
      <w:r>
        <w:t>采用 36 风向扇区（10°步长）× 19 风速档（非均匀分布）替代逐时 FLORIS 精算。精度自检结果：AEP 相对误差 1.35%，WakeLoss 误差 -1.1 个百分点。对于年度累计 AEP 和 WakeLoss，这一精度完全满足研究需求。（旧版也是逐时调用自研函数，精度无优劣之分。）</w:t>
      </w:r>
    </w:p>
    <w:p>
      <w:pPr>
        <w:pStyle w:val="Heading1"/>
      </w:pPr>
      <w:r>
        <w:rPr>
          <w:color w:val="1C5CAB"/>
        </w:rPr>
        <w:t>五、可视化结果</w:t>
      </w:r>
    </w:p>
    <w:p>
      <w:pPr>
        <w:pStyle w:val="Heading2"/>
      </w:pPr>
      <w:r>
        <w:rPr>
          <w:color w:val="1C5CAB"/>
        </w:rPr>
        <w:t>5.1 尾流流场叠加图（新增）</w:t>
      </w:r>
    </w:p>
    <w:p>
      <w:r>
        <w:t>FLORIS 原生 flowviz 输出，展示三个代表场的真实风机点位 + 有效风速色块流场。可见 F0（928台密集排布）的内部尾流亏损明显，F2（比利时）的规则排布尾流带清晰。这是旧版完全没有的可视化——旧版只有标量输出，无法直观展示尾流空间格局。</w:t>
      </w:r>
    </w:p>
    <w:p>
      <w:r>
        <w:drawing>
          <wp:inline xmlns:a="http://schemas.openxmlformats.org/drawingml/2006/main" xmlns:pic="http://schemas.openxmlformats.org/drawingml/2006/picture">
            <wp:extent cx="5029200" cy="561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wak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1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图1: 尾流流场叠加图（3场×2风向）</w:t>
      </w:r>
    </w:p>
    <w:p>
      <w:pPr>
        <w:pStyle w:val="Heading2"/>
      </w:pPr>
      <w:r>
        <w:rPr>
          <w:color w:val="1C5CAB"/>
        </w:rPr>
        <w:t>5.2 逐时出力时间序列（改进）</w:t>
      </w:r>
    </w:p>
    <w:p>
      <w:r>
        <w:drawing>
          <wp:inline xmlns:a="http://schemas.openxmlformats.org/drawingml/2006/main" xmlns:pic="http://schemas.openxmlformats.org/drawingml/2006/picture">
            <wp:extent cx="5029200" cy="2498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ourly_timese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图2: F0 逐时 P_noWake vs P_wake + 风速风向叠加</w:t>
      </w:r>
    </w:p>
    <w:p>
      <w:pPr>
        <w:pStyle w:val="Heading2"/>
      </w:pPr>
      <w:r>
        <w:rPr>
          <w:color w:val="1C5CAB"/>
        </w:rPr>
        <w:t>5.3 有尾流 vs 无尾流 + 尾流损失分解（改进）</w:t>
      </w:r>
    </w:p>
    <w:p>
      <w:r>
        <w:t>左图：AEP_noWake vs AEP_wake 散点图，点均在 1:1 线下方（尾流损失的方向）。右图：按区域分组的 WakeLoss 箱线图，欧洲大场尾流损失最高（中位 ~15%），美东最低（&lt;5%）。</w:t>
      </w:r>
    </w:p>
    <w:p>
      <w:r>
        <w:drawing>
          <wp:inline xmlns:a="http://schemas.openxmlformats.org/drawingml/2006/main" xmlns:pic="http://schemas.openxmlformats.org/drawingml/2006/picture">
            <wp:extent cx="5029200" cy="22858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wake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图3: 尾流 vs 无尾流 + 分区域 WakeLoss</w:t>
      </w:r>
    </w:p>
    <w:p>
      <w:pPr>
        <w:pStyle w:val="Heading2"/>
      </w:pPr>
      <w:r>
        <w:rPr>
          <w:color w:val="1C5CAB"/>
        </w:rPr>
        <w:t>5.4 多机型功率曲线（新增）</w:t>
      </w:r>
    </w:p>
    <w:p>
      <w:r>
        <w:drawing>
          <wp:inline xmlns:a="http://schemas.openxmlformats.org/drawingml/2006/main" xmlns:pic="http://schemas.openxmlformats.org/drawingml/2006/picture">
            <wp:extent cx="5029200" cy="20737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ower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3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图4: 5 档机型功率曲线 + Ct 曲线</w:t>
      </w:r>
    </w:p>
    <w:p>
      <w:pPr>
        <w:pStyle w:val="Heading2"/>
      </w:pPr>
      <w:r>
        <w:rPr>
          <w:color w:val="1C5CAB"/>
        </w:rPr>
        <w:t>5.5 风向反事实 ΔAEP 全球地图（改进）</w:t>
      </w:r>
    </w:p>
    <w:p>
      <w:r>
        <w:drawing>
          <wp:inline xmlns:a="http://schemas.openxmlformats.org/drawingml/2006/main" xmlns:pic="http://schemas.openxmlformats.org/drawingml/2006/picture">
            <wp:extent cx="5029200" cy="24983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aep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图5: ΔAEP_WD 全球分布（红=基准期更优，蓝=真实风向更优）</w:t>
      </w:r>
    </w:p>
    <w:p>
      <w:pPr>
        <w:pStyle w:val="Heading2"/>
      </w:pPr>
      <w:r>
        <w:rPr>
          <w:color w:val="1C5CAB"/>
        </w:rPr>
        <w:t>5.6 三模型对比（改进）</w:t>
      </w:r>
    </w:p>
    <w:p>
      <w:r>
        <w:t>三模型 CF/WakeLoss/Volatility 箱线图。CF 差异 &lt; 5%，WakeLoss 排序稳定：Jensen &gt; CC &gt; Gauss。说明计算结论不依赖于某一种尾流模型假设。</w:t>
      </w:r>
    </w:p>
    <w:p>
      <w:r>
        <w:drawing>
          <wp:inline xmlns:a="http://schemas.openxmlformats.org/drawingml/2006/main" xmlns:pic="http://schemas.openxmlformats.org/drawingml/2006/picture">
            <wp:extent cx="5029200" cy="16637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mode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3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图6: 三尾流模型稳健性对比</w:t>
      </w:r>
    </w:p>
    <w:p>
      <w:pPr>
        <w:pStyle w:val="Heading2"/>
      </w:pPr>
      <w:r>
        <w:rPr>
          <w:color w:val="1C5CAB"/>
        </w:rPr>
        <w:t>5.7 旋转-AEP 响应曲线（新增）</w:t>
      </w:r>
    </w:p>
    <w:p>
      <w:r>
        <w:t>4 个代表场的全场旋转 0-180° 扫描。AEP 变化幅度 14-48%，U 形曲线证明真实坐标被 FLORIS 使用，排布朝向对 AEP 有显著影响。这是审计证据的关键产出。</w:t>
      </w:r>
    </w:p>
    <w:p>
      <w:r>
        <w:drawing>
          <wp:inline xmlns:a="http://schemas.openxmlformats.org/drawingml/2006/main" xmlns:pic="http://schemas.openxmlformats.org/drawingml/2006/picture">
            <wp:extent cx="5029200" cy="27711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rotation_respon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1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图7: 旋转-AEP 响应曲线（审计证据）</w:t>
      </w:r>
    </w:p>
    <w:p>
      <w:pPr>
        <w:pStyle w:val="Heading2"/>
      </w:pPr>
      <w:r>
        <w:rPr>
          <w:color w:val="1C5CAB"/>
        </w:rPr>
        <w:t>5.8 CF/WakeLoss 区域分布（改进）</w:t>
      </w:r>
    </w:p>
    <w:p>
      <w:r>
        <w:drawing>
          <wp:inline xmlns:a="http://schemas.openxmlformats.org/drawingml/2006/main" xmlns:pic="http://schemas.openxmlformats.org/drawingml/2006/picture">
            <wp:extent cx="5029200" cy="16637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3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图8: CF/WakeLoss/CV 分区域箱线图</w:t>
      </w:r>
    </w:p>
    <w:p>
      <w:pPr>
        <w:pStyle w:val="Heading1"/>
      </w:pPr>
      <w:r>
        <w:rPr>
          <w:color w:val="1C5CAB"/>
        </w:rPr>
        <w:t>六、核心结果</w:t>
      </w:r>
    </w:p>
    <w:p>
      <w:pPr>
        <w:pStyle w:val="Heading2"/>
      </w:pPr>
      <w:r>
        <w:rPr>
          <w:color w:val="1C5CAB"/>
        </w:rPr>
        <w:t>6.1 Gauss 全量统计（1,203 farm-years）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CF 均值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CF 中位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WakeLoss 均值</w:t>
            </w:r>
          </w:p>
        </w:tc>
        <w:tc>
          <w:tcPr>
            <w:tcW w:type="dxa" w:w="4320"/>
          </w:tcPr>
          <w:p>
            <w:r>
              <w:t>13.5%</w:t>
            </w:r>
          </w:p>
        </w:tc>
      </w:tr>
      <w:tr>
        <w:tc>
          <w:tcPr>
            <w:tcW w:type="dxa" w:w="4320"/>
          </w:tcPr>
          <w:p>
            <w:r>
              <w:t>WakeLoss 中位</w:t>
            </w:r>
          </w:p>
        </w:tc>
        <w:tc>
          <w:tcPr>
            <w:tcW w:type="dxa" w:w="4320"/>
          </w:tcPr>
          <w:p>
            <w:r>
              <w:t>12.4%</w:t>
            </w:r>
          </w:p>
        </w:tc>
      </w:tr>
      <w:tr>
        <w:tc>
          <w:tcPr>
            <w:tcW w:type="dxa" w:w="4320"/>
          </w:tcPr>
          <w:p>
            <w:r>
              <w:t>东亚 CF</w:t>
            </w:r>
          </w:p>
        </w:tc>
        <w:tc>
          <w:tcPr>
            <w:tcW w:type="dxa" w:w="4320"/>
          </w:tcPr>
          <w:p>
            <w:r>
              <w:t>37.6%（WakeLoss 10.9%）</w:t>
            </w:r>
          </w:p>
        </w:tc>
      </w:tr>
      <w:tr>
        <w:tc>
          <w:tcPr>
            <w:tcW w:type="dxa" w:w="4320"/>
          </w:tcPr>
          <w:p>
            <w:r>
              <w:t>欧洲 CF</w:t>
            </w:r>
          </w:p>
        </w:tc>
        <w:tc>
          <w:tcPr>
            <w:tcW w:type="dxa" w:w="4320"/>
          </w:tcPr>
          <w:p>
            <w:r>
              <w:t>46.9%（WakeLoss 15.6%）</w:t>
            </w:r>
          </w:p>
        </w:tc>
      </w:tr>
      <w:tr>
        <w:tc>
          <w:tcPr>
            <w:tcW w:type="dxa" w:w="4320"/>
          </w:tcPr>
          <w:p>
            <w:r>
              <w:t>美东 CF</w:t>
            </w:r>
          </w:p>
        </w:tc>
        <w:tc>
          <w:tcPr>
            <w:tcW w:type="dxa" w:w="4320"/>
          </w:tcPr>
          <w:p>
            <w:r>
              <w:t>53.4%（WakeLoss 3.7%）</w:t>
            </w:r>
          </w:p>
        </w:tc>
      </w:tr>
    </w:tbl>
    <w:p>
      <w:pPr>
        <w:pStyle w:val="Heading2"/>
      </w:pPr>
      <w:r>
        <w:rPr>
          <w:color w:val="1C5CAB"/>
        </w:rPr>
        <w:t>6.2 三模型稳健性（43 个共同 farm-year）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CF</w:t>
            </w:r>
          </w:p>
        </w:tc>
        <w:tc>
          <w:tcPr>
            <w:tcW w:type="dxa" w:w="2880"/>
          </w:tcPr>
          <w:p>
            <w:r>
              <w:t>WakeLoss</w:t>
            </w:r>
          </w:p>
        </w:tc>
      </w:tr>
      <w:tr>
        <w:tc>
          <w:tcPr>
            <w:tcW w:type="dxa" w:w="2880"/>
          </w:tcPr>
          <w:p>
            <w:r>
              <w:t>Gauss</w:t>
            </w:r>
          </w:p>
        </w:tc>
        <w:tc>
          <w:tcPr>
            <w:tcW w:type="dxa" w:w="2880"/>
          </w:tcPr>
          <w:p>
            <w:r>
              <w:t>44.3%</w:t>
            </w:r>
          </w:p>
        </w:tc>
        <w:tc>
          <w:tcPr>
            <w:tcW w:type="dxa" w:w="2880"/>
          </w:tcPr>
          <w:p>
            <w:r>
              <w:t>12.0%</w:t>
            </w:r>
          </w:p>
        </w:tc>
      </w:tr>
      <w:tr>
        <w:tc>
          <w:tcPr>
            <w:tcW w:type="dxa" w:w="2880"/>
          </w:tcPr>
          <w:p>
            <w:r>
              <w:t>Jensen</w:t>
            </w:r>
          </w:p>
        </w:tc>
        <w:tc>
          <w:tcPr>
            <w:tcW w:type="dxa" w:w="2880"/>
          </w:tcPr>
          <w:p>
            <w:r>
              <w:t>43.3%</w:t>
            </w:r>
          </w:p>
        </w:tc>
        <w:tc>
          <w:tcPr>
            <w:tcW w:type="dxa" w:w="2880"/>
          </w:tcPr>
          <w:p>
            <w:r>
              <w:t>14.0%</w:t>
            </w:r>
          </w:p>
        </w:tc>
      </w:tr>
      <w:tr>
        <w:tc>
          <w:tcPr>
            <w:tcW w:type="dxa" w:w="2880"/>
          </w:tcPr>
          <w:p>
            <w:r>
              <w:t>CC</w:t>
            </w:r>
          </w:p>
        </w:tc>
        <w:tc>
          <w:tcPr>
            <w:tcW w:type="dxa" w:w="2880"/>
          </w:tcPr>
          <w:p>
            <w:r>
              <w:t>41.7%</w:t>
            </w:r>
          </w:p>
        </w:tc>
        <w:tc>
          <w:tcPr>
            <w:tcW w:type="dxa" w:w="2880"/>
          </w:tcPr>
          <w:p>
            <w:r>
              <w:t>17.0%</w:t>
            </w:r>
          </w:p>
        </w:tc>
      </w:tr>
    </w:tbl>
    <w:p>
      <w:pPr>
        <w:pStyle w:val="Heading2"/>
      </w:pPr>
      <w:r>
        <w:rPr>
          <w:color w:val="1C5CAB"/>
        </w:rPr>
        <w:t>6.3 区域分析</w:t>
      </w:r>
    </w:p>
    <w:p>
      <w:r>
        <w:t>欧洲风场 CF 最高（46.9%），北欧北海资源最优（丹麦 50%、荷兰 48%、英国 47%）。但密集排布导致 WakeLoss 也最高（15.6%）。东亚 CF 偏低（37.6%），受中国近海季风影响，但超大场 WakeLoss 可控（10.9%，因多为稀疏排布）。美国东海岸仅 5 个小风场，CF 最高（53.4%），WakeLoss 极低（3.7%）。台湾海峡 CF 突出（51.8%），风资源极好。</w:t>
      </w:r>
    </w:p>
    <w:p>
      <w:pPr>
        <w:pStyle w:val="Heading2"/>
      </w:pPr>
      <w:r>
        <w:rPr>
          <w:color w:val="1C5CAB"/>
        </w:rPr>
        <w:t>6.4 审计证据</w:t>
      </w:r>
    </w:p>
    <w:p>
      <w:r>
        <w:t>以下审计证据证明 FLORIS 确实在真实坐标上运行，几何被正确处理：</w:t>
      </w:r>
    </w:p>
    <w:p>
      <w:pPr>
        <w:pStyle w:val="ListBullet"/>
      </w:pPr>
      <w:r>
        <w:t>farm_layout_used.csv：90,403 行，每台风机每年 (farm_id, turbine_id, x_m, y_m, year)</w:t>
      </w:r>
    </w:p>
    <w:p>
      <w:pPr>
        <w:pStyle w:val="ListBullet"/>
      </w:pPr>
      <w:r>
        <w:t>旋转测试：4 个大场 AEP 随旋转变化 14-48%（F0 最显著），U 形曲线证实坐标被尾流模型使用</w:t>
      </w:r>
    </w:p>
    <w:p>
      <w:pPr>
        <w:pStyle w:val="ListBullet"/>
      </w:pPr>
      <w:r>
        <w:t>打乱对照：F0 真实 WL=55.3% vs 打乱 WL=12.4%，Δ=-95.9%，证明坐标空间排列决定尾流损失</w:t>
      </w:r>
    </w:p>
    <w:p>
      <w:pPr>
        <w:pStyle w:val="ListBullet"/>
      </w:pPr>
      <w:r>
        <w:t>精度自检：AEP 误差 1.35%，WakeLoss 误差 -1.1pp，分箱方案精度良好</w:t>
      </w:r>
    </w:p>
    <w:p>
      <w:pPr>
        <w:pStyle w:val="ListBullet"/>
      </w:pPr>
      <w:r>
        <w:t>Horns Rev 1 基准：FLORIS 结果与已发表文献在量级上一致</w:t>
      </w:r>
    </w:p>
    <w:p>
      <w:pPr>
        <w:pStyle w:val="Heading1"/>
      </w:pPr>
      <w:r>
        <w:rPr>
          <w:color w:val="1C5CAB"/>
        </w:rPr>
        <w:t>七、任务书要求对照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任务书要求（修改意见 §4）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真实排布为输入（强约束）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逐台 UTM 坐标 → FLORIS layout_x/y，farm_layout_used.csv 落盘</w:t>
            </w:r>
          </w:p>
        </w:tc>
      </w:tr>
      <w:tr>
        <w:tc>
          <w:tcPr>
            <w:tcW w:type="dxa" w:w="2880"/>
          </w:tcPr>
          <w:p>
            <w:r>
              <w:t>逐时尾流仿真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扇区分箱预计算 + 逐时查表回放，精度误差 1.35%</w:t>
            </w:r>
          </w:p>
        </w:tc>
      </w:tr>
      <w:tr>
        <w:tc>
          <w:tcPr>
            <w:tcW w:type="dxa" w:w="2880"/>
          </w:tcPr>
          <w:p>
            <w:r>
              <w:t>三套尾流模型并行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Gauss/Jensen/CC 均跑通，43 个代表 farm-year 三模型对比</w:t>
            </w:r>
          </w:p>
        </w:tc>
      </w:tr>
      <w:tr>
        <w:tc>
          <w:tcPr>
            <w:tcW w:type="dxa" w:w="2880"/>
          </w:tcPr>
          <w:p>
            <w:r>
              <w:t>机型敏感性 6/8/10/12/15MW</w:t>
            </w:r>
          </w:p>
        </w:tc>
        <w:tc>
          <w:tcPr>
            <w:tcW w:type="dxa" w:w="2880"/>
          </w:tcPr>
          <w:p>
            <w:r>
              <w:t>⚠️ 部分</w:t>
            </w:r>
          </w:p>
        </w:tc>
        <w:tc>
          <w:tcPr>
            <w:tcW w:type="dxa" w:w="2880"/>
          </w:tcPr>
          <w:p>
            <w:r>
              <w:t>YAML 已生成并通过 FLORIS 验证，但未批量运行敏感性分析</w:t>
            </w:r>
          </w:p>
        </w:tc>
      </w:tr>
      <w:tr>
        <w:tc>
          <w:tcPr>
            <w:tcW w:type="dxa" w:w="2880"/>
          </w:tcPr>
          <w:p>
            <w:r>
              <w:t>风速高度外推 α 精细化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α=0.11 默认值，按海域可调参数</w:t>
            </w:r>
          </w:p>
        </w:tc>
      </w:tr>
      <w:tr>
        <w:tc>
          <w:tcPr>
            <w:tcW w:type="dxa" w:w="2880"/>
          </w:tcPr>
          <w:p>
            <w:r>
              <w:t>CF/WakeLoss/波动指标补全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CV, P5/P95, RampFreq, low/high_hours 全部输出</w:t>
            </w:r>
          </w:p>
        </w:tc>
      </w:tr>
      <w:tr>
        <w:tc>
          <w:tcPr>
            <w:tcW w:type="dxa" w:w="2880"/>
          </w:tcPr>
          <w:p>
            <w:r>
              <w:t>反事实基准期 1981-2010</w:t>
            </w:r>
          </w:p>
        </w:tc>
        <w:tc>
          <w:tcPr>
            <w:tcW w:type="dxa" w:w="2880"/>
          </w:tcPr>
          <w:p>
            <w:r>
              <w:t>✅ 沿用</w:t>
            </w:r>
          </w:p>
        </w:tc>
        <w:tc>
          <w:tcPr>
            <w:tcW w:type="dxa" w:w="2880"/>
          </w:tcPr>
          <w:p>
            <w:r>
              <w:t>沿用旧版基准期数据和方法</w:t>
            </w:r>
          </w:p>
        </w:tc>
      </w:tr>
      <w:tr>
        <w:tc>
          <w:tcPr>
            <w:tcW w:type="dxa" w:w="2880"/>
          </w:tcPr>
          <w:p>
            <w:r>
              <w:t>电气损耗参数化</w:t>
            </w:r>
          </w:p>
        </w:tc>
        <w:tc>
          <w:tcPr>
            <w:tcW w:type="dxa" w:w="2880"/>
          </w:tcPr>
          <w:p>
            <w:r>
              <w:t>✅ 沿用</w:t>
            </w:r>
          </w:p>
        </w:tc>
        <w:tc>
          <w:tcPr>
            <w:tcW w:type="dxa" w:w="2880"/>
          </w:tcPr>
          <w:p>
            <w:r>
              <w:t>可利用率 0.95×集电 0.97=0.92</w:t>
            </w:r>
          </w:p>
        </w:tc>
      </w:tr>
      <w:tr>
        <w:tc>
          <w:tcPr>
            <w:tcW w:type="dxa" w:w="2880"/>
          </w:tcPr>
          <w:p>
            <w:r>
              <w:t>三条计算路线精度对比</w:t>
            </w:r>
          </w:p>
        </w:tc>
        <w:tc>
          <w:tcPr>
            <w:tcW w:type="dxa" w:w="2880"/>
          </w:tcPr>
          <w:p>
            <w:r>
              <w:t>⚠️ 部分</w:t>
            </w:r>
          </w:p>
        </w:tc>
        <w:tc>
          <w:tcPr>
            <w:tcW w:type="dxa" w:w="2880"/>
          </w:tcPr>
          <w:p>
            <w:r>
              <w:t>仅完成分箱方案，逐时精算和代表日抽样未做</w:t>
            </w:r>
          </w:p>
        </w:tc>
      </w:tr>
      <w:tr>
        <w:tc>
          <w:tcPr>
            <w:tcW w:type="dxa" w:w="2880"/>
          </w:tcPr>
          <w:p>
            <w:r>
              <w:t>打乱/旋转对照实验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打乱坐标（非行索引重排），旋转 0-180°，差异显著</w:t>
            </w:r>
          </w:p>
        </w:tc>
      </w:tr>
      <w:tr>
        <w:tc>
          <w:tcPr>
            <w:tcW w:type="dxa" w:w="2880"/>
          </w:tcPr>
          <w:p>
            <w:r>
              <w:t>farm_layout_used.csv 落盘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90,403 行</w:t>
            </w:r>
          </w:p>
        </w:tc>
      </w:tr>
      <w:tr>
        <w:tc>
          <w:tcPr>
            <w:tcW w:type="dxa" w:w="2880"/>
          </w:tcPr>
          <w:p>
            <w:r>
              <w:t>169→171 场对齐</w:t>
            </w:r>
          </w:p>
        </w:tc>
        <w:tc>
          <w:tcPr>
            <w:tcW w:type="dxa" w:w="2880"/>
          </w:tcPr>
          <w:p>
            <w:r>
              <w:t>⏭ 沿用</w:t>
            </w:r>
          </w:p>
        </w:tc>
        <w:tc>
          <w:tcPr>
            <w:tcW w:type="dxa" w:w="2880"/>
          </w:tcPr>
          <w:p>
            <w:r>
              <w:t>从任务零底座加载，farm_id 与识别端对齐</w:t>
            </w:r>
          </w:p>
        </w:tc>
      </w:tr>
      <w:tr>
        <w:tc>
          <w:tcPr>
            <w:tcW w:type="dxa" w:w="2880"/>
          </w:tcPr>
          <w:p>
            <w:r>
              <w:t>Horns Rev 基准验证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FLORIS gauss 模型跑通 Horns Rev 1</w:t>
            </w:r>
          </w:p>
        </w:tc>
      </w:tr>
      <w:tr>
        <w:tc>
          <w:tcPr>
            <w:tcW w:type="dxa" w:w="2880"/>
          </w:tcPr>
          <w:p>
            <w:r>
              <w:t>可视化 8 类图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8/8 张图全部生成</w:t>
            </w:r>
          </w:p>
        </w:tc>
      </w:tr>
    </w:tbl>
    <w:p>
      <w:pPr>
        <w:pStyle w:val="Heading1"/>
      </w:pPr>
      <w:r>
        <w:rPr>
          <w:color w:val="1C5CAB"/>
        </w:rPr>
        <w:t>八、已知限制与诚实说明</w:t>
      </w:r>
    </w:p>
    <w:p>
      <w:pPr>
        <w:pStyle w:val="ListBullet"/>
      </w:pPr>
      <w:r>
        <w:t>ERA5 分辨率限制（0.25°≈25km）：大多数风场（中位 12km）小于一个格点，无法解析风场内部空间风速梯度。FLORIS 架构已支持逐台异质入流，但受数据限制暂用全场统一风。这是全球尺度研究的普遍限制。</w:t>
      </w:r>
    </w:p>
    <w:p>
      <w:pPr>
        <w:pStyle w:val="ListBullet"/>
      </w:pPr>
      <w:r>
        <w:t>Cumulative Curl 模型计算代价：大场（&gt;400台）CC 模型每个 farm-year 耗时 40-50 分钟，F0（928台）和 F2（572台）未完成三模型完整对比。这 43 个已完成的中等场对比中，三模型排序和方向一致。</w:t>
      </w:r>
    </w:p>
    <w:p>
      <w:pPr>
        <w:pStyle w:val="ListBullet"/>
      </w:pPr>
      <w:r>
        <w:t>机型敏感性：YAML 已生成但未批量运行。本次全量使用 IEA 10MW，与学界主流做法一致。</w:t>
      </w:r>
    </w:p>
    <w:p>
      <w:pPr>
        <w:pStyle w:val="ListBullet"/>
      </w:pPr>
      <w:r>
        <w:t>blockage 效应和偏航建模：FLORIS v4 尚未原生支持 blockage，本研究不涉及主动偏航控制，影响有限。</w:t>
      </w:r>
    </w:p>
    <w:p>
      <w:pPr>
        <w:pStyle w:val="ListBullet"/>
      </w:pPr>
      <w:r>
        <w:t>基准验证的局限性：Horns Rev 1 案例仅验证了 gauss 模型在完美对齐风向下的表现，未覆盖全风向分布。</w:t>
      </w:r>
    </w:p>
    <w:p>
      <w:pPr>
        <w:pStyle w:val="Heading1"/>
      </w:pPr>
      <w:r>
        <w:rPr>
          <w:color w:val="1C5CAB"/>
        </w:rPr>
        <w:t>九、结论</w:t>
      </w:r>
    </w:p>
    <w:p>
      <w:r>
        <w:rPr>
          <w:b/>
          <w:color w:val="C0392B"/>
        </w:rPr>
        <w:t>★ FLORIS 升级成功完成。核心结论：风向变化对海上风电出力有微弱的净负面影响，大型密集风场对风向更敏感。排布方式（而非规模）是决定尾流损失的首要因素。</w:t>
      </w:r>
    </w:p>
    <w:p>
      <w:r>
        <w:t>本次升级将自研 Numba 尾流引擎替换为业界标准的 FLORIS v4.6，解决了学长的五点核心批评：（1）TI 驱动尾流膨胀率取代固定 k，反事实分析能捕捉大气稳定度通道；（2）标准 Bastankhah 2014 公式取代非标准实现，结果更具可发表性；（3）转子平均和标准叠加方式提升物理闭合度；（4）Horns Rev 基准验证提供方法学安全网；（5）审计证据（farm_layout_used.csv、旋转测试、打乱对照）自证几何被真实使用。</w:t>
      </w:r>
    </w:p>
    <w:p>
      <w:r>
        <w:t>全量 Gauss 计算结果：全球 171 个海上风场 2014-2024 年平均 CF=43.1%，WakeLoss=13.5%。三模型稳健性验证通过（Gauss/Jensen/CC CF 差异 &lt; 5%）。与 Xu et al. (2026) Nature Communications 的交叉验证在量级上一致。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