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7043" w14:textId="77777777" w:rsidR="00046602" w:rsidRPr="00BA7F96" w:rsidRDefault="00000000">
      <w:pPr>
        <w:pStyle w:val="1"/>
        <w:rPr>
          <w:rFonts w:ascii="宋体" w:eastAsia="宋体" w:hAnsi="宋体"/>
          <w:lang w:eastAsia="zh-CN"/>
        </w:rPr>
      </w:pPr>
      <w:r w:rsidRPr="00BA7F96">
        <w:rPr>
          <w:rFonts w:ascii="宋体" w:eastAsia="宋体" w:hAnsi="宋体"/>
          <w:lang w:eastAsia="zh-CN"/>
        </w:rPr>
        <w:t>验证output — 廷显上传内容说明</w:t>
      </w:r>
    </w:p>
    <w:p w14:paraId="7DE3B3B8" w14:textId="77777777" w:rsidR="00046602" w:rsidRPr="00BA7F96" w:rsidRDefault="00000000">
      <w:pPr>
        <w:rPr>
          <w:rFonts w:ascii="宋体" w:hAnsi="宋体"/>
          <w:lang w:eastAsia="zh-CN"/>
        </w:rPr>
      </w:pPr>
      <w:r w:rsidRPr="00BA7F96">
        <w:rPr>
          <w:rFonts w:ascii="宋体" w:hAnsi="宋体"/>
          <w:lang w:eastAsia="zh-CN"/>
        </w:rPr>
        <w:t>上传时间: 2026-07-17</w:t>
      </w:r>
    </w:p>
    <w:p w14:paraId="2372A3F0" w14:textId="02BF75EE" w:rsidR="00046602" w:rsidRPr="00BA7F96" w:rsidRDefault="00000000">
      <w:pPr>
        <w:rPr>
          <w:rFonts w:ascii="宋体" w:hAnsi="宋体"/>
          <w:lang w:eastAsia="zh-CN"/>
        </w:rPr>
      </w:pPr>
      <w:r w:rsidRPr="00BA7F96">
        <w:rPr>
          <w:rFonts w:ascii="宋体" w:hAnsi="宋体"/>
          <w:lang w:eastAsia="zh-CN"/>
        </w:rPr>
        <w:t>本文件夹为琪明 GitHub 仓库中验证output目录的新增内容</w:t>
      </w:r>
    </w:p>
    <w:p w14:paraId="0007FF0A" w14:textId="77777777" w:rsidR="00046602" w:rsidRPr="00BA7F96" w:rsidRDefault="00000000">
      <w:pPr>
        <w:pStyle w:val="1"/>
        <w:rPr>
          <w:rFonts w:ascii="宋体" w:eastAsia="宋体" w:hAnsi="宋体"/>
          <w:lang w:eastAsia="zh-CN"/>
        </w:rPr>
      </w:pPr>
      <w:r w:rsidRPr="00BA7F96">
        <w:rPr>
          <w:rFonts w:ascii="宋体" w:eastAsia="宋体" w:hAnsi="宋体"/>
          <w:lang w:eastAsia="zh-CN"/>
        </w:rPr>
        <w:t>一、POC 点阵优化（任务二 存亡实验）</w:t>
      </w:r>
    </w:p>
    <w:p w14:paraId="4DCFD5BC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文件: poc_layout_optimization.py + poc_layout_results.csv（1,371条）</w:t>
      </w:r>
    </w:p>
    <w:p w14:paraId="3947627E" w14:textId="77777777" w:rsidR="00046602" w:rsidRPr="00BA7F96" w:rsidRDefault="00000000">
      <w:pPr>
        <w:rPr>
          <w:rFonts w:ascii="宋体" w:hAnsi="宋体"/>
          <w:lang w:eastAsia="zh-CN"/>
        </w:rPr>
      </w:pPr>
      <w:r w:rsidRPr="00BA7F96">
        <w:rPr>
          <w:rFonts w:ascii="宋体" w:hAnsi="宋体"/>
        </w:rPr>
        <w:t>对12个代表风场，保持矩形网格构型，扫描横风向间距Sx(2-8D)和顺风向间距Sy(3-12D)，用FLORIS v4.6 Gauss核算2024年风数据的AEP。</w:t>
      </w:r>
      <w:r w:rsidRPr="00BA7F96">
        <w:rPr>
          <w:rFonts w:ascii="宋体" w:hAnsi="宋体"/>
          <w:lang w:eastAsia="zh-CN"/>
        </w:rPr>
        <w:t>两步走：粗扫(1D步长) -&gt; 精扫(0.5D步长) -&gt; 11年验证(仅最优参数上)。</w:t>
      </w:r>
    </w:p>
    <w:p w14:paraId="029A510C" w14:textId="77777777" w:rsidR="00046602" w:rsidRPr="00BA7F96" w:rsidRDefault="00000000">
      <w:pPr>
        <w:rPr>
          <w:rFonts w:ascii="宋体" w:hAnsi="宋体"/>
          <w:lang w:eastAsia="zh-CN"/>
        </w:rPr>
      </w:pPr>
      <w:r w:rsidRPr="00BA7F96">
        <w:rPr>
          <w:rFonts w:ascii="宋体" w:hAnsi="宋体"/>
          <w:lang w:eastAsia="zh-CN"/>
        </w:rPr>
        <w:t>核心结果: 12场AEP提升均值+12.2%、中位+6.2%，远超朝向优化的约1%。证明排布几何/密度是比朝向更强的可控发电杠杆。</w:t>
      </w:r>
    </w:p>
    <w:p w14:paraId="7523E198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CSV列: farm_id, year, n_turb, stage(coarse/fine/validate), sx_D, sy_D, AEP_kWh, AEP_noWake_kWh, CF, WakeLoss, precompute_time_s</w:t>
      </w:r>
    </w:p>
    <w:p w14:paraId="7C9272D0" w14:textId="77777777" w:rsidR="00046602" w:rsidRPr="00BA7F96" w:rsidRDefault="00000000">
      <w:pPr>
        <w:pStyle w:val="1"/>
        <w:rPr>
          <w:rFonts w:ascii="宋体" w:eastAsia="宋体" w:hAnsi="宋体"/>
          <w:lang w:eastAsia="zh-CN"/>
        </w:rPr>
      </w:pPr>
      <w:r w:rsidRPr="00BA7F96">
        <w:rPr>
          <w:rFonts w:ascii="宋体" w:eastAsia="宋体" w:hAnsi="宋体"/>
          <w:lang w:eastAsia="zh-CN"/>
        </w:rPr>
        <w:t>二、跨场尾流仿真（任务四）</w:t>
      </w:r>
    </w:p>
    <w:p w14:paraId="194B8A61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文件: task4_cross_farm_wake.py + task4_cross_farm_wake.csv（6条）</w:t>
      </w:r>
    </w:p>
    <w:p w14:paraId="0208659D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选两对邻近风场（东亚F35+F72距离10.7km，欧洲F31+F113距离16.0km），分别单独跑FLORIS Gauss，再合并坐标到同一FLORIS域跑，比较AEP差异。</w:t>
      </w:r>
    </w:p>
    <w:p w14:paraId="172ED842" w14:textId="77777777" w:rsidR="00046602" w:rsidRPr="00BA7F96" w:rsidRDefault="00000000">
      <w:pPr>
        <w:rPr>
          <w:rFonts w:ascii="宋体" w:hAnsi="宋体"/>
          <w:lang w:eastAsia="zh-CN"/>
        </w:rPr>
      </w:pPr>
      <w:r w:rsidRPr="00BA7F96">
        <w:rPr>
          <w:rFonts w:ascii="宋体" w:hAnsi="宋体"/>
          <w:lang w:eastAsia="zh-CN"/>
        </w:rPr>
        <w:t>核心结果: 东亚对跨场尾流损失0.47%(10.7km退距)，欧洲对约0%(16.0km退距)。FLORIS在大于10km距离上保守估计跨场尾流接近零。</w:t>
      </w:r>
    </w:p>
    <w:p w14:paraId="7B2B137F" w14:textId="77777777" w:rsidR="00046602" w:rsidRPr="00BA7F96" w:rsidRDefault="00000000">
      <w:pPr>
        <w:rPr>
          <w:rFonts w:ascii="宋体" w:hAnsi="宋体"/>
          <w:lang w:eastAsia="zh-CN"/>
        </w:rPr>
      </w:pPr>
      <w:r w:rsidRPr="00BA7F96">
        <w:rPr>
          <w:rFonts w:ascii="宋体" w:hAnsi="宋体"/>
          <w:lang w:eastAsia="zh-CN"/>
        </w:rPr>
        <w:t>CSV列: pair, scenario, n_turb, AEP_kWh, CF, WakeLoss, precompute_s</w:t>
      </w:r>
    </w:p>
    <w:p w14:paraId="3E97F6D5" w14:textId="77777777" w:rsidR="00046602" w:rsidRPr="00BA7F96" w:rsidRDefault="00000000">
      <w:pPr>
        <w:pStyle w:val="1"/>
        <w:rPr>
          <w:rFonts w:ascii="宋体" w:eastAsia="宋体" w:hAnsi="宋体"/>
          <w:lang w:eastAsia="zh-CN"/>
        </w:rPr>
      </w:pPr>
      <w:r w:rsidRPr="00BA7F96">
        <w:rPr>
          <w:rFonts w:ascii="宋体" w:eastAsia="宋体" w:hAnsi="宋体"/>
          <w:lang w:eastAsia="zh-CN"/>
        </w:rPr>
        <w:t>三、扩建情景多机型仿真（任务五(b)）</w:t>
      </w:r>
    </w:p>
    <w:p w14:paraId="66E5216B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文件: task5_expansion_scenarios.py + task5_expansion_results.csv（108条）</w:t>
      </w:r>
    </w:p>
    <w:p w14:paraId="7F3FF01E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对琪明提供的扩建排布（12场x3目标年2030/2035/2040），交叉3种机型（IEA 10MW/15MW/22MW），用FLORIS v4.6 Gauss核算2024年风数据下的AEP/CF/WakeLoss。</w:t>
      </w:r>
    </w:p>
    <w:p w14:paraId="52EB9E77" w14:textId="77777777" w:rsidR="00046602" w:rsidRPr="00BA7F96" w:rsidRDefault="00000000">
      <w:pPr>
        <w:rPr>
          <w:rFonts w:ascii="宋体" w:hAnsi="宋体"/>
          <w:lang w:eastAsia="zh-CN"/>
        </w:rPr>
      </w:pPr>
      <w:r w:rsidRPr="00BA7F96">
        <w:rPr>
          <w:rFonts w:ascii="宋体" w:hAnsi="宋体"/>
          <w:lang w:eastAsia="zh-CN"/>
        </w:rPr>
        <w:t>核心结果: 108次仿真完成。CF范围10MW:0.26-0.62, 15MW:0.26-0.62, 22MW:0.26-0.61。机型越大尾流锥越宽，WakeLoss略增。F153扩建仅有4台（边界重建受限），其余11场正常。</w:t>
      </w:r>
    </w:p>
    <w:p w14:paraId="342B26E7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CSV列: farm_id, paradigm, target_year, turbine_type, n_turb, AEP_kWh, AEP_noWake_kWh, CF, WakeLoss, precompute_time_s</w:t>
      </w:r>
    </w:p>
    <w:p w14:paraId="7680466E" w14:textId="77777777" w:rsidR="00046602" w:rsidRPr="00BA7F96" w:rsidRDefault="00000000">
      <w:pPr>
        <w:pStyle w:val="1"/>
        <w:rPr>
          <w:rFonts w:ascii="宋体" w:eastAsia="宋体" w:hAnsi="宋体"/>
        </w:rPr>
      </w:pPr>
      <w:r w:rsidRPr="00BA7F96">
        <w:rPr>
          <w:rFonts w:ascii="宋体" w:eastAsia="宋体" w:hAnsi="宋体"/>
        </w:rPr>
        <w:lastRenderedPageBreak/>
        <w:t>四、环境与依赖</w:t>
      </w:r>
    </w:p>
    <w:p w14:paraId="321AD3FC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Python 3.13 + FLORIS v4.6.6 + NumPy + netCDF4。依赖offshore-task2的floris_config.py和task2_floris.py。所有仿真引用offshore-task0统一数据底座。机型YAML位于offshore-task2/data/。ERA5逐时风数据(2014-2024，约22GB)用于FLORIS仿真但未纳入上传。</w:t>
      </w:r>
    </w:p>
    <w:p w14:paraId="4A434549" w14:textId="77777777" w:rsidR="00046602" w:rsidRPr="00BA7F96" w:rsidRDefault="00000000">
      <w:pPr>
        <w:pStyle w:val="1"/>
        <w:rPr>
          <w:rFonts w:ascii="宋体" w:eastAsia="宋体" w:hAnsi="宋体"/>
        </w:rPr>
      </w:pPr>
      <w:r w:rsidRPr="00BA7F96">
        <w:rPr>
          <w:rFonts w:ascii="宋体" w:eastAsia="宋体" w:hAnsi="宋体"/>
        </w:rPr>
        <w:t>五、责任人</w:t>
      </w:r>
    </w:p>
    <w:p w14:paraId="11C5DA17" w14:textId="77777777" w:rsidR="00046602" w:rsidRPr="00BA7F96" w:rsidRDefault="00000000">
      <w:pPr>
        <w:rPr>
          <w:rFonts w:ascii="宋体" w:hAnsi="宋体"/>
        </w:rPr>
      </w:pPr>
      <w:r w:rsidRPr="00BA7F96">
        <w:rPr>
          <w:rFonts w:ascii="宋体" w:hAnsi="宋体"/>
        </w:rPr>
        <w:t>Hu Tingxian (廷显), July 2026</w:t>
      </w:r>
    </w:p>
    <w:sectPr w:rsidR="00046602" w:rsidRPr="00BA7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54144">
    <w:abstractNumId w:val="8"/>
  </w:num>
  <w:num w:numId="2" w16cid:durableId="485056340">
    <w:abstractNumId w:val="6"/>
  </w:num>
  <w:num w:numId="3" w16cid:durableId="470249656">
    <w:abstractNumId w:val="5"/>
  </w:num>
  <w:num w:numId="4" w16cid:durableId="229970558">
    <w:abstractNumId w:val="4"/>
  </w:num>
  <w:num w:numId="5" w16cid:durableId="499471253">
    <w:abstractNumId w:val="7"/>
  </w:num>
  <w:num w:numId="6" w16cid:durableId="1281960352">
    <w:abstractNumId w:val="3"/>
  </w:num>
  <w:num w:numId="7" w16cid:durableId="540676579">
    <w:abstractNumId w:val="2"/>
  </w:num>
  <w:num w:numId="8" w16cid:durableId="39598755">
    <w:abstractNumId w:val="1"/>
  </w:num>
  <w:num w:numId="9" w16cid:durableId="104707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02"/>
    <w:rsid w:val="0006063C"/>
    <w:rsid w:val="0015074B"/>
    <w:rsid w:val="0029639D"/>
    <w:rsid w:val="00326F90"/>
    <w:rsid w:val="00AA1D8D"/>
    <w:rsid w:val="00B47730"/>
    <w:rsid w:val="00BA7F96"/>
    <w:rsid w:val="00C674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01B8A"/>
  <w14:defaultImageDpi w14:val="300"/>
  <w15:docId w15:val="{53FD597F-DDA9-4F25-B2E6-5630A083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2</cp:revision>
  <dcterms:created xsi:type="dcterms:W3CDTF">2013-12-23T23:15:00Z</dcterms:created>
  <dcterms:modified xsi:type="dcterms:W3CDTF">2026-07-17T07:05:00Z</dcterms:modified>
  <cp:category/>
</cp:coreProperties>
</file>