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6697" w14:textId="77777777" w:rsidR="00872E84" w:rsidRPr="00C844EB" w:rsidRDefault="00000000">
      <w:pPr>
        <w:pStyle w:val="1"/>
        <w:rPr>
          <w:rFonts w:ascii="宋体" w:eastAsia="宋体" w:hAnsi="宋体"/>
          <w:lang w:eastAsia="zh-CN"/>
        </w:rPr>
      </w:pPr>
      <w:r w:rsidRPr="00C844EB">
        <w:rPr>
          <w:rFonts w:ascii="宋体" w:eastAsia="宋体" w:hAnsi="宋体"/>
          <w:lang w:eastAsia="zh-CN"/>
        </w:rPr>
        <w:t>论文 §2.2 风速对尾流损失的影响 — 文字稿</w:t>
      </w:r>
    </w:p>
    <w:p w14:paraId="2C5532F4" w14:textId="77777777" w:rsidR="00872E84" w:rsidRPr="00C844EB" w:rsidRDefault="00000000">
      <w:pPr>
        <w:rPr>
          <w:rFonts w:ascii="宋体" w:eastAsia="宋体" w:hAnsi="宋体"/>
        </w:rPr>
      </w:pPr>
      <w:proofErr w:type="spellStart"/>
      <w:r w:rsidRPr="00C844EB">
        <w:rPr>
          <w:rFonts w:ascii="宋体" w:eastAsia="宋体" w:hAnsi="宋体"/>
        </w:rPr>
        <w:t>数据来源</w:t>
      </w:r>
      <w:proofErr w:type="spellEnd"/>
      <w:r w:rsidRPr="00C844EB">
        <w:rPr>
          <w:rFonts w:ascii="宋体" w:eastAsia="宋体" w:hAnsi="宋体"/>
        </w:rPr>
        <w:t>: wind_speed_key_numbers.csv (琪明)、s2c_jensen_check.csv (廷显)、wakeloss_sweep.csv (廷显)</w:t>
      </w:r>
    </w:p>
    <w:p w14:paraId="5B90965A" w14:textId="77777777" w:rsidR="00872E84" w:rsidRPr="00C844EB" w:rsidRDefault="00000000">
      <w:pPr>
        <w:pStyle w:val="1"/>
        <w:rPr>
          <w:rFonts w:ascii="宋体" w:eastAsia="宋体" w:hAnsi="宋体"/>
        </w:rPr>
      </w:pPr>
      <w:r w:rsidRPr="00C844EB">
        <w:rPr>
          <w:rFonts w:ascii="宋体" w:eastAsia="宋体" w:hAnsi="宋体"/>
        </w:rPr>
        <w:t>§2.2 真实风速对尾流损失的调制与驼峰机制</w:t>
      </w:r>
    </w:p>
    <w:p w14:paraId="54E4E11F" w14:textId="77777777" w:rsidR="00872E84" w:rsidRPr="00C844EB" w:rsidRDefault="00000000">
      <w:pPr>
        <w:rPr>
          <w:rFonts w:ascii="宋体" w:eastAsia="宋体" w:hAnsi="宋体"/>
          <w:lang w:eastAsia="zh-CN"/>
        </w:rPr>
      </w:pPr>
      <w:proofErr w:type="spellStart"/>
      <w:r w:rsidRPr="00C844EB">
        <w:rPr>
          <w:rFonts w:ascii="宋体" w:eastAsia="宋体" w:hAnsi="宋体"/>
        </w:rPr>
        <w:t>为将尾流损失的变化归因于风速（而非密度或排布</w:t>
      </w:r>
      <w:proofErr w:type="spellEnd"/>
      <w:r w:rsidRPr="00C844EB">
        <w:rPr>
          <w:rFonts w:ascii="宋体" w:eastAsia="宋体" w:hAnsi="宋体"/>
        </w:rPr>
        <w:t>），</w:t>
      </w:r>
      <w:proofErr w:type="spellStart"/>
      <w:r w:rsidRPr="00C844EB">
        <w:rPr>
          <w:rFonts w:ascii="宋体" w:eastAsia="宋体" w:hAnsi="宋体"/>
        </w:rPr>
        <w:t>我们进行了三组分析</w:t>
      </w:r>
      <w:proofErr w:type="spellEnd"/>
      <w:r w:rsidRPr="00C844EB">
        <w:rPr>
          <w:rFonts w:ascii="宋体" w:eastAsia="宋体" w:hAnsi="宋体"/>
        </w:rPr>
        <w:t>。</w:t>
      </w:r>
      <w:r w:rsidRPr="00C844EB">
        <w:rPr>
          <w:rFonts w:ascii="宋体" w:eastAsia="宋体" w:hAnsi="宋体"/>
          <w:lang w:eastAsia="zh-CN"/>
        </w:rPr>
        <w:t>第一组跨场相关分析（A1）表明，全场平均尾流损失与年均轮毂高度风速之间的Pearson相关系数仅为 r=-0.04（p&gt;0.1），改用高风速小时数（</w:t>
      </w:r>
      <w:proofErr w:type="spellStart"/>
      <w:r w:rsidRPr="00C844EB">
        <w:rPr>
          <w:rFonts w:ascii="宋体" w:eastAsia="宋体" w:hAnsi="宋体"/>
          <w:lang w:eastAsia="zh-CN"/>
        </w:rPr>
        <w:t>high_hours</w:t>
      </w:r>
      <w:proofErr w:type="spellEnd"/>
      <w:r w:rsidRPr="00C844EB">
        <w:rPr>
          <w:rFonts w:ascii="宋体" w:eastAsia="宋体" w:hAnsi="宋体"/>
          <w:lang w:eastAsia="zh-CN"/>
        </w:rPr>
        <w:t>）作为代理后仍极弱（r=-0.08）。这说明跨风场的尾流损失差异不能由风电位的风资源水平解释——多风场的尾流损失不一定低，低风场的尾流损失不一定高。</w:t>
      </w:r>
    </w:p>
    <w:p w14:paraId="6B9D47B6" w14:textId="77777777" w:rsidR="00872E84" w:rsidRPr="00C844EB" w:rsidRDefault="00000000">
      <w:pPr>
        <w:rPr>
          <w:rFonts w:ascii="宋体" w:eastAsia="宋体" w:hAnsi="宋体"/>
          <w:lang w:eastAsia="zh-CN"/>
        </w:rPr>
      </w:pPr>
      <w:r w:rsidRPr="00C844EB">
        <w:rPr>
          <w:rFonts w:ascii="宋体" w:eastAsia="宋体" w:hAnsi="宋体"/>
          <w:lang w:eastAsia="zh-CN"/>
        </w:rPr>
        <w:t>第二组场内逐场去均值分析（A2）在固定风场布局的条件下来探讨风速年际变化对尾流损失的影响。对108个风场（≥5年数据），将每场的尾流损失与轮毂高度风速均减去其跨年均值后作相关，得到 r=-0.20。方向符合预期（风速偏高的年份尾流损失略低），但效应量有限——风速的单一年际波动平均仅能解释尾流损失年际方差的约4%。</w:t>
      </w:r>
    </w:p>
    <w:p w14:paraId="0BD50F13" w14:textId="77777777" w:rsidR="00872E84" w:rsidRPr="00C844EB" w:rsidRDefault="00000000">
      <w:pPr>
        <w:rPr>
          <w:rFonts w:ascii="宋体" w:eastAsia="宋体" w:hAnsi="宋体"/>
          <w:lang w:eastAsia="zh-CN"/>
        </w:rPr>
      </w:pPr>
      <w:r w:rsidRPr="00C844EB">
        <w:rPr>
          <w:rFonts w:ascii="宋体" w:eastAsia="宋体" w:hAnsi="宋体"/>
          <w:lang w:eastAsia="zh-CN"/>
        </w:rPr>
        <w:t>第三组偏相关分析（A3）为最关键的归因测试：在不加控制时，尾流损失与历史风功率密度（WPD）呈弱负相关（r≈-0.25），但一旦在多元回归中固定了风机间距（</w:t>
      </w:r>
      <w:proofErr w:type="spellStart"/>
      <w:r w:rsidRPr="00C844EB">
        <w:rPr>
          <w:rFonts w:ascii="宋体" w:eastAsia="宋体" w:hAnsi="宋体"/>
          <w:lang w:eastAsia="zh-CN"/>
        </w:rPr>
        <w:t>spacing_D</w:t>
      </w:r>
      <w:proofErr w:type="spellEnd"/>
      <w:r w:rsidRPr="00C844EB">
        <w:rPr>
          <w:rFonts w:ascii="宋体" w:eastAsia="宋体" w:hAnsi="宋体"/>
          <w:lang w:eastAsia="zh-CN"/>
        </w:rPr>
        <w:t>），偏相关系数降至 r=-0.03——效应完全消失。这意味着原始相关并非风速本身驱动尾流差异，而是密度混淆所致：密集风场同时具有高尾流损失和高CF，而CF与风速呈正相关，制造了</w:t>
      </w:r>
      <w:proofErr w:type="gramStart"/>
      <w:r w:rsidRPr="00C844EB">
        <w:rPr>
          <w:rFonts w:ascii="宋体" w:eastAsia="宋体" w:hAnsi="宋体"/>
          <w:lang w:eastAsia="zh-CN"/>
        </w:rPr>
        <w:t>"高风位</w:t>
      </w:r>
      <w:proofErr w:type="gramEnd"/>
      <w:r w:rsidRPr="00C844EB">
        <w:rPr>
          <w:rFonts w:ascii="宋体" w:eastAsia="宋体" w:hAnsi="宋体"/>
          <w:lang w:eastAsia="zh-CN"/>
        </w:rPr>
        <w:t>→高尾</w:t>
      </w:r>
      <w:proofErr w:type="gramStart"/>
      <w:r w:rsidRPr="00C844EB">
        <w:rPr>
          <w:rFonts w:ascii="宋体" w:eastAsia="宋体" w:hAnsi="宋体"/>
          <w:lang w:eastAsia="zh-CN"/>
        </w:rPr>
        <w:t>流"</w:t>
      </w:r>
      <w:proofErr w:type="gramEnd"/>
      <w:r w:rsidRPr="00C844EB">
        <w:rPr>
          <w:rFonts w:ascii="宋体" w:eastAsia="宋体" w:hAnsi="宋体"/>
          <w:lang w:eastAsia="zh-CN"/>
        </w:rPr>
        <w:t>的伪象。</w:t>
      </w:r>
    </w:p>
    <w:p w14:paraId="07B00C6B" w14:textId="77777777" w:rsidR="00872E84" w:rsidRPr="00C844EB" w:rsidRDefault="00000000">
      <w:pPr>
        <w:rPr>
          <w:rFonts w:ascii="宋体" w:eastAsia="宋体" w:hAnsi="宋体"/>
          <w:lang w:eastAsia="zh-CN"/>
        </w:rPr>
      </w:pPr>
      <w:r w:rsidRPr="00C844EB">
        <w:rPr>
          <w:rFonts w:ascii="宋体" w:eastAsia="宋体" w:hAnsi="宋体"/>
          <w:lang w:eastAsia="zh-CN"/>
        </w:rPr>
        <w:t>受控风速扫描实验（S1c）进一步提供了机制层面的直接证据。在标准8×8的5D方阵和真实密排风场两种布局上，将风速从3 m/s单调增至25 m/s，尾流损失呈明显的驼峰形：在ramp-up段（5-11 m/s）维持在50-60%的高位，过额定风速（约12 m/s）后迅速下降至15 m/s以上完全归零。这一形态源于推力系数（Ct）的风速依赖性——低风速段Ct高达0.8-0.9，尾流充分发展；额定以上Ct急剧下降，下游风机也进入额定功率封顶状态，尾流不再产生增减功率的作用。</w:t>
      </w:r>
    </w:p>
    <w:p w14:paraId="07D92769" w14:textId="77777777" w:rsidR="00872E84" w:rsidRPr="00C844EB" w:rsidRDefault="00000000">
      <w:pPr>
        <w:rPr>
          <w:rFonts w:ascii="宋体" w:eastAsia="宋体" w:hAnsi="宋体"/>
          <w:lang w:eastAsia="zh-CN"/>
        </w:rPr>
      </w:pPr>
      <w:r w:rsidRPr="00C844EB">
        <w:rPr>
          <w:rFonts w:ascii="宋体" w:eastAsia="宋体" w:hAnsi="宋体"/>
          <w:lang w:eastAsia="zh-CN"/>
        </w:rPr>
        <w:t>Jensen模型在10个代表场上的抽查确认，Gauss与Jensen的尾流效率曲线在全部风速档上相关系数均≥0.997（全量160个风速bin的合并 r=0.98），驼峰结论对尾流模型选择稳健。</w:t>
      </w:r>
    </w:p>
    <w:p w14:paraId="30C9A603" w14:textId="77777777" w:rsidR="00872E84" w:rsidRPr="00C844EB" w:rsidRDefault="00000000">
      <w:pPr>
        <w:rPr>
          <w:rFonts w:ascii="宋体" w:eastAsia="宋体" w:hAnsi="宋体"/>
          <w:lang w:eastAsia="zh-CN"/>
        </w:rPr>
      </w:pPr>
      <w:r w:rsidRPr="00C844EB">
        <w:rPr>
          <w:rFonts w:ascii="宋体" w:eastAsia="宋体" w:hAnsi="宋体"/>
          <w:lang w:eastAsia="zh-CN"/>
        </w:rPr>
        <w:t>综合A1-A3及驼峰机制曲线可得：风速在时间维度上对尾流有真实但有限的调制力（同一风场内约 r=-0.20），其物理根源是推力系数的风速依赖性所产生的驼峰响应；但在空间维度上，跨风场的尾流损失差异几乎完全由排布密度/几何驱动，风速本身不具结构性。这一结论是全文</w:t>
      </w:r>
      <w:proofErr w:type="gramStart"/>
      <w:r w:rsidRPr="00C844EB">
        <w:rPr>
          <w:rFonts w:ascii="宋体" w:eastAsia="宋体" w:hAnsi="宋体"/>
          <w:lang w:eastAsia="zh-CN"/>
        </w:rPr>
        <w:t>"几何</w:t>
      </w:r>
      <w:proofErr w:type="gramEnd"/>
      <w:r w:rsidRPr="00C844EB">
        <w:rPr>
          <w:rFonts w:ascii="宋体" w:eastAsia="宋体" w:hAnsi="宋体"/>
          <w:lang w:eastAsia="zh-CN"/>
        </w:rPr>
        <w:t>主导、风速外</w:t>
      </w:r>
      <w:proofErr w:type="gramStart"/>
      <w:r w:rsidRPr="00C844EB">
        <w:rPr>
          <w:rFonts w:ascii="宋体" w:eastAsia="宋体" w:hAnsi="宋体"/>
          <w:lang w:eastAsia="zh-CN"/>
        </w:rPr>
        <w:t>生"</w:t>
      </w:r>
      <w:proofErr w:type="gramEnd"/>
      <w:r w:rsidRPr="00C844EB">
        <w:rPr>
          <w:rFonts w:ascii="宋体" w:eastAsia="宋体" w:hAnsi="宋体"/>
          <w:lang w:eastAsia="zh-CN"/>
        </w:rPr>
        <w:t>命题的尾流侧支撑（发电侧由 §2.3 呈现）。</w:t>
      </w:r>
    </w:p>
    <w:sectPr w:rsidR="00872E84" w:rsidRPr="00C844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6136509">
    <w:abstractNumId w:val="8"/>
  </w:num>
  <w:num w:numId="2" w16cid:durableId="1892577428">
    <w:abstractNumId w:val="6"/>
  </w:num>
  <w:num w:numId="3" w16cid:durableId="250431608">
    <w:abstractNumId w:val="5"/>
  </w:num>
  <w:num w:numId="4" w16cid:durableId="522330279">
    <w:abstractNumId w:val="4"/>
  </w:num>
  <w:num w:numId="5" w16cid:durableId="1389574058">
    <w:abstractNumId w:val="7"/>
  </w:num>
  <w:num w:numId="6" w16cid:durableId="253828213">
    <w:abstractNumId w:val="3"/>
  </w:num>
  <w:num w:numId="7" w16cid:durableId="234824380">
    <w:abstractNumId w:val="2"/>
  </w:num>
  <w:num w:numId="8" w16cid:durableId="1324554312">
    <w:abstractNumId w:val="1"/>
  </w:num>
  <w:num w:numId="9" w16cid:durableId="197074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2E84"/>
    <w:rsid w:val="00AA1D8D"/>
    <w:rsid w:val="00B47730"/>
    <w:rsid w:val="00C844EB"/>
    <w:rsid w:val="00CB0664"/>
    <w:rsid w:val="00F67A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16399"/>
  <w14:defaultImageDpi w14:val="300"/>
  <w15:docId w15:val="{39E72D2C-891A-4DEC-8190-C4A23D5C6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廷显 胡</cp:lastModifiedBy>
  <cp:revision>2</cp:revision>
  <dcterms:created xsi:type="dcterms:W3CDTF">2013-12-23T23:15:00Z</dcterms:created>
  <dcterms:modified xsi:type="dcterms:W3CDTF">2026-07-22T02:46:00Z</dcterms:modified>
  <cp:category/>
</cp:coreProperties>
</file>