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§2.3 风速对发电的主导与几何的可控性边界</w:t>
      </w:r>
    </w:p>
    <w:p>
      <w:r>
        <w:t>为了量化风速在发电侧的角色——即风速决定发电的水平与年际摆动，而排布几何决定可回收的尾流——我们进行了三组分析。</w:t>
      </w:r>
    </w:p>
    <w:p>
      <w:r>
        <w:t>第一组发电梯度分析（B1）表明，171 个风场的年均容量因子（CF）与轮毂高度年均风速（ws_mean）之间呈极强的线性关系（Pearson r = 0.92，p &lt; 10⁻⁶⁰）。线性回归给出每 m/s 风速增量的 CF 弹性为 +0.073——即年均风速每高出 1 m/s，CF 约提升 7 个百分点。这一关系在欧洲（r = 0.92）、东亚（r = 0.91）和美东海域均高度一致，表明风速是跨风场发电水平差异的绝对主导因素。但这一主导性是外生的：规划者无法选择风场的平均风速——它由地理位置决定，一经选定即不可更改。</w:t>
      </w:r>
    </w:p>
    <w:p>
      <w:r>
        <w:t>第二组年际噪声与可控杠杆的并列比较（B2）构成了全文的核心定量论证。171 个风场在 2014–2024 年间 CF 的年际变异系数（CV）中位数为 5.2%（P25–P75：3.8%–6.8%）。这意味着等一个好风年可以带来约 5% 的发电摆动——但这摆动是不可控的噪声。与之并列的是两个可控杠杆：将整场刚性旋转到历史最优朝向（§4.1）仅提升 AEP 约 0.9%（中位 0.3%），而优化排布间距与密度（POC 点阵优化，§4.2）可回收 AEP 6.2%（中位），均值达 12.2%。几何优化的中位收益（6.2%）已稳定超过风年噪声的中位幅度（5.2%），而朝向优化的收益（0.9%）远小于风年噪声——这意味着，从规划决策角度看，几何是唯一能够系统性压过气象年际波动、且可由规划者主动控制的设计杠杆。</w:t>
      </w:r>
    </w:p>
    <w:p>
      <w:r>
        <w:t>第三组方差归因（B3）将 CF 的跨场变异拆解到风速（ws_mean）与排布参数（spacing_D、n_turbines）。多元回归显示 ws_mean 解释了 CF 方差的绝大部分（R² = 0.85，p &lt; 10⁻⁶⁰），而 spacing_D 和风机台数的偏效应均不显著（p &gt; 0.3）。这一结果与 §2.2 的偏相关结论形成呼应：风资源主导发电的水平（跨场差异），而排布几何主导尾流的可回收空间（场内优化）。两者作用于不同的统计维度——风速是方差的主成分，但几何是唯一可干预的杠杆。</w:t>
      </w:r>
    </w:p>
    <w:p>
      <w:r>
        <w:t>综合 B1–B3 与 §2.2 的 A 系列分析，可得出发电侧的核心结论：风速决定了一座风场能发多少电的天花板（外生，由场址决定），并施加约 5% 的年际噪声（外生，不可控）；在给定风速条件下，排布几何——尤其是风机间距和密度——是唯一能够主动操作、且收益稳定压过风年噪声的可控杠杆。这一天花板与杠杆的二分框架将风速归位为背景约束，而非排布设计的竞争性解释变量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6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wind_speed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 6: 真实风速对尾流损失与发电的作用。(a) A4 Wake-Loss(V)驼峰曲线。(b) A3 控间距前后偏相关对比。(c) B1 CF~ws_mean 发电梯度。(d) B2 风年噪声 vs 朝向 vs 几何三杠杆对比。</w:t>
      </w:r>
    </w:p>
    <w:p/>
    <w:p>
      <w:pPr>
        <w:pStyle w:val="Heading2"/>
      </w:pPr>
      <w:r>
        <w:t>关键数据速查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系列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分析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A1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跨场 WakeLoss~ws_mean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-0.035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弱→风速非跨场尾流主因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A1b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跨场 WakeLoss~high_wind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-0.081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high_wind代理验证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A2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场内 ΔWL~Δws(去均值)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-0.199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风大年尾流略低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A3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偏相关 控spacing后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-0.034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控密度后风速效应消失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B1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CF~ws_mean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风速主导发电水平(外生)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B2_cv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CF年际CV中位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5.2%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风年噪声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B2_orient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朝向优化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0.92%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可控但极小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B2_geom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几何优化POC中位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6.2%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唯一可控且压过噪声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B3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CF方差R²(ws_mean)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0.85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风速主导方差,几何是唯一杠杆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eastAsia="宋体" w:ascii="宋体" w:hAnsi="宋体"/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eastAsia="黑体" w:ascii="黑体" w:hAnsi="黑体"/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="黑体" w:ascii="黑体" w:hAnsi="黑体"/>
      <w:rFonts w:asciiTheme="majorHAnsi" w:eastAsiaTheme="majorEastAsia" w:hAnsiTheme="majorHAnsi" w:cstheme="majorBidi" w:ascii="黑体" w:hAnsi="黑体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黑体" w:ascii="黑体" w:hAnsi="黑体"/>
      <w:rFonts w:asciiTheme="majorHAnsi" w:eastAsiaTheme="majorEastAsia" w:hAnsiTheme="majorHAnsi" w:cstheme="majorBidi" w:ascii="黑体" w:hAnsi="黑体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