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56FE3" w14:textId="77777777" w:rsidR="00613D57" w:rsidRDefault="000D7978" w:rsidP="002D1A34">
      <w:pPr>
        <w:pStyle w:val="aa"/>
        <w:keepNext/>
        <w:keepLines/>
        <w:jc w:val="both"/>
        <w:rPr>
          <w:lang w:eastAsia="zh-CN"/>
        </w:rPr>
      </w:pPr>
      <w:r>
        <w:rPr>
          <w:rFonts w:ascii="Arial" w:eastAsia="微软雅黑" w:hAnsi="Arial" w:cs="Times New Roman"/>
          <w:lang w:eastAsia="zh-CN"/>
        </w:rPr>
        <w:t>密集排布与轴向风气候共现的方向性走廊集中了海上风电的朝向增益</w:t>
      </w:r>
    </w:p>
    <w:p w14:paraId="1E8218F4" w14:textId="77777777" w:rsidR="00613D57" w:rsidRDefault="000D7978">
      <w:pPr>
        <w:keepNext/>
        <w:keepLines/>
        <w:spacing w:after="240"/>
      </w:pPr>
      <w:r>
        <w:rPr>
          <w:b/>
          <w:i/>
          <w:sz w:val="22"/>
        </w:rPr>
        <w:t>Directional corridors where dense layouts meet axial wind climates concentrate orientation gains in offshore wind farms</w:t>
      </w:r>
    </w:p>
    <w:p w14:paraId="0004190B" w14:textId="77777777" w:rsidR="00613D57" w:rsidRPr="009871C7" w:rsidRDefault="000D7978">
      <w:pPr>
        <w:pStyle w:val="1"/>
        <w:rPr>
          <w:bCs w:val="0"/>
          <w:lang w:eastAsia="zh-CN"/>
        </w:rPr>
      </w:pPr>
      <w:r w:rsidRPr="009871C7">
        <w:rPr>
          <w:rFonts w:ascii="Arial" w:eastAsia="黑体" w:hAnsi="Arial"/>
          <w:bCs w:val="0"/>
          <w:lang w:eastAsia="zh-CN"/>
        </w:rPr>
        <w:t>摘要（</w:t>
      </w:r>
      <w:r w:rsidRPr="009871C7">
        <w:rPr>
          <w:rFonts w:ascii="Arial" w:eastAsia="黑体" w:hAnsi="Arial"/>
          <w:bCs w:val="0"/>
          <w:lang w:eastAsia="zh-CN"/>
        </w:rPr>
        <w:t>Abstract</w:t>
      </w:r>
      <w:r w:rsidRPr="009871C7">
        <w:rPr>
          <w:rFonts w:ascii="Arial" w:eastAsia="黑体" w:hAnsi="Arial"/>
          <w:bCs w:val="0"/>
          <w:lang w:eastAsia="zh-CN"/>
        </w:rPr>
        <w:t>）</w:t>
      </w:r>
    </w:p>
    <w:p w14:paraId="38416AA7" w14:textId="77777777" w:rsidR="00613D57" w:rsidRDefault="000D7978">
      <w:pPr>
        <w:rPr>
          <w:lang w:eastAsia="zh-CN"/>
        </w:rPr>
      </w:pPr>
      <w:r>
        <w:rPr>
          <w:lang w:eastAsia="zh-CN"/>
        </w:rPr>
        <w:t>海上风电场建成后几乎无法整体调整阵列朝向，因此这一选择必须在规划阶段完成，但哪些海域值得优先考虑，仍缺少基于真实排布的全球证据。我们对全球</w:t>
      </w:r>
      <w:r>
        <w:rPr>
          <w:lang w:eastAsia="zh-CN"/>
        </w:rPr>
        <w:t xml:space="preserve"> 171 </w:t>
      </w:r>
      <w:r>
        <w:rPr>
          <w:lang w:eastAsia="zh-CN"/>
        </w:rPr>
        <w:t>个已建风场开展统一尾流模拟，用</w:t>
      </w:r>
      <w:r>
        <w:rPr>
          <w:lang w:eastAsia="zh-CN"/>
        </w:rPr>
        <w:t xml:space="preserve"> 1981 </w:t>
      </w:r>
      <w:r>
        <w:rPr>
          <w:lang w:eastAsia="zh-CN"/>
        </w:rPr>
        <w:t>至</w:t>
      </w:r>
      <w:r>
        <w:rPr>
          <w:lang w:eastAsia="zh-CN"/>
        </w:rPr>
        <w:t xml:space="preserve"> 2010 </w:t>
      </w:r>
      <w:r>
        <w:rPr>
          <w:lang w:eastAsia="zh-CN"/>
        </w:rPr>
        <w:t>年风况预先选定旋转角，并在独立的</w:t>
      </w:r>
      <w:r>
        <w:rPr>
          <w:lang w:eastAsia="zh-CN"/>
        </w:rPr>
        <w:t xml:space="preserve"> 2014 </w:t>
      </w:r>
      <w:r>
        <w:rPr>
          <w:lang w:eastAsia="zh-CN"/>
        </w:rPr>
        <w:t>至</w:t>
      </w:r>
      <w:r>
        <w:rPr>
          <w:lang w:eastAsia="zh-CN"/>
        </w:rPr>
        <w:t xml:space="preserve"> 2024 </w:t>
      </w:r>
      <w:r>
        <w:rPr>
          <w:lang w:eastAsia="zh-CN"/>
        </w:rPr>
        <w:t>年逐时天气中回测。场级多年朝向增益中位数仅为</w:t>
      </w:r>
      <w:r>
        <w:rPr>
          <w:lang w:eastAsia="zh-CN"/>
        </w:rPr>
        <w:t xml:space="preserve"> 0.34%</w:t>
      </w:r>
      <w:r>
        <w:rPr>
          <w:lang w:eastAsia="zh-CN"/>
        </w:rPr>
        <w:t>；在至少具有</w:t>
      </w:r>
      <w:r>
        <w:rPr>
          <w:lang w:eastAsia="zh-CN"/>
        </w:rPr>
        <w:t xml:space="preserve"> 5 </w:t>
      </w:r>
      <w:r>
        <w:rPr>
          <w:lang w:eastAsia="zh-CN"/>
        </w:rPr>
        <w:t>年记录的</w:t>
      </w:r>
      <w:r>
        <w:rPr>
          <w:lang w:eastAsia="zh-CN"/>
        </w:rPr>
        <w:t xml:space="preserve"> 108 </w:t>
      </w:r>
      <w:r>
        <w:rPr>
          <w:lang w:eastAsia="zh-CN"/>
        </w:rPr>
        <w:t>个风场中，只有</w:t>
      </w:r>
      <w:r>
        <w:rPr>
          <w:lang w:eastAsia="zh-CN"/>
        </w:rPr>
        <w:t xml:space="preserve"> 4 </w:t>
      </w:r>
      <w:r>
        <w:rPr>
          <w:lang w:eastAsia="zh-CN"/>
        </w:rPr>
        <w:t>个项目的增益超过自身的风速年际波动。较高增益集中在机组间距较小、且高能量风经常沿同一轴线从相反方向吹来的海域；把风向改为均匀分布后，朝向差异带来的增益消失。这一空间差异在六种标准化建设范式下保持稳定，走廊风场可多发的电量始终为其他海域的</w:t>
      </w:r>
      <w:r>
        <w:rPr>
          <w:lang w:eastAsia="zh-CN"/>
        </w:rPr>
        <w:t xml:space="preserve"> 5.5 </w:t>
      </w:r>
      <w:r>
        <w:rPr>
          <w:lang w:eastAsia="zh-CN"/>
        </w:rPr>
        <w:t>至</w:t>
      </w:r>
      <w:r>
        <w:rPr>
          <w:lang w:eastAsia="zh-CN"/>
        </w:rPr>
        <w:t xml:space="preserve"> 7.4 </w:t>
      </w:r>
      <w:r>
        <w:rPr>
          <w:lang w:eastAsia="zh-CN"/>
        </w:rPr>
        <w:t>倍。对</w:t>
      </w:r>
      <w:r>
        <w:rPr>
          <w:lang w:eastAsia="zh-CN"/>
        </w:rPr>
        <w:t xml:space="preserve"> 155 </w:t>
      </w:r>
      <w:r>
        <w:rPr>
          <w:lang w:eastAsia="zh-CN"/>
        </w:rPr>
        <w:t>个已建项目仅校正整体朝向，可新增</w:t>
      </w:r>
      <w:r>
        <w:rPr>
          <w:lang w:eastAsia="zh-CN"/>
        </w:rPr>
        <w:t xml:space="preserve"> 3,474 GWh yr⁻¹</w:t>
      </w:r>
      <w:r>
        <w:rPr>
          <w:lang w:eastAsia="zh-CN"/>
        </w:rPr>
        <w:t>；其中</w:t>
      </w:r>
      <w:r>
        <w:rPr>
          <w:lang w:eastAsia="zh-CN"/>
        </w:rPr>
        <w:t xml:space="preserve"> 20 </w:t>
      </w:r>
      <w:r>
        <w:rPr>
          <w:lang w:eastAsia="zh-CN"/>
        </w:rPr>
        <w:t>个走廊项目以</w:t>
      </w:r>
      <w:r>
        <w:rPr>
          <w:lang w:eastAsia="zh-CN"/>
        </w:rPr>
        <w:t xml:space="preserve"> 7.6% </w:t>
      </w:r>
      <w:r>
        <w:rPr>
          <w:lang w:eastAsia="zh-CN"/>
        </w:rPr>
        <w:t>的装机贡献了</w:t>
      </w:r>
      <w:r>
        <w:rPr>
          <w:lang w:eastAsia="zh-CN"/>
        </w:rPr>
        <w:t xml:space="preserve"> 28.6% </w:t>
      </w:r>
      <w:r>
        <w:rPr>
          <w:lang w:eastAsia="zh-CN"/>
        </w:rPr>
        <w:t>的新增电量。因此，朝向不是所有风场都必须优先优化的变量，却应在这些方向性走廊的方案锁定前保留为一项设计自由度。</w:t>
      </w:r>
    </w:p>
    <w:p w14:paraId="40A5503A" w14:textId="77777777" w:rsidR="00613D57" w:rsidRDefault="000D7978">
      <w:pPr>
        <w:pStyle w:val="1"/>
        <w:rPr>
          <w:lang w:eastAsia="zh-CN"/>
        </w:rPr>
      </w:pPr>
      <w:r>
        <w:rPr>
          <w:rFonts w:ascii="Arial" w:eastAsia="黑体" w:hAnsi="Arial" w:cs="Times New Roman"/>
          <w:lang w:eastAsia="zh-CN"/>
        </w:rPr>
        <w:t xml:space="preserve">1. </w:t>
      </w:r>
      <w:r>
        <w:rPr>
          <w:rFonts w:ascii="Arial" w:eastAsia="黑体" w:hAnsi="Arial" w:cs="Times New Roman"/>
          <w:lang w:eastAsia="zh-CN"/>
        </w:rPr>
        <w:t>引言</w:t>
      </w:r>
    </w:p>
    <w:p w14:paraId="21039451" w14:textId="77777777" w:rsidR="00613D57" w:rsidRDefault="000D7978">
      <w:pPr>
        <w:rPr>
          <w:lang w:eastAsia="zh-CN"/>
        </w:rPr>
      </w:pPr>
      <w:r>
        <w:rPr>
          <w:lang w:eastAsia="zh-CN"/>
        </w:rPr>
        <w:t>海上风电正在全球能源转型中快速扩张，但可开发资源仍受到年际风资源变化的影响</w:t>
      </w:r>
      <w:r>
        <w:rPr>
          <w:lang w:eastAsia="zh-CN"/>
        </w:rPr>
        <w:t>[1,2]</w:t>
      </w:r>
      <w:r>
        <w:rPr>
          <w:lang w:eastAsia="zh-CN"/>
        </w:rPr>
        <w:t>。风电场的机组、控制软件和运维策略可以在寿命期内更新，但阵列相对当地风向的整体角度，在租区获批和基础施工后基本固定。随着开发重心从北海等成熟市场转向季风亚洲、地中海和其他近岸海域，海底地形、航道、海缆与施工条件也在更强地约束机位布置。尾流损失又取决于机组间距、排列方式和来流方向之间的共同作用</w:t>
      </w:r>
      <w:r>
        <w:rPr>
          <w:lang w:eastAsia="zh-CN"/>
        </w:rPr>
        <w:t>[3,4]</w:t>
      </w:r>
      <w:r>
        <w:rPr>
          <w:lang w:eastAsia="zh-CN"/>
        </w:rPr>
        <w:t>，并已在真实海上风场得到验证</w:t>
      </w:r>
      <w:r>
        <w:rPr>
          <w:lang w:eastAsia="zh-CN"/>
        </w:rPr>
        <w:t>[5]</w:t>
      </w:r>
      <w:r>
        <w:rPr>
          <w:lang w:eastAsia="zh-CN"/>
        </w:rPr>
        <w:t>。因此，阵列朝向既可能影响长期发电量，也是一项必须在建设前完成判断的设计选择。</w:t>
      </w:r>
    </w:p>
    <w:p w14:paraId="215DB9B3" w14:textId="77777777" w:rsidR="00613D57" w:rsidRDefault="000D7978">
      <w:pPr>
        <w:rPr>
          <w:lang w:eastAsia="zh-CN"/>
        </w:rPr>
      </w:pPr>
      <w:r>
        <w:rPr>
          <w:lang w:eastAsia="zh-CN"/>
        </w:rPr>
        <w:t>已有研究表明，改变间距、对齐方式或小幅旋转阵列，可以显著重构下游尾流和场级功率</w:t>
      </w:r>
      <w:r>
        <w:rPr>
          <w:lang w:eastAsia="zh-CN"/>
        </w:rPr>
        <w:t>[6,7]</w:t>
      </w:r>
      <w:r>
        <w:rPr>
          <w:lang w:eastAsia="zh-CN"/>
        </w:rPr>
        <w:t>。风向不确定性、风速与风向的联合分布以及功率曲线非线性，会进一步改变这种响应</w:t>
      </w:r>
      <w:r>
        <w:rPr>
          <w:lang w:eastAsia="zh-CN"/>
        </w:rPr>
        <w:t>[8,9]</w:t>
      </w:r>
      <w:r>
        <w:rPr>
          <w:lang w:eastAsia="zh-CN"/>
        </w:rPr>
        <w:t>；工程研究也已尝试把风向敏感性纳入微观选址和约束优化</w:t>
      </w:r>
      <w:r>
        <w:rPr>
          <w:lang w:eastAsia="zh-CN"/>
        </w:rPr>
        <w:t>[10–12]</w:t>
      </w:r>
      <w:r>
        <w:rPr>
          <w:lang w:eastAsia="zh-CN"/>
        </w:rPr>
        <w:t>。然而，这些证据大多来自理想阵列或少量场址，回答的是重新设计能够达到什么上限，而不是已建项目只调整整体朝向能获得多少收益。真实规划所需的，是识别朝向在何处重要、为何重要，以及这种判断能否跨不同排布方案成立。</w:t>
      </w:r>
    </w:p>
    <w:p w14:paraId="23A9CC70" w14:textId="77777777" w:rsidR="00613D57" w:rsidRDefault="000D7978">
      <w:pPr>
        <w:rPr>
          <w:lang w:eastAsia="zh-CN"/>
        </w:rPr>
      </w:pPr>
      <w:r>
        <w:rPr>
          <w:lang w:eastAsia="zh-CN"/>
        </w:rPr>
        <w:t>从这些研究走向真实项目规划，仍有几处关键空白。全球尾流与布局优化研究已指出，较窄的风向分布往往伴随更大的优化空间</w:t>
      </w:r>
      <w:r>
        <w:rPr>
          <w:lang w:eastAsia="zh-CN"/>
        </w:rPr>
        <w:t>[13]</w:t>
      </w:r>
      <w:r>
        <w:rPr>
          <w:lang w:eastAsia="zh-CN"/>
        </w:rPr>
        <w:t>；但当真实风场的机组数量、机型和两两距离均固定时，依据历史风况预先选定的整体旋转角能否在未来天气中持续增益，尚未得到系统检验。场级百分比增益也很少与同一风场自身的年际风速波动比较，因此一个看似不大的数值是否足以进入工程决策并不清楚。公开机位数据已使全球真实排布分析成为可能</w:t>
      </w:r>
      <w:r>
        <w:rPr>
          <w:lang w:eastAsia="zh-CN"/>
        </w:rPr>
        <w:t>[14]</w:t>
      </w:r>
      <w:r>
        <w:rPr>
          <w:lang w:eastAsia="zh-CN"/>
        </w:rPr>
        <w:t>，但排布密度、风向结构和建成朝向的作用常被混在一起，场址为何敏感与项目实际能获得多少收益仍需分开回答。</w:t>
      </w:r>
    </w:p>
    <w:p w14:paraId="4414B84F" w14:textId="77777777" w:rsidR="00613D57" w:rsidRDefault="000D7978">
      <w:pPr>
        <w:rPr>
          <w:lang w:eastAsia="zh-CN"/>
        </w:rPr>
      </w:pPr>
      <w:r>
        <w:rPr>
          <w:lang w:eastAsia="zh-CN"/>
        </w:rPr>
        <w:t>为此，我们分析了全球</w:t>
      </w:r>
      <w:r>
        <w:rPr>
          <w:lang w:eastAsia="zh-CN"/>
        </w:rPr>
        <w:t xml:space="preserve"> 171 </w:t>
      </w:r>
      <w:r>
        <w:rPr>
          <w:lang w:eastAsia="zh-CN"/>
        </w:rPr>
        <w:t>个真实建成海上风场和</w:t>
      </w:r>
      <w:r>
        <w:rPr>
          <w:lang w:eastAsia="zh-CN"/>
        </w:rPr>
        <w:t xml:space="preserve"> 1,203 </w:t>
      </w:r>
      <w:r>
        <w:rPr>
          <w:lang w:eastAsia="zh-CN"/>
        </w:rPr>
        <w:t>个风场</w:t>
      </w:r>
      <w:r>
        <w:rPr>
          <w:lang w:eastAsia="zh-CN"/>
        </w:rPr>
        <w:t>—</w:t>
      </w:r>
      <w:r>
        <w:rPr>
          <w:lang w:eastAsia="zh-CN"/>
        </w:rPr>
        <w:t>年。历史气候用于在建设前选角，</w:t>
      </w:r>
      <w:r>
        <w:rPr>
          <w:lang w:eastAsia="zh-CN"/>
        </w:rPr>
        <w:t xml:space="preserve">2014 </w:t>
      </w:r>
      <w:r>
        <w:rPr>
          <w:lang w:eastAsia="zh-CN"/>
        </w:rPr>
        <w:t>至</w:t>
      </w:r>
      <w:r>
        <w:rPr>
          <w:lang w:eastAsia="zh-CN"/>
        </w:rPr>
        <w:t xml:space="preserve"> 2024 </w:t>
      </w:r>
      <w:r>
        <w:rPr>
          <w:lang w:eastAsia="zh-CN"/>
        </w:rPr>
        <w:t>年逐时天气用于独立回测；真实排布、六种标准化建设范式和</w:t>
      </w:r>
      <w:r>
        <w:rPr>
          <w:lang w:eastAsia="zh-CN"/>
        </w:rPr>
        <w:t xml:space="preserve"> 155 </w:t>
      </w:r>
      <w:r>
        <w:rPr>
          <w:lang w:eastAsia="zh-CN"/>
        </w:rPr>
        <w:t>个已建项目的情景分析，则用来检验结果是否依赖具体排布。结果显示，多数风场的朝向收益很小，较高增益却稳定出现在机组间距较小、且高能量风沿固定轴线往返的方向性走廊中。建成朝向决定这种潜力最终兑现多少，而扩大机组间距只会削弱、不会消除走廊与其他海域的差异。因此，对既有租区而言，朝向更适合作为一项有选择地保留的设计自由度，而不是面向所有项目的统一优化要求。</w:t>
      </w:r>
    </w:p>
    <w:p w14:paraId="69EF7D72" w14:textId="77777777" w:rsidR="00613D57" w:rsidRDefault="000D7978">
      <w:pPr>
        <w:pStyle w:val="1"/>
        <w:rPr>
          <w:lang w:eastAsia="zh-CN"/>
        </w:rPr>
      </w:pPr>
      <w:r>
        <w:rPr>
          <w:rFonts w:ascii="Arial" w:eastAsia="黑体" w:hAnsi="Arial" w:cs="Times New Roman"/>
          <w:lang w:eastAsia="zh-CN"/>
        </w:rPr>
        <w:lastRenderedPageBreak/>
        <w:t xml:space="preserve">2. </w:t>
      </w:r>
      <w:r>
        <w:rPr>
          <w:rFonts w:ascii="Arial" w:eastAsia="黑体" w:hAnsi="Arial" w:cs="Times New Roman"/>
          <w:lang w:eastAsia="zh-CN"/>
        </w:rPr>
        <w:t>结果</w:t>
      </w:r>
    </w:p>
    <w:p w14:paraId="23AC7AF2" w14:textId="77777777" w:rsidR="00613D57" w:rsidRDefault="000D7978">
      <w:pPr>
        <w:pStyle w:val="21"/>
        <w:rPr>
          <w:lang w:eastAsia="zh-CN"/>
        </w:rPr>
      </w:pPr>
      <w:r>
        <w:rPr>
          <w:rFonts w:ascii="Arial" w:eastAsia="黑体" w:hAnsi="Arial" w:cs="Times New Roman"/>
          <w:lang w:eastAsia="zh-CN"/>
        </w:rPr>
        <w:t xml:space="preserve">2.1 </w:t>
      </w:r>
      <w:r>
        <w:rPr>
          <w:rFonts w:ascii="Arial" w:eastAsia="黑体" w:hAnsi="Arial" w:cs="Times New Roman"/>
          <w:lang w:eastAsia="zh-CN"/>
        </w:rPr>
        <w:t>朝向增益在全球高度集中，仅少数海域超过场址自身的风速年际波动</w:t>
      </w:r>
    </w:p>
    <w:p w14:paraId="2AF56B69" w14:textId="77777777" w:rsidR="00613D57" w:rsidRDefault="000D7978">
      <w:pPr>
        <w:rPr>
          <w:lang w:eastAsia="zh-CN"/>
        </w:rPr>
      </w:pPr>
      <w:r>
        <w:rPr>
          <w:lang w:eastAsia="zh-CN"/>
        </w:rPr>
        <w:t>朝向校正对多数已建风场只有很小影响，但全球平均值被少数高值项目明显抬高。在</w:t>
      </w:r>
      <w:r>
        <w:rPr>
          <w:lang w:eastAsia="zh-CN"/>
        </w:rPr>
        <w:t xml:space="preserve"> 1,203 </w:t>
      </w:r>
      <w:r>
        <w:rPr>
          <w:lang w:eastAsia="zh-CN"/>
        </w:rPr>
        <w:t>个风场</w:t>
      </w:r>
      <w:r>
        <w:rPr>
          <w:lang w:eastAsia="zh-CN"/>
        </w:rPr>
        <w:t>—</w:t>
      </w:r>
      <w:r>
        <w:rPr>
          <w:lang w:eastAsia="zh-CN"/>
        </w:rPr>
        <w:t>年中，</w:t>
      </w:r>
      <w:r>
        <w:rPr>
          <w:lang w:eastAsia="zh-CN"/>
        </w:rPr>
        <w:t xml:space="preserve">64.3% </w:t>
      </w:r>
      <w:r>
        <w:rPr>
          <w:lang w:eastAsia="zh-CN"/>
        </w:rPr>
        <w:t>的年度增益为正，说明用历史风况选择朝向通常能够在后续年份带来正收益。然而，汇总到</w:t>
      </w:r>
      <w:r>
        <w:rPr>
          <w:lang w:eastAsia="zh-CN"/>
        </w:rPr>
        <w:t xml:space="preserve"> 171 </w:t>
      </w:r>
      <w:r>
        <w:rPr>
          <w:lang w:eastAsia="zh-CN"/>
        </w:rPr>
        <w:t>个风场后，多年平均增益的中位数仅为</w:t>
      </w:r>
      <w:r>
        <w:rPr>
          <w:lang w:eastAsia="zh-CN"/>
        </w:rPr>
        <w:t xml:space="preserve"> 0.34%</w:t>
      </w:r>
      <w:r>
        <w:rPr>
          <w:lang w:eastAsia="zh-CN"/>
        </w:rPr>
        <w:t>，均值为</w:t>
      </w:r>
      <w:r>
        <w:rPr>
          <w:lang w:eastAsia="zh-CN"/>
        </w:rPr>
        <w:t xml:space="preserve"> 0.95%</w:t>
      </w:r>
      <w:r>
        <w:rPr>
          <w:lang w:eastAsia="zh-CN"/>
        </w:rPr>
        <w:t>（图</w:t>
      </w:r>
      <w:r>
        <w:rPr>
          <w:lang w:eastAsia="zh-CN"/>
        </w:rPr>
        <w:t xml:space="preserve"> 1a</w:t>
      </w:r>
      <w:r>
        <w:rPr>
          <w:lang w:eastAsia="zh-CN"/>
        </w:rPr>
        <w:t>；补充信息图</w:t>
      </w:r>
      <w:r>
        <w:rPr>
          <w:lang w:eastAsia="zh-CN"/>
        </w:rPr>
        <w:t xml:space="preserve"> S2</w:t>
      </w:r>
      <w:r>
        <w:rPr>
          <w:lang w:eastAsia="zh-CN"/>
        </w:rPr>
        <w:t>，</w:t>
      </w:r>
      <w:r>
        <w:rPr>
          <w:lang w:eastAsia="zh-CN"/>
        </w:rPr>
        <w:t>Supplementary Information Fig. S2</w:t>
      </w:r>
      <w:r>
        <w:rPr>
          <w:lang w:eastAsia="zh-CN"/>
        </w:rPr>
        <w:t>）。均值接近中位数的三倍，表明朝向价值并非普遍分布，而是集中在分布上端的少数场址。</w:t>
      </w:r>
    </w:p>
    <w:p w14:paraId="2426584A" w14:textId="77777777" w:rsidR="00613D57" w:rsidRDefault="000D7978">
      <w:pPr>
        <w:rPr>
          <w:lang w:eastAsia="zh-CN"/>
        </w:rPr>
      </w:pPr>
      <w:r>
        <w:rPr>
          <w:lang w:eastAsia="zh-CN"/>
        </w:rPr>
        <w:t>对大多数项目而言，这一增益仍小于本场自身的风速年际波动。在至少具有</w:t>
      </w:r>
      <w:r>
        <w:rPr>
          <w:lang w:eastAsia="zh-CN"/>
        </w:rPr>
        <w:t xml:space="preserve"> 5 </w:t>
      </w:r>
      <w:r>
        <w:rPr>
          <w:lang w:eastAsia="zh-CN"/>
        </w:rPr>
        <w:t>个完整年份的</w:t>
      </w:r>
      <w:r>
        <w:rPr>
          <w:lang w:eastAsia="zh-CN"/>
        </w:rPr>
        <w:t xml:space="preserve"> 108 </w:t>
      </w:r>
      <w:r>
        <w:rPr>
          <w:lang w:eastAsia="zh-CN"/>
        </w:rPr>
        <w:t>个风场中，只有</w:t>
      </w:r>
      <w:r>
        <w:rPr>
          <w:lang w:eastAsia="zh-CN"/>
        </w:rPr>
        <w:t xml:space="preserve"> 4 </w:t>
      </w:r>
      <w:r>
        <w:rPr>
          <w:lang w:eastAsia="zh-CN"/>
        </w:rPr>
        <w:t>个项目的朝向增益超过其风速年际波动，占</w:t>
      </w:r>
      <w:r>
        <w:rPr>
          <w:lang w:eastAsia="zh-CN"/>
        </w:rPr>
        <w:t xml:space="preserve"> 3.7%</w:t>
      </w:r>
      <w:r>
        <w:rPr>
          <w:lang w:eastAsia="zh-CN"/>
        </w:rPr>
        <w:t>（图</w:t>
      </w:r>
      <w:r>
        <w:rPr>
          <w:lang w:eastAsia="zh-CN"/>
        </w:rPr>
        <w:t xml:space="preserve"> 1b</w:t>
      </w:r>
      <w:r>
        <w:rPr>
          <w:lang w:eastAsia="zh-CN"/>
        </w:rPr>
        <w:t>；见方法</w:t>
      </w:r>
      <w:r>
        <w:rPr>
          <w:lang w:eastAsia="zh-CN"/>
        </w:rPr>
        <w:t xml:space="preserve"> 5.3</w:t>
      </w:r>
      <w:r>
        <w:rPr>
          <w:lang w:eastAsia="zh-CN"/>
        </w:rPr>
        <w:t>；补充信息表</w:t>
      </w:r>
      <w:r>
        <w:rPr>
          <w:lang w:eastAsia="zh-CN"/>
        </w:rPr>
        <w:t xml:space="preserve"> S1</w:t>
      </w:r>
      <w:r>
        <w:rPr>
          <w:lang w:eastAsia="zh-CN"/>
        </w:rPr>
        <w:t>，</w:t>
      </w:r>
      <w:r>
        <w:rPr>
          <w:lang w:eastAsia="zh-CN"/>
        </w:rPr>
        <w:t>Supplementary Information Table S1</w:t>
      </w:r>
      <w:r>
        <w:rPr>
          <w:lang w:eastAsia="zh-CN"/>
        </w:rPr>
        <w:t>；补充信息图</w:t>
      </w:r>
      <w:r>
        <w:rPr>
          <w:lang w:eastAsia="zh-CN"/>
        </w:rPr>
        <w:t xml:space="preserve"> S3a</w:t>
      </w:r>
      <w:r>
        <w:rPr>
          <w:lang w:eastAsia="zh-CN"/>
        </w:rPr>
        <w:t>）。将最低记录长度放宽到</w:t>
      </w:r>
      <w:r>
        <w:rPr>
          <w:lang w:eastAsia="zh-CN"/>
        </w:rPr>
        <w:t xml:space="preserve"> 3 </w:t>
      </w:r>
      <w:r>
        <w:rPr>
          <w:lang w:eastAsia="zh-CN"/>
        </w:rPr>
        <w:t>年后，越线项目为</w:t>
      </w:r>
      <w:r>
        <w:rPr>
          <w:lang w:eastAsia="zh-CN"/>
        </w:rPr>
        <w:t xml:space="preserve"> 146 </w:t>
      </w:r>
      <w:r>
        <w:rPr>
          <w:lang w:eastAsia="zh-CN"/>
        </w:rPr>
        <w:t>个风场中的</w:t>
      </w:r>
      <w:r>
        <w:rPr>
          <w:lang w:eastAsia="zh-CN"/>
        </w:rPr>
        <w:t xml:space="preserve"> 5 </w:t>
      </w:r>
      <w:r>
        <w:rPr>
          <w:lang w:eastAsia="zh-CN"/>
        </w:rPr>
        <w:t>个；这些项目的增益为自身波动的</w:t>
      </w:r>
      <w:r>
        <w:rPr>
          <w:lang w:eastAsia="zh-CN"/>
        </w:rPr>
        <w:t xml:space="preserve"> 1.14 </w:t>
      </w:r>
      <w:r>
        <w:rPr>
          <w:lang w:eastAsia="zh-CN"/>
        </w:rPr>
        <w:t>至</w:t>
      </w:r>
      <w:r>
        <w:rPr>
          <w:lang w:eastAsia="zh-CN"/>
        </w:rPr>
        <w:t xml:space="preserve"> 3.19 </w:t>
      </w:r>
      <w:r>
        <w:rPr>
          <w:lang w:eastAsia="zh-CN"/>
        </w:rPr>
        <w:t>倍。这说明朝向只有在少数场址才达到能够与自然年际变化相比较的量级。</w:t>
      </w:r>
    </w:p>
    <w:p w14:paraId="6E15CABF" w14:textId="77777777" w:rsidR="00613D57" w:rsidRDefault="000D7978">
      <w:pPr>
        <w:rPr>
          <w:lang w:eastAsia="zh-CN"/>
        </w:rPr>
      </w:pPr>
      <w:r>
        <w:rPr>
          <w:lang w:eastAsia="zh-CN"/>
        </w:rPr>
        <w:t>高值项目在地理上成簇出现，并在多年之间保持稳定。按放宽至</w:t>
      </w:r>
      <w:r>
        <w:rPr>
          <w:lang w:eastAsia="zh-CN"/>
        </w:rPr>
        <w:t xml:space="preserve"> 3 </w:t>
      </w:r>
      <w:r>
        <w:rPr>
          <w:lang w:eastAsia="zh-CN"/>
        </w:rPr>
        <w:t>年记录的口径，共有五个越线项目，分布于越南季风海岸、杭州湾口、珠江口、塔兰托湾和丹麦海峡，均位于季风控制的海岸、湾口或狭窄海峡（图</w:t>
      </w:r>
      <w:r>
        <w:rPr>
          <w:lang w:eastAsia="zh-CN"/>
        </w:rPr>
        <w:t xml:space="preserve"> 1c,d</w:t>
      </w:r>
      <w:r>
        <w:rPr>
          <w:lang w:eastAsia="zh-CN"/>
        </w:rPr>
        <w:t>；补充信息表</w:t>
      </w:r>
      <w:r>
        <w:rPr>
          <w:lang w:eastAsia="zh-CN"/>
        </w:rPr>
        <w:t xml:space="preserve"> S1</w:t>
      </w:r>
      <w:r>
        <w:rPr>
          <w:lang w:eastAsia="zh-CN"/>
        </w:rPr>
        <w:t>）。美国东海岸</w:t>
      </w:r>
      <w:r>
        <w:rPr>
          <w:lang w:eastAsia="zh-CN"/>
        </w:rPr>
        <w:t xml:space="preserve"> F160 </w:t>
      </w:r>
      <w:r>
        <w:rPr>
          <w:lang w:eastAsia="zh-CN"/>
        </w:rPr>
        <w:t>的比值降至</w:t>
      </w:r>
      <w:r>
        <w:rPr>
          <w:lang w:eastAsia="zh-CN"/>
        </w:rPr>
        <w:t xml:space="preserve"> 0.96</w:t>
      </w:r>
      <w:r>
        <w:rPr>
          <w:lang w:eastAsia="zh-CN"/>
        </w:rPr>
        <w:t>，未越线（补充信息表</w:t>
      </w:r>
      <w:r>
        <w:rPr>
          <w:lang w:eastAsia="zh-CN"/>
        </w:rPr>
        <w:t xml:space="preserve"> S1 </w:t>
      </w:r>
      <w:r>
        <w:rPr>
          <w:lang w:eastAsia="zh-CN"/>
        </w:rPr>
        <w:t>注）。</w:t>
      </w:r>
      <w:r>
        <w:rPr>
          <w:lang w:eastAsia="zh-CN"/>
        </w:rPr>
        <w:t xml:space="preserve">F57 </w:t>
      </w:r>
      <w:r>
        <w:rPr>
          <w:lang w:eastAsia="zh-CN"/>
        </w:rPr>
        <w:t>在机组数由</w:t>
      </w:r>
      <w:r>
        <w:rPr>
          <w:lang w:eastAsia="zh-CN"/>
        </w:rPr>
        <w:t xml:space="preserve"> 48 </w:t>
      </w:r>
      <w:r>
        <w:rPr>
          <w:lang w:eastAsia="zh-CN"/>
        </w:rPr>
        <w:t>台增至</w:t>
      </w:r>
      <w:r>
        <w:rPr>
          <w:lang w:eastAsia="zh-CN"/>
        </w:rPr>
        <w:t xml:space="preserve"> 80 </w:t>
      </w:r>
      <w:r>
        <w:rPr>
          <w:lang w:eastAsia="zh-CN"/>
        </w:rPr>
        <w:t>台的</w:t>
      </w:r>
      <w:r>
        <w:rPr>
          <w:lang w:eastAsia="zh-CN"/>
        </w:rPr>
        <w:t xml:space="preserve"> 11 </w:t>
      </w:r>
      <w:r>
        <w:rPr>
          <w:lang w:eastAsia="zh-CN"/>
        </w:rPr>
        <w:t>年中，年度增益始终保持在</w:t>
      </w:r>
      <w:r>
        <w:rPr>
          <w:lang w:eastAsia="zh-CN"/>
        </w:rPr>
        <w:t xml:space="preserve"> 16% </w:t>
      </w:r>
      <w:r>
        <w:rPr>
          <w:lang w:eastAsia="zh-CN"/>
        </w:rPr>
        <w:t>至</w:t>
      </w:r>
      <w:r>
        <w:rPr>
          <w:lang w:eastAsia="zh-CN"/>
        </w:rPr>
        <w:t xml:space="preserve"> 22%</w:t>
      </w:r>
      <w:r>
        <w:rPr>
          <w:lang w:eastAsia="zh-CN"/>
        </w:rPr>
        <w:t>；</w:t>
      </w:r>
      <w:r>
        <w:rPr>
          <w:lang w:eastAsia="zh-CN"/>
        </w:rPr>
        <w:t xml:space="preserve">F157 </w:t>
      </w:r>
      <w:r>
        <w:rPr>
          <w:lang w:eastAsia="zh-CN"/>
        </w:rPr>
        <w:t>在机组数基本不变时保持在</w:t>
      </w:r>
      <w:r>
        <w:rPr>
          <w:lang w:eastAsia="zh-CN"/>
        </w:rPr>
        <w:t xml:space="preserve"> 5.0% </w:t>
      </w:r>
      <w:r>
        <w:rPr>
          <w:lang w:eastAsia="zh-CN"/>
        </w:rPr>
        <w:t>至</w:t>
      </w:r>
      <w:r>
        <w:rPr>
          <w:lang w:eastAsia="zh-CN"/>
        </w:rPr>
        <w:t xml:space="preserve"> 9.6%</w:t>
      </w:r>
      <w:r>
        <w:rPr>
          <w:lang w:eastAsia="zh-CN"/>
        </w:rPr>
        <w:t>。这种跨年稳定性表明，高值主要来自场址长期存在的风向结构，而不是个别年份的天气抽样。</w:t>
      </w:r>
    </w:p>
    <w:p w14:paraId="5510069C" w14:textId="77777777" w:rsidR="00613D57" w:rsidRDefault="000D7978">
      <w:pPr>
        <w:rPr>
          <w:lang w:eastAsia="zh-CN"/>
        </w:rPr>
      </w:pPr>
      <w:r>
        <w:rPr>
          <w:lang w:eastAsia="zh-CN"/>
        </w:rPr>
        <w:t>朝向因而不适合用一个全球平均增益率统一取舍。在大多数海域，它可以让位于航道、海缆和施工条件；在少数高值海域，它却是与风资源自身年际波动同量级的可控变量（图</w:t>
      </w:r>
      <w:r>
        <w:rPr>
          <w:lang w:eastAsia="zh-CN"/>
        </w:rPr>
        <w:t xml:space="preserve"> 1e</w:t>
      </w:r>
      <w:r>
        <w:rPr>
          <w:lang w:eastAsia="zh-CN"/>
        </w:rPr>
        <w:t>）。规划上真正有用的做法，是先区分这两类海域，再对高值项目开展直接核算。</w:t>
      </w:r>
    </w:p>
    <w:p w14:paraId="62DA6703" w14:textId="77777777" w:rsidR="00613D57" w:rsidRDefault="000D7978">
      <w:pPr>
        <w:keepNext/>
        <w:keepLines/>
        <w:spacing w:before="100" w:after="60"/>
        <w:jc w:val="center"/>
      </w:pPr>
      <w:r>
        <w:rPr>
          <w:noProof/>
        </w:rPr>
        <w:lastRenderedPageBreak/>
        <w:drawing>
          <wp:inline distT="0" distB="0" distL="0" distR="0" wp14:anchorId="64D0C4AF" wp14:editId="381657C0">
            <wp:extent cx="5852160" cy="7124486"/>
            <wp:effectExtent l="0" t="0" r="0" b="0"/>
            <wp:docPr id="2140210003" name="Picture 214021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4_concentration.png"/>
                    <pic:cNvPicPr/>
                  </pic:nvPicPr>
                  <pic:blipFill>
                    <a:blip r:embed="rId8"/>
                    <a:stretch>
                      <a:fillRect/>
                    </a:stretch>
                  </pic:blipFill>
                  <pic:spPr>
                    <a:xfrm>
                      <a:off x="0" y="0"/>
                      <a:ext cx="5852160" cy="7124486"/>
                    </a:xfrm>
                    <a:prstGeom prst="rect">
                      <a:avLst/>
                    </a:prstGeom>
                  </pic:spPr>
                </pic:pic>
              </a:graphicData>
            </a:graphic>
          </wp:inline>
        </w:drawing>
      </w:r>
    </w:p>
    <w:p w14:paraId="6FAEBDD8" w14:textId="77777777" w:rsidR="00613D57" w:rsidRDefault="000D7978">
      <w:pPr>
        <w:pStyle w:val="af7"/>
        <w:keepLines/>
        <w:spacing w:before="60"/>
        <w:rPr>
          <w:lang w:eastAsia="zh-CN"/>
        </w:rPr>
      </w:pPr>
      <w:r>
        <w:rPr>
          <w:b/>
          <w:lang w:eastAsia="zh-CN"/>
        </w:rPr>
        <w:t>图</w:t>
      </w:r>
      <w:r>
        <w:rPr>
          <w:b/>
          <w:lang w:eastAsia="zh-CN"/>
        </w:rPr>
        <w:t xml:space="preserve"> 1</w:t>
      </w:r>
      <w:r>
        <w:rPr>
          <w:b/>
          <w:lang w:eastAsia="zh-CN"/>
        </w:rPr>
        <w:t>｜朝向增益的全球集中程度。（</w:t>
      </w:r>
      <w:r>
        <w:rPr>
          <w:b/>
          <w:lang w:eastAsia="zh-CN"/>
        </w:rPr>
        <w:t>a</w:t>
      </w:r>
      <w:r>
        <w:rPr>
          <w:b/>
          <w:lang w:eastAsia="zh-CN"/>
        </w:rPr>
        <w:t>）散点按</w:t>
      </w:r>
      <w:r>
        <w:rPr>
          <w:b/>
          <w:lang w:eastAsia="zh-CN"/>
        </w:rPr>
        <w:t xml:space="preserve"> 2014 </w:t>
      </w:r>
      <w:r>
        <w:rPr>
          <w:b/>
          <w:lang w:eastAsia="zh-CN"/>
        </w:rPr>
        <w:t>至</w:t>
      </w:r>
      <w:r>
        <w:rPr>
          <w:b/>
          <w:lang w:eastAsia="zh-CN"/>
        </w:rPr>
        <w:t xml:space="preserve"> 2024 </w:t>
      </w:r>
      <w:r>
        <w:rPr>
          <w:b/>
          <w:lang w:eastAsia="zh-CN"/>
        </w:rPr>
        <w:t>年平均朝向增益（按历史最优角建设相对实际建成朝向多发的年发电量百分比）降序排列</w:t>
      </w:r>
      <w:r>
        <w:rPr>
          <w:b/>
          <w:lang w:eastAsia="zh-CN"/>
        </w:rPr>
        <w:t xml:space="preserve"> 171 </w:t>
      </w:r>
      <w:r>
        <w:rPr>
          <w:b/>
          <w:lang w:eastAsia="zh-CN"/>
        </w:rPr>
        <w:t>个真实建成风场，颜色表示该场增益为正的年份占比，红色虚线与灰色点线分别标出场级中位数</w:t>
      </w:r>
      <w:r>
        <w:rPr>
          <w:b/>
          <w:lang w:eastAsia="zh-CN"/>
        </w:rPr>
        <w:t xml:space="preserve"> 0.34% </w:t>
      </w:r>
      <w:r>
        <w:rPr>
          <w:b/>
          <w:lang w:eastAsia="zh-CN"/>
        </w:rPr>
        <w:t>与均值</w:t>
      </w:r>
      <w:r>
        <w:rPr>
          <w:b/>
          <w:lang w:eastAsia="zh-CN"/>
        </w:rPr>
        <w:t xml:space="preserve"> 0.95%</w:t>
      </w:r>
      <w:r>
        <w:rPr>
          <w:b/>
          <w:lang w:eastAsia="zh-CN"/>
        </w:rPr>
        <w:t>，纵轴为对称对数刻度。（</w:t>
      </w:r>
      <w:r>
        <w:rPr>
          <w:b/>
          <w:lang w:eastAsia="zh-CN"/>
        </w:rPr>
        <w:t>b</w:t>
      </w:r>
      <w:r>
        <w:rPr>
          <w:b/>
          <w:lang w:eastAsia="zh-CN"/>
        </w:rPr>
        <w:t>）散点逐场比较至少具有</w:t>
      </w:r>
      <w:r>
        <w:rPr>
          <w:b/>
          <w:lang w:eastAsia="zh-CN"/>
        </w:rPr>
        <w:t xml:space="preserve"> 3 </w:t>
      </w:r>
      <w:r>
        <w:rPr>
          <w:b/>
          <w:lang w:eastAsia="zh-CN"/>
        </w:rPr>
        <w:t>年记录的</w:t>
      </w:r>
      <w:r>
        <w:rPr>
          <w:b/>
          <w:lang w:eastAsia="zh-CN"/>
        </w:rPr>
        <w:t xml:space="preserve"> 146 </w:t>
      </w:r>
      <w:r>
        <w:rPr>
          <w:b/>
          <w:lang w:eastAsia="zh-CN"/>
        </w:rPr>
        <w:t>个风场的朝向增益与该场自身的风速年际波动（同一风场逐年风速对年发电量贡献的标准差，与朝向增益同以年发电量的百分比计量，见方法</w:t>
      </w:r>
      <w:r>
        <w:rPr>
          <w:b/>
          <w:lang w:eastAsia="zh-CN"/>
        </w:rPr>
        <w:t xml:space="preserve"> 5.3</w:t>
      </w:r>
      <w:r>
        <w:rPr>
          <w:b/>
          <w:lang w:eastAsia="zh-CN"/>
        </w:rPr>
        <w:t>），虚线为</w:t>
      </w:r>
      <w:r>
        <w:rPr>
          <w:b/>
          <w:lang w:eastAsia="zh-CN"/>
        </w:rPr>
        <w:t xml:space="preserve"> 1:1 </w:t>
      </w:r>
      <w:r>
        <w:rPr>
          <w:b/>
          <w:lang w:eastAsia="zh-CN"/>
        </w:rPr>
        <w:t>关系，实心红点为主判据下越线的</w:t>
      </w:r>
      <w:r>
        <w:rPr>
          <w:b/>
          <w:lang w:eastAsia="zh-CN"/>
        </w:rPr>
        <w:t xml:space="preserve"> 4 </w:t>
      </w:r>
      <w:r>
        <w:rPr>
          <w:b/>
          <w:lang w:eastAsia="zh-CN"/>
        </w:rPr>
        <w:t>个风场，空心红圈为放宽至</w:t>
      </w:r>
      <w:r>
        <w:rPr>
          <w:b/>
          <w:lang w:eastAsia="zh-CN"/>
        </w:rPr>
        <w:t xml:space="preserve"> 3 </w:t>
      </w:r>
      <w:r>
        <w:rPr>
          <w:b/>
          <w:lang w:eastAsia="zh-CN"/>
        </w:rPr>
        <w:t>年后新增的</w:t>
      </w:r>
      <w:r>
        <w:rPr>
          <w:b/>
          <w:lang w:eastAsia="zh-CN"/>
        </w:rPr>
        <w:t xml:space="preserve"> 1 </w:t>
      </w:r>
      <w:r>
        <w:rPr>
          <w:b/>
          <w:lang w:eastAsia="zh-CN"/>
        </w:rPr>
        <w:t>个。（</w:t>
      </w:r>
      <w:r>
        <w:rPr>
          <w:b/>
          <w:lang w:eastAsia="zh-CN"/>
        </w:rPr>
        <w:t>c</w:t>
      </w:r>
      <w:r>
        <w:rPr>
          <w:b/>
          <w:lang w:eastAsia="zh-CN"/>
        </w:rPr>
        <w:t>）两幅区域地图给出越线风场（星号）、其他走廊风场（橙色）与其余风场（灰色）的位置，点面积与增益成正比。（</w:t>
      </w:r>
      <w:r>
        <w:rPr>
          <w:b/>
          <w:lang w:eastAsia="zh-CN"/>
        </w:rPr>
        <w:t>d</w:t>
      </w:r>
      <w:r>
        <w:rPr>
          <w:b/>
          <w:lang w:eastAsia="zh-CN"/>
        </w:rPr>
        <w:t>）折线给出</w:t>
      </w:r>
      <w:r>
        <w:rPr>
          <w:b/>
          <w:lang w:eastAsia="zh-CN"/>
        </w:rPr>
        <w:t xml:space="preserve"> 5 </w:t>
      </w:r>
      <w:r>
        <w:rPr>
          <w:b/>
          <w:lang w:eastAsia="zh-CN"/>
        </w:rPr>
        <w:t>个越线风场的逐年增益，灰带与灰线为全部风场的四分位距与中位数，虚线折线为仅具 3–4 年记录的风场，纵轴为对称对数刻度（1% 以下为线性段）。（</w:t>
      </w:r>
      <w:r>
        <w:rPr>
          <w:b/>
          <w:lang w:eastAsia="zh-CN"/>
        </w:rPr>
        <w:t>e</w:t>
      </w:r>
      <w:r>
        <w:rPr>
          <w:b/>
          <w:lang w:eastAsia="zh-CN"/>
        </w:rPr>
        <w:t>）集中度曲线给出按增益降序累积的新增电量份额与装机份额，橙点标出增益最高的 5 个风场，对角虚线为装机份额与新增电量份额均匀对应的参考线，阴影为曲线相对该参考线的偏离。</w:t>
      </w:r>
      <w:r>
        <w:rPr>
          <w:b/>
          <w:lang w:eastAsia="zh-CN"/>
        </w:rPr>
      </w:r>
      <w:r>
        <w:rPr>
          <w:b/>
          <w:lang w:eastAsia="zh-CN"/>
        </w:rPr>
      </w:r>
    </w:p>
    <w:p w14:paraId="1DB60CEB" w14:textId="77777777" w:rsidR="00613D57" w:rsidRDefault="000D7978">
      <w:pPr>
        <w:pStyle w:val="21"/>
        <w:rPr>
          <w:lang w:eastAsia="zh-CN"/>
        </w:rPr>
      </w:pPr>
      <w:r>
        <w:rPr>
          <w:rFonts w:ascii="Arial" w:eastAsia="黑体" w:hAnsi="Arial" w:cs="Times New Roman"/>
          <w:lang w:eastAsia="zh-CN"/>
        </w:rPr>
        <w:lastRenderedPageBreak/>
        <w:t xml:space="preserve">2.2 </w:t>
      </w:r>
      <w:r>
        <w:rPr>
          <w:rFonts w:ascii="Arial" w:eastAsia="黑体" w:hAnsi="Arial" w:cs="Times New Roman"/>
          <w:lang w:eastAsia="zh-CN"/>
        </w:rPr>
        <w:t>密集排布提供几何门槛，轴向风气候提供方向组织</w:t>
      </w:r>
    </w:p>
    <w:p w14:paraId="6C1A5A2D" w14:textId="77777777" w:rsidR="00613D57" w:rsidRDefault="000D7978">
      <w:pPr>
        <w:rPr>
          <w:lang w:eastAsia="zh-CN"/>
        </w:rPr>
      </w:pPr>
      <w:r>
        <w:rPr>
          <w:lang w:eastAsia="zh-CN"/>
        </w:rPr>
        <w:t>同一套真实机位只因来流方向不同，发电效率就可能相差数倍，而这类方向差异首先受到机组间距限制。在</w:t>
      </w:r>
      <w:r>
        <w:rPr>
          <w:lang w:eastAsia="zh-CN"/>
        </w:rPr>
        <w:t xml:space="preserve"> 9 m s⁻¹ </w:t>
      </w:r>
      <w:r>
        <w:rPr>
          <w:lang w:eastAsia="zh-CN"/>
        </w:rPr>
        <w:t>下，</w:t>
      </w:r>
      <w:r>
        <w:rPr>
          <w:lang w:eastAsia="zh-CN"/>
        </w:rPr>
        <w:t xml:space="preserve">F66 </w:t>
      </w:r>
      <w:r>
        <w:rPr>
          <w:lang w:eastAsia="zh-CN"/>
        </w:rPr>
        <w:t>终期真实机位在高尾流方向只能发出无尾流理想出力的</w:t>
      </w:r>
      <w:r>
        <w:rPr>
          <w:lang w:eastAsia="zh-CN"/>
        </w:rPr>
        <w:t xml:space="preserve"> 14.6%</w:t>
      </w:r>
      <w:r>
        <w:rPr>
          <w:lang w:eastAsia="zh-CN"/>
        </w:rPr>
        <w:t>，在低尾流方向则达到</w:t>
      </w:r>
      <w:r>
        <w:rPr>
          <w:lang w:eastAsia="zh-CN"/>
        </w:rPr>
        <w:t xml:space="preserve"> 91.8%</w:t>
      </w:r>
      <w:r>
        <w:rPr>
          <w:lang w:eastAsia="zh-CN"/>
        </w:rPr>
        <w:t>，其间机组数量、机型和两两距离均不变（图</w:t>
      </w:r>
      <w:r>
        <w:rPr>
          <w:lang w:eastAsia="zh-CN"/>
        </w:rPr>
        <w:t xml:space="preserve"> 2a</w:t>
      </w:r>
      <w:r>
        <w:rPr>
          <w:lang w:eastAsia="zh-CN"/>
        </w:rPr>
        <w:t>；补充信息表</w:t>
      </w:r>
      <w:r>
        <w:rPr>
          <w:lang w:eastAsia="zh-CN"/>
        </w:rPr>
        <w:t xml:space="preserve"> S2</w:t>
      </w:r>
      <w:r>
        <w:rPr>
          <w:lang w:eastAsia="zh-CN"/>
        </w:rPr>
        <w:t>、</w:t>
      </w:r>
      <w:r>
        <w:rPr>
          <w:lang w:eastAsia="zh-CN"/>
        </w:rPr>
        <w:t>S14</w:t>
      </w:r>
      <w:r>
        <w:rPr>
          <w:lang w:eastAsia="zh-CN"/>
        </w:rPr>
        <w:t>）。在全部特征完整风场中，有效最近邻间距越小，方向响应幅度越大，</w:t>
      </w:r>
      <w:r>
        <w:rPr>
          <w:lang w:eastAsia="zh-CN"/>
        </w:rPr>
        <w:t xml:space="preserve">Spearman </w:t>
      </w:r>
      <w:r>
        <w:rPr>
          <w:lang w:eastAsia="zh-CN"/>
        </w:rPr>
        <w:t>相关为</w:t>
      </w:r>
      <w:r>
        <w:rPr>
          <w:lang w:eastAsia="zh-CN"/>
        </w:rPr>
        <w:t xml:space="preserve"> −0.75</w:t>
      </w:r>
      <w:r>
        <w:rPr>
          <w:lang w:eastAsia="zh-CN"/>
        </w:rPr>
        <w:t>（图</w:t>
      </w:r>
      <w:r>
        <w:rPr>
          <w:lang w:eastAsia="zh-CN"/>
        </w:rPr>
        <w:t xml:space="preserve"> 2b</w:t>
      </w:r>
      <w:r>
        <w:rPr>
          <w:lang w:eastAsia="zh-CN"/>
        </w:rPr>
        <w:t>；补充信息表</w:t>
      </w:r>
      <w:r>
        <w:rPr>
          <w:lang w:eastAsia="zh-CN"/>
        </w:rPr>
        <w:t xml:space="preserve"> S3</w:t>
      </w:r>
      <w:r>
        <w:rPr>
          <w:lang w:eastAsia="zh-CN"/>
        </w:rPr>
        <w:t>）。</w:t>
      </w:r>
      <w:r>
        <w:rPr>
          <w:lang w:eastAsia="zh-CN"/>
        </w:rPr>
        <w:t xml:space="preserve">27 </w:t>
      </w:r>
      <w:r>
        <w:rPr>
          <w:lang w:eastAsia="zh-CN"/>
        </w:rPr>
        <w:t>个高响应风场全部位于</w:t>
      </w:r>
      <w:r>
        <w:rPr>
          <w:lang w:eastAsia="zh-CN"/>
        </w:rPr>
        <w:t xml:space="preserve"> 4 </w:t>
      </w:r>
      <w:r>
        <w:rPr>
          <w:lang w:eastAsia="zh-CN"/>
        </w:rPr>
        <w:t>倍转子直径以内；</w:t>
      </w:r>
      <w:r>
        <w:rPr>
          <w:lang w:eastAsia="zh-CN"/>
        </w:rPr>
        <w:t xml:space="preserve">48 </w:t>
      </w:r>
      <w:r>
        <w:rPr>
          <w:lang w:eastAsia="zh-CN"/>
        </w:rPr>
        <w:t>个达到或超过这一间距的风场无一进入高响应组。</w:t>
      </w:r>
    </w:p>
    <w:p w14:paraId="4A026323" w14:textId="77777777" w:rsidR="00613D57" w:rsidRDefault="000D7978">
      <w:pPr>
        <w:rPr>
          <w:lang w:eastAsia="zh-CN"/>
        </w:rPr>
      </w:pPr>
      <w:r>
        <w:rPr>
          <w:lang w:eastAsia="zh-CN"/>
        </w:rPr>
        <w:t>小间距只是门槛；要让朝向差异在全年累积，高能量风还需经常沿同一条轴线从相反方向往返。在</w:t>
      </w:r>
      <w:r>
        <w:rPr>
          <w:lang w:eastAsia="zh-CN"/>
        </w:rPr>
        <w:t xml:space="preserve"> 123 </w:t>
      </w:r>
      <w:r>
        <w:rPr>
          <w:lang w:eastAsia="zh-CN"/>
        </w:rPr>
        <w:t>个间距小于</w:t>
      </w:r>
      <w:r>
        <w:rPr>
          <w:lang w:eastAsia="zh-CN"/>
        </w:rPr>
        <w:t xml:space="preserve"> 4 </w:t>
      </w:r>
      <w:r>
        <w:rPr>
          <w:lang w:eastAsia="zh-CN"/>
        </w:rPr>
        <w:t>倍转子直径的风场中，只有</w:t>
      </w:r>
      <w:r>
        <w:rPr>
          <w:lang w:eastAsia="zh-CN"/>
        </w:rPr>
        <w:t xml:space="preserve"> 27 </w:t>
      </w:r>
      <w:r>
        <w:rPr>
          <w:lang w:eastAsia="zh-CN"/>
        </w:rPr>
        <w:t>个达到高响应；仅看风是否集中于某一个方向也不能区分高、低响应组（图</w:t>
      </w:r>
      <w:r>
        <w:rPr>
          <w:lang w:eastAsia="zh-CN"/>
        </w:rPr>
        <w:t xml:space="preserve"> 2d</w:t>
      </w:r>
      <w:r>
        <w:rPr>
          <w:lang w:eastAsia="zh-CN"/>
        </w:rPr>
        <w:t>；补充信息表</w:t>
      </w:r>
      <w:r>
        <w:rPr>
          <w:lang w:eastAsia="zh-CN"/>
        </w:rPr>
        <w:t xml:space="preserve"> S3</w:t>
      </w:r>
      <w:r>
        <w:rPr>
          <w:lang w:eastAsia="zh-CN"/>
        </w:rPr>
        <w:t>、</w:t>
      </w:r>
      <w:r>
        <w:rPr>
          <w:lang w:eastAsia="zh-CN"/>
        </w:rPr>
        <w:t>S13</w:t>
      </w:r>
      <w:r>
        <w:rPr>
          <w:lang w:eastAsia="zh-CN"/>
        </w:rPr>
        <w:t>）。保留风速与风向的真实搭配时，</w:t>
      </w:r>
      <w:r>
        <w:rPr>
          <w:lang w:eastAsia="zh-CN"/>
        </w:rPr>
        <w:t xml:space="preserve">171 </w:t>
      </w:r>
      <w:r>
        <w:rPr>
          <w:lang w:eastAsia="zh-CN"/>
        </w:rPr>
        <w:t>个场址与六种建设范式的平均方向响应幅度为</w:t>
      </w:r>
      <w:r>
        <w:rPr>
          <w:lang w:eastAsia="zh-CN"/>
        </w:rPr>
        <w:t xml:space="preserve"> 1.09%</w:t>
      </w:r>
      <w:r>
        <w:rPr>
          <w:lang w:eastAsia="zh-CN"/>
        </w:rPr>
        <w:t>；打乱两者的搭配后降至</w:t>
      </w:r>
      <w:r>
        <w:rPr>
          <w:lang w:eastAsia="zh-CN"/>
        </w:rPr>
        <w:t xml:space="preserve"> 0.75%</w:t>
      </w:r>
      <w:r>
        <w:rPr>
          <w:lang w:eastAsia="zh-CN"/>
        </w:rPr>
        <w:t>，减少</w:t>
      </w:r>
      <w:r>
        <w:rPr>
          <w:lang w:eastAsia="zh-CN"/>
        </w:rPr>
        <w:t xml:space="preserve"> 30.9%</w:t>
      </w:r>
      <w:r>
        <w:rPr>
          <w:lang w:eastAsia="zh-CN"/>
        </w:rPr>
        <w:t>；把风向改为均匀分布后则降为</w:t>
      </w:r>
      <w:r>
        <w:rPr>
          <w:lang w:eastAsia="zh-CN"/>
        </w:rPr>
        <w:t xml:space="preserve"> 0</w:t>
      </w:r>
      <w:r>
        <w:rPr>
          <w:lang w:eastAsia="zh-CN"/>
        </w:rPr>
        <w:t>（图</w:t>
      </w:r>
      <w:r>
        <w:rPr>
          <w:lang w:eastAsia="zh-CN"/>
        </w:rPr>
        <w:t xml:space="preserve"> 2c</w:t>
      </w:r>
      <w:r>
        <w:rPr>
          <w:lang w:eastAsia="zh-CN"/>
        </w:rPr>
        <w:t>；补充信息表</w:t>
      </w:r>
      <w:r>
        <w:rPr>
          <w:lang w:eastAsia="zh-CN"/>
        </w:rPr>
        <w:t xml:space="preserve"> S4</w:t>
      </w:r>
      <w:r>
        <w:rPr>
          <w:lang w:eastAsia="zh-CN"/>
        </w:rPr>
        <w:t>）。这说明轴向风气候以及风速</w:t>
      </w:r>
      <w:r>
        <w:rPr>
          <w:lang w:eastAsia="zh-CN"/>
        </w:rPr>
        <w:t>—</w:t>
      </w:r>
      <w:r>
        <w:rPr>
          <w:lang w:eastAsia="zh-CN"/>
        </w:rPr>
        <w:t>风向的真实搭配共同放大了方向差异。</w:t>
      </w:r>
    </w:p>
    <w:p w14:paraId="58A21A0B" w14:textId="77777777" w:rsidR="00613D57" w:rsidRDefault="000D7978">
      <w:pPr>
        <w:rPr>
          <w:lang w:eastAsia="zh-CN"/>
        </w:rPr>
      </w:pPr>
      <w:r>
        <w:rPr>
          <w:lang w:eastAsia="zh-CN"/>
        </w:rPr>
        <w:t>场址具备较大的朝向潜力后，建成时所选方向决定其中有多少能够兑现。在</w:t>
      </w:r>
      <w:r>
        <w:rPr>
          <w:lang w:eastAsia="zh-CN"/>
        </w:rPr>
        <w:t xml:space="preserve"> 27 </w:t>
      </w:r>
      <w:r>
        <w:rPr>
          <w:lang w:eastAsia="zh-CN"/>
        </w:rPr>
        <w:t>个高响应风场中，建成朝向偏离历史最优朝向越大，实际增益占该场方向响应上限的比例越高，</w:t>
      </w:r>
      <w:r>
        <w:rPr>
          <w:lang w:eastAsia="zh-CN"/>
        </w:rPr>
        <w:t xml:space="preserve">Spearman </w:t>
      </w:r>
      <w:r>
        <w:rPr>
          <w:lang w:eastAsia="zh-CN"/>
        </w:rPr>
        <w:t>相关为</w:t>
      </w:r>
      <w:r>
        <w:rPr>
          <w:lang w:eastAsia="zh-CN"/>
        </w:rPr>
        <w:t xml:space="preserve"> 0.861</w:t>
      </w:r>
      <w:r>
        <w:rPr>
          <w:lang w:eastAsia="zh-CN"/>
        </w:rPr>
        <w:t>（图</w:t>
      </w:r>
      <w:r>
        <w:rPr>
          <w:lang w:eastAsia="zh-CN"/>
        </w:rPr>
        <w:t xml:space="preserve"> 2e</w:t>
      </w:r>
      <w:r>
        <w:rPr>
          <w:lang w:eastAsia="zh-CN"/>
        </w:rPr>
        <w:t>；补充信息</w:t>
      </w:r>
      <w:r>
        <w:rPr>
          <w:lang w:eastAsia="zh-CN"/>
        </w:rPr>
        <w:t xml:space="preserve"> S3.5</w:t>
      </w:r>
      <w:r>
        <w:rPr>
          <w:lang w:eastAsia="zh-CN"/>
        </w:rPr>
        <w:t>、表</w:t>
      </w:r>
      <w:r>
        <w:rPr>
          <w:lang w:eastAsia="zh-CN"/>
        </w:rPr>
        <w:t xml:space="preserve"> S15</w:t>
      </w:r>
      <w:r>
        <w:rPr>
          <w:lang w:eastAsia="zh-CN"/>
        </w:rPr>
        <w:t>）。场址对朝向敏感，并不等于当前排布一定朝错了；只有建成方向偏离有利方向时，较大的潜力才会转化为新增电量。</w:t>
      </w:r>
    </w:p>
    <w:p w14:paraId="5DCDFA27" w14:textId="77777777" w:rsidR="006360AD" w:rsidRDefault="000D7978">
      <w:pPr>
        <w:rPr>
          <w:lang w:eastAsia="zh-CN"/>
        </w:rPr>
      </w:pPr>
      <w:r>
        <w:rPr>
          <w:lang w:eastAsia="zh-CN"/>
        </w:rPr>
        <w:t>建成状态下的平均尾流损失不能替代上述判断。它与方向响应幅度的相关仅为</w:t>
      </w:r>
      <w:r>
        <w:rPr>
          <w:lang w:eastAsia="zh-CN"/>
        </w:rPr>
        <w:t xml:space="preserve"> −0.03</w:t>
      </w:r>
      <w:r>
        <w:rPr>
          <w:lang w:eastAsia="zh-CN"/>
        </w:rPr>
        <w:t>（</w:t>
      </w:r>
      <w:r>
        <w:rPr>
          <w:lang w:eastAsia="zh-CN"/>
        </w:rPr>
        <w:t>p = 0.70</w:t>
      </w:r>
      <w:r>
        <w:rPr>
          <w:lang w:eastAsia="zh-CN"/>
        </w:rPr>
        <w:t>；口径见补充信息表</w:t>
      </w:r>
      <w:r>
        <w:rPr>
          <w:lang w:eastAsia="zh-CN"/>
        </w:rPr>
        <w:t xml:space="preserve"> S2 </w:t>
      </w:r>
      <w:r>
        <w:rPr>
          <w:lang w:eastAsia="zh-CN"/>
        </w:rPr>
        <w:t>注），而不同来流方向之间的效率落差与方向响应幅度明显同向变化（图</w:t>
      </w:r>
      <w:r>
        <w:rPr>
          <w:lang w:eastAsia="zh-CN"/>
        </w:rPr>
        <w:t xml:space="preserve"> 2f</w:t>
      </w:r>
      <w:r>
        <w:rPr>
          <w:lang w:eastAsia="zh-CN"/>
        </w:rPr>
        <w:t>；补充信息表</w:t>
      </w:r>
      <w:r>
        <w:rPr>
          <w:lang w:eastAsia="zh-CN"/>
        </w:rPr>
        <w:t xml:space="preserve"> S14</w:t>
      </w:r>
      <w:r>
        <w:rPr>
          <w:lang w:eastAsia="zh-CN"/>
        </w:rPr>
        <w:t>）。场址的朝向潜力取决于尾流随方向改变了多少，而不是某一个方向下尾流本身有多重。</w:t>
      </w:r>
    </w:p>
    <w:p w14:paraId="4202820F" w14:textId="77777777" w:rsidR="00613D57" w:rsidRDefault="000D7978">
      <w:pPr>
        <w:keepNext/>
        <w:keepLines/>
        <w:spacing w:before="100" w:after="60"/>
        <w:jc w:val="center"/>
      </w:pPr>
      <w:r>
        <w:rPr>
          <w:noProof/>
        </w:rPr>
        <w:lastRenderedPageBreak/>
        <w:drawing>
          <wp:inline distT="0" distB="0" distL="0" distR="0" wp14:anchorId="4C3122FC" wp14:editId="14180D45">
            <wp:extent cx="5852160" cy="7140863"/>
            <wp:effectExtent l="0" t="0" r="0" b="0"/>
            <wp:docPr id="2140210004" name="Picture 214021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v4_conditions.png"/>
                    <pic:cNvPicPr/>
                  </pic:nvPicPr>
                  <pic:blipFill>
                    <a:blip r:embed="rId9"/>
                    <a:stretch>
                      <a:fillRect/>
                    </a:stretch>
                  </pic:blipFill>
                  <pic:spPr>
                    <a:xfrm>
                      <a:off x="0" y="0"/>
                      <a:ext cx="5852160" cy="7140863"/>
                    </a:xfrm>
                    <a:prstGeom prst="rect">
                      <a:avLst/>
                    </a:prstGeom>
                  </pic:spPr>
                </pic:pic>
              </a:graphicData>
            </a:graphic>
          </wp:inline>
        </w:drawing>
      </w:r>
    </w:p>
    <w:p w14:paraId="754455C2" w14:textId="53CDDD4C" w:rsidR="00613D57" w:rsidRPr="000C07B0" w:rsidRDefault="000D7978">
      <w:pPr>
        <w:pStyle w:val="af7"/>
        <w:keepLines/>
        <w:spacing w:before="60"/>
        <w:rPr>
          <w:iCs/>
          <w:lang w:eastAsia="zh-CN"/>
        </w:rPr>
      </w:pPr>
      <w:r w:rsidRPr="000C07B0">
        <w:rPr>
          <w:b/>
          <w:iCs/>
          <w:lang w:eastAsia="zh-CN"/>
        </w:rPr>
        <w:t>图</w:t>
      </w:r>
      <w:r w:rsidRPr="000C07B0">
        <w:rPr>
          <w:b/>
          <w:iCs/>
          <w:lang w:eastAsia="zh-CN"/>
        </w:rPr>
        <w:t xml:space="preserve"> 2</w:t>
      </w:r>
      <w:r w:rsidRPr="000C07B0">
        <w:rPr>
          <w:b/>
          <w:iCs/>
          <w:lang w:eastAsia="zh-CN"/>
        </w:rPr>
        <w:t>｜方向响应的两个共现条件及其兑现。（</w:t>
      </w:r>
      <w:r w:rsidRPr="000C07B0">
        <w:rPr>
          <w:b/>
          <w:iCs/>
          <w:lang w:eastAsia="zh-CN"/>
        </w:rPr>
        <w:t>a</w:t>
      </w:r>
      <w:r w:rsidRPr="000C07B0">
        <w:rPr>
          <w:b/>
          <w:iCs/>
          <w:lang w:eastAsia="zh-CN"/>
        </w:rPr>
        <w:t>）极坐标曲线给出</w:t>
      </w:r>
      <w:r w:rsidRPr="000C07B0">
        <w:rPr>
          <w:b/>
          <w:iCs/>
          <w:lang w:eastAsia="zh-CN"/>
        </w:rPr>
        <w:t xml:space="preserve"> F66 </w:t>
      </w:r>
      <w:r w:rsidRPr="000C07B0">
        <w:rPr>
          <w:b/>
          <w:iCs/>
          <w:lang w:eastAsia="zh-CN"/>
        </w:rPr>
        <w:t>终期真实机位在</w:t>
      </w:r>
      <w:r w:rsidRPr="000C07B0">
        <w:rPr>
          <w:b/>
          <w:iCs/>
          <w:lang w:eastAsia="zh-CN"/>
        </w:rPr>
        <w:t xml:space="preserve"> 9 m s⁻¹ </w:t>
      </w:r>
      <w:r w:rsidRPr="000C07B0">
        <w:rPr>
          <w:b/>
          <w:iCs/>
          <w:lang w:eastAsia="zh-CN"/>
        </w:rPr>
        <w:t>下随来流方向变化的场级效率，即有尾流时的场级出力相对无尾流理想出力的百分比，绿点与红点分别标出最高值</w:t>
      </w:r>
      <w:r w:rsidRPr="000C07B0">
        <w:rPr>
          <w:b/>
          <w:iCs/>
          <w:lang w:eastAsia="zh-CN"/>
        </w:rPr>
        <w:t xml:space="preserve"> 91.8% </w:t>
      </w:r>
      <w:r w:rsidRPr="000C07B0">
        <w:rPr>
          <w:b/>
          <w:iCs/>
          <w:lang w:eastAsia="zh-CN"/>
        </w:rPr>
        <w:t>与最低值</w:t>
      </w:r>
      <w:r w:rsidRPr="000C07B0">
        <w:rPr>
          <w:b/>
          <w:iCs/>
          <w:lang w:eastAsia="zh-CN"/>
        </w:rPr>
        <w:t xml:space="preserve"> 14.6%</w:t>
      </w:r>
      <w:r w:rsidRPr="000C07B0">
        <w:rPr>
          <w:b/>
          <w:iCs/>
          <w:lang w:eastAsia="zh-CN"/>
        </w:rPr>
        <w:t>，机组数量与两两距离沿整条曲线保持不变。（</w:t>
      </w:r>
      <w:r w:rsidRPr="000C07B0">
        <w:rPr>
          <w:b/>
          <w:iCs/>
          <w:lang w:eastAsia="zh-CN"/>
        </w:rPr>
        <w:t>b</w:t>
      </w:r>
      <w:r w:rsidRPr="000C07B0">
        <w:rPr>
          <w:b/>
          <w:iCs/>
          <w:lang w:eastAsia="zh-CN"/>
        </w:rPr>
        <w:t>）散点比较有效最近邻间距与真实排布的方向响应幅度，即最优朝向比各朝向平均水平多发的年发电量百分比（</w:t>
      </w:r>
      <m:oMath>
        <m:r>
          <m:rPr>
            <m:sty m:val="p"/>
          </m:rPr>
          <w:rPr>
            <w:rFonts w:ascii="Cambria Math" w:hAnsi="Cambria Math"/>
            <w:lang w:eastAsia="zh-CN"/>
          </w:rPr>
          <m:t>n</m:t>
        </m:r>
      </m:oMath>
      <w:r w:rsidRPr="000C07B0">
        <w:rPr>
          <w:b/>
          <w:iCs/>
          <w:lang w:eastAsia="zh-CN"/>
        </w:rPr>
        <w:t xml:space="preserve"> = 171</w:t>
      </w:r>
      <w:r w:rsidRPr="000C07B0">
        <w:rPr>
          <w:b/>
          <w:iCs/>
          <w:lang w:eastAsia="zh-CN"/>
        </w:rPr>
        <w:t>），橙点为该幅度超过</w:t>
      </w:r>
      <w:r w:rsidRPr="000C07B0">
        <w:rPr>
          <w:b/>
          <w:iCs/>
          <w:lang w:eastAsia="zh-CN"/>
        </w:rPr>
        <w:t xml:space="preserve"> 5.2% </w:t>
      </w:r>
      <w:r w:rsidRPr="000C07B0">
        <w:rPr>
          <w:b/>
          <w:iCs/>
          <w:lang w:eastAsia="zh-CN"/>
        </w:rPr>
        <w:t>的高响应风场，红色虚线标出数据中呈现的</w:t>
      </w:r>
      <w:r w:rsidRPr="000C07B0">
        <w:rPr>
          <w:b/>
          <w:iCs/>
          <w:lang w:eastAsia="zh-CN"/>
        </w:rPr>
        <w:t xml:space="preserve"> 4 </w:t>
      </w:r>
      <w:r w:rsidRPr="000C07B0">
        <w:rPr>
          <w:b/>
          <w:iCs/>
          <w:lang w:eastAsia="zh-CN"/>
        </w:rPr>
        <w:t>倍转子直径分界，其右侧</w:t>
      </w:r>
      <w:r w:rsidRPr="000C07B0">
        <w:rPr>
          <w:b/>
          <w:iCs/>
          <w:lang w:eastAsia="zh-CN"/>
        </w:rPr>
        <w:t xml:space="preserve"> 48 </w:t>
      </w:r>
      <w:r w:rsidRPr="000C07B0">
        <w:rPr>
          <w:b/>
          <w:iCs/>
          <w:lang w:eastAsia="zh-CN"/>
        </w:rPr>
        <w:t>个风场无一进入高响应组。（</w:t>
      </w:r>
      <w:r w:rsidRPr="000C07B0">
        <w:rPr>
          <w:b/>
          <w:iCs/>
          <w:lang w:eastAsia="zh-CN"/>
        </w:rPr>
        <w:t>c</w:t>
      </w:r>
      <w:r w:rsidRPr="000C07B0">
        <w:rPr>
          <w:b/>
          <w:iCs/>
          <w:lang w:eastAsia="zh-CN"/>
        </w:rPr>
        <w:t>）斜率图给出四种受控气候情景下的平均响应幅度，灰线为六种建设范式各自的轨迹，蓝线为总平均。（</w:t>
      </w:r>
      <w:r w:rsidRPr="000C07B0">
        <w:rPr>
          <w:b/>
          <w:iCs/>
          <w:lang w:eastAsia="zh-CN"/>
        </w:rPr>
        <w:t>d</w:t>
      </w:r>
      <w:r w:rsidRPr="000C07B0">
        <w:rPr>
          <w:b/>
          <w:iCs/>
          <w:lang w:eastAsia="zh-CN"/>
        </w:rPr>
        <w:t>）小提琴与散点比较高、低响应两组的一阶方向集中度，黑色横线为中位数。（</w:t>
      </w:r>
      <w:r w:rsidRPr="000C07B0">
        <w:rPr>
          <w:b/>
          <w:iCs/>
          <w:lang w:eastAsia="zh-CN"/>
        </w:rPr>
        <w:t>e</w:t>
      </w:r>
      <w:r w:rsidRPr="000C07B0">
        <w:rPr>
          <w:b/>
          <w:iCs/>
          <w:lang w:eastAsia="zh-CN"/>
        </w:rPr>
        <w:t>）散点给出</w:t>
      </w:r>
      <w:r w:rsidRPr="000C07B0">
        <w:rPr>
          <w:b/>
          <w:iCs/>
          <w:lang w:eastAsia="zh-CN"/>
        </w:rPr>
        <w:t xml:space="preserve"> 27 </w:t>
      </w:r>
      <w:r w:rsidRPr="000C07B0">
        <w:rPr>
          <w:b/>
          <w:iCs/>
          <w:lang w:eastAsia="zh-CN"/>
        </w:rPr>
        <w:t>个高响应风场的建成</w:t>
      </w:r>
      <w:r w:rsidRPr="000C07B0">
        <w:rPr>
          <w:b/>
          <w:iCs/>
          <w:lang w:eastAsia="zh-CN"/>
        </w:rPr>
        <w:t>—</w:t>
      </w:r>
      <w:r w:rsidRPr="000C07B0">
        <w:rPr>
          <w:b/>
          <w:iCs/>
          <w:lang w:eastAsia="zh-CN"/>
        </w:rPr>
        <w:t>最优轴向相位差与实际兑现份额，颜色表示响应上限。（</w:t>
      </w:r>
      <w:r w:rsidRPr="000C07B0">
        <w:rPr>
          <w:b/>
          <w:iCs/>
          <w:lang w:eastAsia="zh-CN"/>
        </w:rPr>
        <w:t>f</w:t>
      </w:r>
      <w:r w:rsidRPr="000C07B0">
        <w:rPr>
          <w:b/>
          <w:iCs/>
          <w:lang w:eastAsia="zh-CN"/>
        </w:rPr>
        <w:t>）散点比较真实排布的建成尾流损失与方向响应幅度，插图改以</w:t>
      </w:r>
      <w:r w:rsidRPr="000C07B0">
        <w:rPr>
          <w:b/>
          <w:iCs/>
          <w:lang w:eastAsia="zh-CN"/>
        </w:rPr>
        <w:t xml:space="preserve"> 9 m s⁻¹ </w:t>
      </w:r>
      <w:r w:rsidRPr="000C07B0">
        <w:rPr>
          <w:b/>
          <w:iCs/>
          <w:lang w:eastAsia="zh-CN"/>
        </w:rPr>
        <w:t>下的方向效率跨度为横轴。</w:t>
      </w:r>
    </w:p>
    <w:p w14:paraId="599AEB49" w14:textId="77777777" w:rsidR="00613D57" w:rsidRPr="00A808D3" w:rsidRDefault="000D7978">
      <w:pPr>
        <w:pStyle w:val="21"/>
        <w:rPr>
          <w:bCs w:val="0"/>
          <w:lang w:eastAsia="zh-CN"/>
        </w:rPr>
      </w:pPr>
      <w:r w:rsidRPr="00A808D3">
        <w:rPr>
          <w:rFonts w:ascii="Arial" w:eastAsia="黑体" w:hAnsi="Arial"/>
          <w:bCs w:val="0"/>
          <w:lang w:eastAsia="zh-CN"/>
        </w:rPr>
        <w:lastRenderedPageBreak/>
        <w:t xml:space="preserve">2.3 </w:t>
      </w:r>
      <w:r w:rsidRPr="00A808D3">
        <w:rPr>
          <w:rFonts w:ascii="Arial" w:eastAsia="黑体" w:hAnsi="Arial"/>
          <w:bCs w:val="0"/>
          <w:lang w:eastAsia="zh-CN"/>
        </w:rPr>
        <w:t>哪些风场能靠朝向多发电，不取决于阵列如何排布</w:t>
      </w:r>
    </w:p>
    <w:p w14:paraId="27413A72" w14:textId="77777777" w:rsidR="006360AD" w:rsidRDefault="000D7978">
      <w:pPr>
        <w:rPr>
          <w:lang w:eastAsia="zh-CN"/>
        </w:rPr>
      </w:pPr>
      <w:r>
        <w:rPr>
          <w:lang w:eastAsia="zh-CN"/>
        </w:rPr>
        <w:t>更换排布模板不会改变哪些场址最值得关注。同时具有小间距和轴向风气候的</w:t>
      </w:r>
      <w:r>
        <w:rPr>
          <w:lang w:eastAsia="zh-CN"/>
        </w:rPr>
        <w:t xml:space="preserve"> 23 </w:t>
      </w:r>
      <w:r>
        <w:rPr>
          <w:lang w:eastAsia="zh-CN"/>
        </w:rPr>
        <w:t>个走廊风场，在全部六种标准化建设范式下，方向响应幅度的中位数都是其余</w:t>
      </w:r>
      <w:r>
        <w:rPr>
          <w:lang w:eastAsia="zh-CN"/>
        </w:rPr>
        <w:t xml:space="preserve"> 148 </w:t>
      </w:r>
      <w:r>
        <w:rPr>
          <w:lang w:eastAsia="zh-CN"/>
        </w:rPr>
        <w:t>个风场的</w:t>
      </w:r>
      <w:r>
        <w:rPr>
          <w:lang w:eastAsia="zh-CN"/>
        </w:rPr>
        <w:t xml:space="preserve"> 5.5 </w:t>
      </w:r>
      <w:r>
        <w:rPr>
          <w:lang w:eastAsia="zh-CN"/>
        </w:rPr>
        <w:t>至</w:t>
      </w:r>
      <w:r>
        <w:rPr>
          <w:lang w:eastAsia="zh-CN"/>
        </w:rPr>
        <w:t xml:space="preserve"> 7.4 </w:t>
      </w:r>
      <w:r>
        <w:rPr>
          <w:lang w:eastAsia="zh-CN"/>
        </w:rPr>
        <w:t>倍（图</w:t>
      </w:r>
      <w:r>
        <w:rPr>
          <w:lang w:eastAsia="zh-CN"/>
        </w:rPr>
        <w:t xml:space="preserve"> 3a</w:t>
      </w:r>
      <w:r>
        <w:rPr>
          <w:lang w:eastAsia="zh-CN"/>
        </w:rPr>
        <w:t>；补充信息图</w:t>
      </w:r>
      <w:r>
        <w:rPr>
          <w:lang w:eastAsia="zh-CN"/>
        </w:rPr>
        <w:t xml:space="preserve"> S1</w:t>
      </w:r>
      <w:r>
        <w:rPr>
          <w:lang w:eastAsia="zh-CN"/>
        </w:rPr>
        <w:t>、表</w:t>
      </w:r>
      <w:r>
        <w:rPr>
          <w:lang w:eastAsia="zh-CN"/>
        </w:rPr>
        <w:t xml:space="preserve"> S6</w:t>
      </w:r>
      <w:r>
        <w:rPr>
          <w:lang w:eastAsia="zh-CN"/>
        </w:rPr>
        <w:t>）。六种范式对场址的排序也高度一致，两两</w:t>
      </w:r>
      <w:r>
        <w:rPr>
          <w:lang w:eastAsia="zh-CN"/>
        </w:rPr>
        <w:t xml:space="preserve"> Spearman </w:t>
      </w:r>
      <w:r>
        <w:rPr>
          <w:lang w:eastAsia="zh-CN"/>
        </w:rPr>
        <w:t>相关系数的中位数为</w:t>
      </w:r>
      <w:r>
        <w:rPr>
          <w:lang w:eastAsia="zh-CN"/>
        </w:rPr>
        <w:t xml:space="preserve"> 0.96</w:t>
      </w:r>
      <w:r>
        <w:rPr>
          <w:lang w:eastAsia="zh-CN"/>
        </w:rPr>
        <w:t>（图</w:t>
      </w:r>
      <w:r>
        <w:rPr>
          <w:lang w:eastAsia="zh-CN"/>
        </w:rPr>
        <w:t xml:space="preserve"> 3b</w:t>
      </w:r>
      <w:r>
        <w:rPr>
          <w:lang w:eastAsia="zh-CN"/>
        </w:rPr>
        <w:t>）。这说明高值首先是场址属性，而不是某一种模板制造出来的结果。</w:t>
      </w:r>
    </w:p>
    <w:p w14:paraId="0C6BE29C" w14:textId="77777777" w:rsidR="00613D57" w:rsidRDefault="000D7978">
      <w:pPr>
        <w:rPr>
          <w:lang w:eastAsia="zh-CN"/>
        </w:rPr>
      </w:pPr>
      <w:r>
        <w:rPr>
          <w:lang w:eastAsia="zh-CN"/>
        </w:rPr>
        <w:t>排布模板改变的是收益幅度，而不是这一区分是否存在。随着范式间距扩大，两组风场的方向响应幅度都系统下降；即使在间距达到</w:t>
      </w:r>
      <w:r>
        <w:rPr>
          <w:lang w:eastAsia="zh-CN"/>
        </w:rPr>
        <w:t xml:space="preserve"> 11.8 </w:t>
      </w:r>
      <w:r>
        <w:rPr>
          <w:lang w:eastAsia="zh-CN"/>
        </w:rPr>
        <w:t>倍转子直径的最稀疏范式中，走廊风场的中位响应仍为</w:t>
      </w:r>
      <w:r>
        <w:rPr>
          <w:lang w:eastAsia="zh-CN"/>
        </w:rPr>
        <w:t xml:space="preserve"> 0.8%</w:t>
      </w:r>
      <w:r>
        <w:rPr>
          <w:lang w:eastAsia="zh-CN"/>
        </w:rPr>
        <w:t>，仍是其他场址的</w:t>
      </w:r>
      <w:r>
        <w:rPr>
          <w:lang w:eastAsia="zh-CN"/>
        </w:rPr>
        <w:t xml:space="preserve"> 5.5 </w:t>
      </w:r>
      <w:r>
        <w:rPr>
          <w:lang w:eastAsia="zh-CN"/>
        </w:rPr>
        <w:t>倍（图</w:t>
      </w:r>
      <w:r>
        <w:rPr>
          <w:lang w:eastAsia="zh-CN"/>
        </w:rPr>
        <w:t xml:space="preserve"> 3c</w:t>
      </w:r>
      <w:r>
        <w:rPr>
          <w:lang w:eastAsia="zh-CN"/>
        </w:rPr>
        <w:t>；补充信息表</w:t>
      </w:r>
      <w:r>
        <w:rPr>
          <w:lang w:eastAsia="zh-CN"/>
        </w:rPr>
        <w:t xml:space="preserve"> S7</w:t>
      </w:r>
      <w:r>
        <w:rPr>
          <w:lang w:eastAsia="zh-CN"/>
        </w:rPr>
        <w:t>）。当风向被改为均匀分布时，六种范式的方向响应幅度全部降为</w:t>
      </w:r>
      <w:r>
        <w:rPr>
          <w:lang w:eastAsia="zh-CN"/>
        </w:rPr>
        <w:t xml:space="preserve"> 0</w:t>
      </w:r>
      <w:r>
        <w:rPr>
          <w:lang w:eastAsia="zh-CN"/>
        </w:rPr>
        <w:t>。扩大间距会减弱朝向作用，却不会改变轴向风气候造成的空间差异。</w:t>
      </w:r>
    </w:p>
    <w:p w14:paraId="21E1412E" w14:textId="77777777" w:rsidR="00613D57" w:rsidRDefault="000D7978">
      <w:pPr>
        <w:rPr>
          <w:lang w:eastAsia="zh-CN"/>
        </w:rPr>
      </w:pPr>
      <w:r>
        <w:rPr>
          <w:lang w:eastAsia="zh-CN"/>
        </w:rPr>
        <w:t>标准排布得到的场址排序能够映射回真实建成排布。六种范式的平均结果与</w:t>
      </w:r>
      <w:r>
        <w:rPr>
          <w:lang w:eastAsia="zh-CN"/>
        </w:rPr>
        <w:t xml:space="preserve"> 171 </w:t>
      </w:r>
      <w:r>
        <w:rPr>
          <w:lang w:eastAsia="zh-CN"/>
        </w:rPr>
        <w:t>个真实排布结果之间，</w:t>
      </w:r>
      <w:r>
        <w:rPr>
          <w:lang w:eastAsia="zh-CN"/>
        </w:rPr>
        <w:t xml:space="preserve">Spearman </w:t>
      </w:r>
      <w:r>
        <w:rPr>
          <w:lang w:eastAsia="zh-CN"/>
        </w:rPr>
        <w:t>相关系数为</w:t>
      </w:r>
      <w:r>
        <w:rPr>
          <w:lang w:eastAsia="zh-CN"/>
        </w:rPr>
        <w:t xml:space="preserve"> 0.706</w:t>
      </w:r>
      <w:r>
        <w:rPr>
          <w:lang w:eastAsia="zh-CN"/>
        </w:rPr>
        <w:t>（图</w:t>
      </w:r>
      <w:r>
        <w:rPr>
          <w:lang w:eastAsia="zh-CN"/>
        </w:rPr>
        <w:t xml:space="preserve"> 3d</w:t>
      </w:r>
      <w:r>
        <w:rPr>
          <w:lang w:eastAsia="zh-CN"/>
        </w:rPr>
        <w:t>；补充信息表</w:t>
      </w:r>
      <w:r>
        <w:rPr>
          <w:lang w:eastAsia="zh-CN"/>
        </w:rPr>
        <w:t xml:space="preserve"> S8</w:t>
      </w:r>
      <w:r>
        <w:rPr>
          <w:lang w:eastAsia="zh-CN"/>
        </w:rPr>
        <w:t>）。在现有观测支持范围内，较高值沿越南季风海岸、台湾海峡和中国东南沿海、亚得里亚海和塔兰托湾以及丹麦海峡分布（图</w:t>
      </w:r>
      <w:r>
        <w:rPr>
          <w:lang w:eastAsia="zh-CN"/>
        </w:rPr>
        <w:t xml:space="preserve"> 3e</w:t>
      </w:r>
      <w:r>
        <w:rPr>
          <w:lang w:eastAsia="zh-CN"/>
        </w:rPr>
        <w:t>）。东亚海洋格点转到最有利朝向可多发的电量中位数为</w:t>
      </w:r>
      <w:r>
        <w:rPr>
          <w:lang w:eastAsia="zh-CN"/>
        </w:rPr>
        <w:t xml:space="preserve"> 1.28%</w:t>
      </w:r>
      <w:r>
        <w:rPr>
          <w:lang w:eastAsia="zh-CN"/>
        </w:rPr>
        <w:t>，欧洲为</w:t>
      </w:r>
      <w:r>
        <w:rPr>
          <w:lang w:eastAsia="zh-CN"/>
        </w:rPr>
        <w:t xml:space="preserve"> 0.40%</w:t>
      </w:r>
      <w:r>
        <w:rPr>
          <w:lang w:eastAsia="zh-CN"/>
        </w:rPr>
        <w:t>，相差约</w:t>
      </w:r>
      <w:r>
        <w:rPr>
          <w:lang w:eastAsia="zh-CN"/>
        </w:rPr>
        <w:t xml:space="preserve"> 3 </w:t>
      </w:r>
      <w:r>
        <w:rPr>
          <w:lang w:eastAsia="zh-CN"/>
        </w:rPr>
        <w:t>倍。</w:t>
      </w:r>
    </w:p>
    <w:p w14:paraId="598E58A0" w14:textId="77777777" w:rsidR="00613D57" w:rsidRDefault="000D7978">
      <w:pPr>
        <w:rPr>
          <w:lang w:eastAsia="zh-CN"/>
        </w:rPr>
      </w:pPr>
      <w:r>
        <w:rPr>
          <w:lang w:eastAsia="zh-CN"/>
        </w:rPr>
        <w:t>区域地图适合指出值得优先核算的海域，却不能代替项目级计算。把一整条走廊作为未见区域留出检验时，仅凭场址摘要特征识别六范式平均高响应的</w:t>
      </w:r>
      <w:r>
        <w:rPr>
          <w:lang w:eastAsia="zh-CN"/>
        </w:rPr>
        <w:t xml:space="preserve"> AUC </w:t>
      </w:r>
      <w:r>
        <w:rPr>
          <w:lang w:eastAsia="zh-CN"/>
        </w:rPr>
        <w:t>为</w:t>
      </w:r>
      <w:r>
        <w:rPr>
          <w:lang w:eastAsia="zh-CN"/>
        </w:rPr>
        <w:t xml:space="preserve"> 0.628</w:t>
      </w:r>
      <w:r>
        <w:rPr>
          <w:lang w:eastAsia="zh-CN"/>
        </w:rPr>
        <w:t>；预测真实建成排布时则为</w:t>
      </w:r>
      <w:r>
        <w:rPr>
          <w:lang w:eastAsia="zh-CN"/>
        </w:rPr>
        <w:t xml:space="preserve"> 0.498</w:t>
      </w:r>
      <w:r>
        <w:rPr>
          <w:lang w:eastAsia="zh-CN"/>
        </w:rPr>
        <w:t>，接近随机（图</w:t>
      </w:r>
      <w:r>
        <w:rPr>
          <w:lang w:eastAsia="zh-CN"/>
        </w:rPr>
        <w:t xml:space="preserve"> 3f</w:t>
      </w:r>
      <w:r>
        <w:rPr>
          <w:lang w:eastAsia="zh-CN"/>
        </w:rPr>
        <w:t>；补充信息表</w:t>
      </w:r>
      <w:r>
        <w:rPr>
          <w:lang w:eastAsia="zh-CN"/>
        </w:rPr>
        <w:t xml:space="preserve"> S10</w:t>
      </w:r>
      <w:r>
        <w:rPr>
          <w:lang w:eastAsia="zh-CN"/>
        </w:rPr>
        <w:t>）。对于尚无真实机位信息的新项目，仍需结合测风、拟建机位和工程边界直接扫描不同朝向。</w:t>
      </w:r>
    </w:p>
    <w:p w14:paraId="44EAE6F0" w14:textId="77777777" w:rsidR="00613D57" w:rsidRDefault="000D7978">
      <w:pPr>
        <w:keepNext/>
        <w:keepLines/>
        <w:spacing w:before="100" w:after="60"/>
      </w:pPr>
      <w:r>
        <w:rPr>
          <w:noProof/>
        </w:rPr>
        <w:lastRenderedPageBreak/>
        <w:drawing>
          <wp:inline distT="0" distB="0" distL="0" distR="0" wp14:anchorId="79C1BCDF" wp14:editId="1877A8AE">
            <wp:extent cx="5852160" cy="7011575"/>
            <wp:effectExtent l="0" t="0" r="0" b="0"/>
            <wp:docPr id="2140210005" name="Picture 214021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v4_paradigms.png"/>
                    <pic:cNvPicPr/>
                  </pic:nvPicPr>
                  <pic:blipFill>
                    <a:blip r:embed="rId10"/>
                    <a:stretch>
                      <a:fillRect/>
                    </a:stretch>
                  </pic:blipFill>
                  <pic:spPr>
                    <a:xfrm>
                      <a:off x="0" y="0"/>
                      <a:ext cx="5852160" cy="7011575"/>
                    </a:xfrm>
                    <a:prstGeom prst="rect">
                      <a:avLst/>
                    </a:prstGeom>
                  </pic:spPr>
                </pic:pic>
              </a:graphicData>
            </a:graphic>
          </wp:inline>
        </w:drawing>
      </w:r>
    </w:p>
    <w:p w14:paraId="02AA65D9" w14:textId="1CAB6A22" w:rsidR="00613D57" w:rsidRPr="000C07B0" w:rsidRDefault="000D7978">
      <w:pPr>
        <w:pStyle w:val="af7"/>
        <w:keepLines/>
        <w:spacing w:before="60"/>
        <w:rPr>
          <w:iCs/>
          <w:lang w:eastAsia="zh-CN"/>
        </w:rPr>
      </w:pPr>
      <w:r w:rsidRPr="000C07B0">
        <w:rPr>
          <w:b/>
          <w:iCs/>
          <w:lang w:eastAsia="zh-CN"/>
        </w:rPr>
        <w:t>图</w:t>
      </w:r>
      <w:r w:rsidRPr="000C07B0">
        <w:rPr>
          <w:b/>
          <w:iCs/>
          <w:lang w:eastAsia="zh-CN"/>
        </w:rPr>
        <w:t xml:space="preserve"> 3</w:t>
      </w:r>
      <w:r w:rsidRPr="000C07B0">
        <w:rPr>
          <w:b/>
          <w:iCs/>
          <w:lang w:eastAsia="zh-CN"/>
        </w:rPr>
        <w:t>｜成因条件跨六种建设范式的判别力。（</w:t>
      </w:r>
      <w:r w:rsidRPr="000C07B0">
        <w:rPr>
          <w:b/>
          <w:iCs/>
          <w:lang w:eastAsia="zh-CN"/>
        </w:rPr>
        <w:t>a</w:t>
      </w:r>
      <w:r w:rsidRPr="000C07B0">
        <w:rPr>
          <w:b/>
          <w:iCs/>
          <w:lang w:eastAsia="zh-CN"/>
        </w:rPr>
        <w:t>）小提琴与散点给出六种标准化建设范式下走廊风场（</w:t>
      </w:r>
      <m:oMath>
        <m:r>
          <m:rPr>
            <m:sty m:val="p"/>
          </m:rPr>
          <w:rPr>
            <w:rFonts w:ascii="Cambria Math" w:hAnsi="Cambria Math"/>
            <w:lang w:eastAsia="zh-CN"/>
          </w:rPr>
          <m:t>n</m:t>
        </m:r>
      </m:oMath>
      <w:r w:rsidRPr="000C07B0">
        <w:rPr>
          <w:b/>
          <w:iCs/>
          <w:lang w:eastAsia="zh-CN"/>
        </w:rPr>
        <w:t xml:space="preserve"> = 23</w:t>
      </w:r>
      <w:r w:rsidRPr="000C07B0">
        <w:rPr>
          <w:b/>
          <w:iCs/>
          <w:lang w:eastAsia="zh-CN"/>
        </w:rPr>
        <w:t>）与其他风场（</w:t>
      </w:r>
      <m:oMath>
        <m:r>
          <m:rPr>
            <m:sty m:val="p"/>
          </m:rPr>
          <w:rPr>
            <w:rFonts w:ascii="Cambria Math" w:hAnsi="Cambria Math"/>
            <w:lang w:eastAsia="zh-CN"/>
          </w:rPr>
          <m:t>n</m:t>
        </m:r>
      </m:oMath>
      <w:r w:rsidRPr="000C07B0">
        <w:rPr>
          <w:b/>
          <w:iCs/>
          <w:lang w:eastAsia="zh-CN"/>
        </w:rPr>
        <w:t xml:space="preserve"> = 148</w:t>
      </w:r>
      <w:r w:rsidRPr="000C07B0">
        <w:rPr>
          <w:b/>
          <w:iCs/>
          <w:lang w:eastAsia="zh-CN"/>
        </w:rPr>
        <w:t>）的方向响应幅度分布，即转到最有利朝向可多发的年发电量百分比，黑色横线为中位数，红色标注为两组中位数之比，纵轴为对数刻度。（</w:t>
      </w:r>
      <w:r w:rsidRPr="000C07B0">
        <w:rPr>
          <w:b/>
          <w:iCs/>
          <w:lang w:eastAsia="zh-CN"/>
        </w:rPr>
        <w:t>b</w:t>
      </w:r>
      <w:r w:rsidRPr="000C07B0">
        <w:rPr>
          <w:b/>
          <w:iCs/>
          <w:lang w:eastAsia="zh-CN"/>
        </w:rPr>
        <w:t>）热图给出六种范式两两之间按这一可多发电量对场址排序的</w:t>
      </w:r>
      <w:r w:rsidRPr="000C07B0">
        <w:rPr>
          <w:b/>
          <w:iCs/>
          <w:lang w:eastAsia="zh-CN"/>
        </w:rPr>
        <w:t xml:space="preserve"> Spearman </w:t>
      </w:r>
      <w:r w:rsidRPr="000C07B0">
        <w:rPr>
          <w:b/>
          <w:iCs/>
          <w:lang w:eastAsia="zh-CN"/>
        </w:rPr>
        <w:t>相关。（</w:t>
      </w:r>
      <w:r w:rsidRPr="000C07B0">
        <w:rPr>
          <w:b/>
          <w:iCs/>
          <w:lang w:eastAsia="zh-CN"/>
        </w:rPr>
        <w:t>c</w:t>
      </w:r>
      <w:r w:rsidRPr="000C07B0">
        <w:rPr>
          <w:b/>
          <w:iCs/>
          <w:lang w:eastAsia="zh-CN"/>
        </w:rPr>
        <w:t>）折线给出两组的中位响应随模板间距的变化，红色标注为逐范式的中位数之比。（</w:t>
      </w:r>
      <w:r w:rsidRPr="000C07B0">
        <w:rPr>
          <w:b/>
          <w:iCs/>
          <w:lang w:eastAsia="zh-CN"/>
        </w:rPr>
        <w:t>d</w:t>
      </w:r>
      <w:r w:rsidRPr="000C07B0">
        <w:rPr>
          <w:b/>
          <w:iCs/>
          <w:lang w:eastAsia="zh-CN"/>
        </w:rPr>
        <w:t>）散点比较六范式均值响应与真实排布响应，虚线为</w:t>
      </w:r>
      <w:r w:rsidRPr="000C07B0">
        <w:rPr>
          <w:b/>
          <w:iCs/>
          <w:lang w:eastAsia="zh-CN"/>
        </w:rPr>
        <w:t xml:space="preserve"> 1:1 </w:t>
      </w:r>
      <w:r w:rsidRPr="000C07B0">
        <w:rPr>
          <w:b/>
          <w:iCs/>
          <w:lang w:eastAsia="zh-CN"/>
        </w:rPr>
        <w:t>参照。（</w:t>
      </w:r>
      <w:r w:rsidRPr="000C07B0">
        <w:rPr>
          <w:b/>
          <w:iCs/>
          <w:lang w:eastAsia="zh-CN"/>
        </w:rPr>
        <w:t>e</w:t>
      </w:r>
      <w:r w:rsidRPr="000C07B0">
        <w:rPr>
          <w:b/>
          <w:iCs/>
          <w:lang w:eastAsia="zh-CN"/>
        </w:rPr>
        <w:t>）两幅地图以对数色标显示东亚与欧洲观测支持域内六范式响应幅度的均值（仅海洋格点），绿色星号为走廊成员。（</w:t>
      </w:r>
      <w:r w:rsidRPr="000C07B0">
        <w:rPr>
          <w:b/>
          <w:iCs/>
          <w:lang w:eastAsia="zh-CN"/>
        </w:rPr>
        <w:t>f</w:t>
      </w:r>
      <w:r w:rsidRPr="000C07B0">
        <w:rPr>
          <w:b/>
          <w:iCs/>
          <w:lang w:eastAsia="zh-CN"/>
        </w:rPr>
        <w:t>）</w:t>
      </w:r>
      <w:r w:rsidRPr="000C07B0">
        <w:rPr>
          <w:b/>
          <w:iCs/>
          <w:lang w:eastAsia="zh-CN"/>
        </w:rPr>
        <w:t xml:space="preserve">ROC </w:t>
      </w:r>
      <w:r w:rsidRPr="000C07B0">
        <w:rPr>
          <w:b/>
          <w:iCs/>
          <w:lang w:eastAsia="zh-CN"/>
        </w:rPr>
        <w:t>曲线给出整走廊留出时仅凭摘要特征把高响应风场排在前面的能力，曲线下面积</w:t>
      </w:r>
      <w:r w:rsidRPr="000C07B0">
        <w:rPr>
          <w:b/>
          <w:iCs/>
          <w:lang w:eastAsia="zh-CN"/>
        </w:rPr>
        <w:t xml:space="preserve"> 0.5 </w:t>
      </w:r>
      <w:r w:rsidRPr="000C07B0">
        <w:rPr>
          <w:b/>
          <w:iCs/>
          <w:lang w:eastAsia="zh-CN"/>
        </w:rPr>
        <w:t>等同随机，空心点为按预测前</w:t>
      </w:r>
      <w:r w:rsidRPr="000C07B0">
        <w:rPr>
          <w:b/>
          <w:iCs/>
          <w:lang w:eastAsia="zh-CN"/>
        </w:rPr>
        <w:t xml:space="preserve"> 25% </w:t>
      </w:r>
      <w:r w:rsidRPr="000C07B0">
        <w:rPr>
          <w:b/>
          <w:iCs/>
          <w:lang w:eastAsia="zh-CN"/>
        </w:rPr>
        <w:t>筛选的工作点。</w:t>
      </w:r>
    </w:p>
    <w:p w14:paraId="5E11F572" w14:textId="77777777" w:rsidR="00613D57" w:rsidRDefault="000D7978">
      <w:pPr>
        <w:pStyle w:val="21"/>
        <w:rPr>
          <w:lang w:eastAsia="zh-CN"/>
        </w:rPr>
      </w:pPr>
      <w:r>
        <w:rPr>
          <w:rFonts w:ascii="Arial" w:eastAsia="黑体" w:hAnsi="Arial"/>
          <w:b w:val="0"/>
          <w:lang w:eastAsia="zh-CN"/>
        </w:rPr>
        <w:t xml:space="preserve">2.4 </w:t>
      </w:r>
      <w:r>
        <w:rPr>
          <w:rFonts w:ascii="Arial" w:eastAsia="黑体" w:hAnsi="Arial"/>
          <w:b w:val="0"/>
          <w:lang w:eastAsia="zh-CN"/>
        </w:rPr>
        <w:t>朝向自由度的项目级价值在走廊内最高，且不因排布与间距被整体替换而消失</w:t>
      </w:r>
    </w:p>
    <w:p w14:paraId="7201F86B" w14:textId="77777777" w:rsidR="006360AD" w:rsidRDefault="000D7978">
      <w:pPr>
        <w:rPr>
          <w:lang w:eastAsia="zh-CN"/>
        </w:rPr>
      </w:pPr>
      <w:r>
        <w:rPr>
          <w:lang w:eastAsia="zh-CN"/>
        </w:rPr>
        <w:t>在真实机位、机组数量和两两距离完全不变时，只校正整体朝向即可获得明确且高度集中的项目收益。</w:t>
      </w:r>
      <w:r>
        <w:rPr>
          <w:lang w:eastAsia="zh-CN"/>
        </w:rPr>
        <w:t xml:space="preserve">155 </w:t>
      </w:r>
      <w:r>
        <w:rPr>
          <w:lang w:eastAsia="zh-CN"/>
        </w:rPr>
        <w:t>个已建项目合计</w:t>
      </w:r>
      <w:r>
        <w:rPr>
          <w:lang w:eastAsia="zh-CN"/>
        </w:rPr>
        <w:t xml:space="preserve"> 149.2 GW</w:t>
      </w:r>
      <w:r>
        <w:rPr>
          <w:lang w:eastAsia="zh-CN"/>
        </w:rPr>
        <w:t>，仅校正朝向的中位增益为</w:t>
      </w:r>
      <w:r>
        <w:rPr>
          <w:lang w:eastAsia="zh-CN"/>
        </w:rPr>
        <w:t xml:space="preserve"> 0.5%</w:t>
      </w:r>
      <w:r>
        <w:rPr>
          <w:lang w:eastAsia="zh-CN"/>
        </w:rPr>
        <w:t>，合计新增</w:t>
      </w:r>
      <w:r>
        <w:rPr>
          <w:lang w:eastAsia="zh-CN"/>
        </w:rPr>
        <w:t xml:space="preserve"> 3,474 GWh yr⁻¹</w:t>
      </w:r>
      <w:r>
        <w:rPr>
          <w:lang w:eastAsia="zh-CN"/>
        </w:rPr>
        <w:t>。其</w:t>
      </w:r>
      <w:r>
        <w:rPr>
          <w:lang w:eastAsia="zh-CN"/>
        </w:rPr>
        <w:lastRenderedPageBreak/>
        <w:t>中</w:t>
      </w:r>
      <w:r>
        <w:rPr>
          <w:lang w:eastAsia="zh-CN"/>
        </w:rPr>
        <w:t xml:space="preserve"> 20 </w:t>
      </w:r>
      <w:r>
        <w:rPr>
          <w:lang w:eastAsia="zh-CN"/>
        </w:rPr>
        <w:t>个走廊项目（</w:t>
      </w:r>
      <w:r>
        <w:rPr>
          <w:lang w:eastAsia="zh-CN"/>
        </w:rPr>
        <w:t>11.3 GW</w:t>
      </w:r>
      <w:r>
        <w:rPr>
          <w:lang w:eastAsia="zh-CN"/>
        </w:rPr>
        <w:t>）的中位增益为</w:t>
      </w:r>
      <w:r>
        <w:rPr>
          <w:lang w:eastAsia="zh-CN"/>
        </w:rPr>
        <w:t xml:space="preserve"> 2.77%</w:t>
      </w:r>
      <w:r>
        <w:rPr>
          <w:lang w:eastAsia="zh-CN"/>
        </w:rPr>
        <w:t>，其他项目为</w:t>
      </w:r>
      <w:r>
        <w:rPr>
          <w:lang w:eastAsia="zh-CN"/>
        </w:rPr>
        <w:t xml:space="preserve"> 0.40%</w:t>
      </w:r>
      <w:r>
        <w:rPr>
          <w:lang w:eastAsia="zh-CN"/>
        </w:rPr>
        <w:t>；单位装机新增电量分别为</w:t>
      </w:r>
      <w:r>
        <w:rPr>
          <w:lang w:eastAsia="zh-CN"/>
        </w:rPr>
        <w:t xml:space="preserve"> 88 </w:t>
      </w:r>
      <w:r>
        <w:rPr>
          <w:lang w:eastAsia="zh-CN"/>
        </w:rPr>
        <w:t>和</w:t>
      </w:r>
      <w:r>
        <w:rPr>
          <w:lang w:eastAsia="zh-CN"/>
        </w:rPr>
        <w:t xml:space="preserve"> 18 GWh GW⁻¹ yr⁻¹</w:t>
      </w:r>
      <w:r>
        <w:rPr>
          <w:lang w:eastAsia="zh-CN"/>
        </w:rPr>
        <w:t>，相差</w:t>
      </w:r>
      <w:r>
        <w:rPr>
          <w:lang w:eastAsia="zh-CN"/>
        </w:rPr>
        <w:t xml:space="preserve"> 4.9 </w:t>
      </w:r>
      <w:r>
        <w:rPr>
          <w:lang w:eastAsia="zh-CN"/>
        </w:rPr>
        <w:t>倍（图</w:t>
      </w:r>
      <w:r>
        <w:rPr>
          <w:lang w:eastAsia="zh-CN"/>
        </w:rPr>
        <w:t xml:space="preserve"> 4a,b,e</w:t>
      </w:r>
      <w:r>
        <w:rPr>
          <w:lang w:eastAsia="zh-CN"/>
        </w:rPr>
        <w:t>；补充信息表</w:t>
      </w:r>
      <w:r>
        <w:rPr>
          <w:lang w:eastAsia="zh-CN"/>
        </w:rPr>
        <w:t xml:space="preserve"> S11</w:t>
      </w:r>
      <w:r>
        <w:rPr>
          <w:lang w:eastAsia="zh-CN"/>
        </w:rPr>
        <w:t>、</w:t>
      </w:r>
      <w:r>
        <w:rPr>
          <w:lang w:eastAsia="zh-CN"/>
        </w:rPr>
        <w:t>S12</w:t>
      </w:r>
      <w:r>
        <w:rPr>
          <w:lang w:eastAsia="zh-CN"/>
        </w:rPr>
        <w:t>）。这些项目只占</w:t>
      </w:r>
      <w:r>
        <w:rPr>
          <w:lang w:eastAsia="zh-CN"/>
        </w:rPr>
        <w:t xml:space="preserve"> 7.6% </w:t>
      </w:r>
      <w:r>
        <w:rPr>
          <w:lang w:eastAsia="zh-CN"/>
        </w:rPr>
        <w:t>的装机，却贡献了</w:t>
      </w:r>
      <w:r>
        <w:rPr>
          <w:lang w:eastAsia="zh-CN"/>
        </w:rPr>
        <w:t xml:space="preserve"> 28.6% </w:t>
      </w:r>
      <w:r>
        <w:rPr>
          <w:lang w:eastAsia="zh-CN"/>
        </w:rPr>
        <w:t>的新增电量。</w:t>
      </w:r>
    </w:p>
    <w:p w14:paraId="50A42831" w14:textId="77777777" w:rsidR="006360AD" w:rsidRDefault="000D7978">
      <w:pPr>
        <w:rPr>
          <w:lang w:eastAsia="zh-CN"/>
        </w:rPr>
      </w:pPr>
      <w:r>
        <w:rPr>
          <w:lang w:eastAsia="zh-CN"/>
        </w:rPr>
        <w:t>重新设计排布时，朝向仍需在每一种模板中单独确定。六种标准模板在各自最优朝向下的项目级发电量见图</w:t>
      </w:r>
      <w:r>
        <w:rPr>
          <w:lang w:eastAsia="zh-CN"/>
        </w:rPr>
        <w:t xml:space="preserve"> 4c</w:t>
      </w:r>
      <w:r>
        <w:rPr>
          <w:lang w:eastAsia="zh-CN"/>
        </w:rPr>
        <w:t>（补充信息表</w:t>
      </w:r>
      <w:r>
        <w:rPr>
          <w:lang w:eastAsia="zh-CN"/>
        </w:rPr>
        <w:t xml:space="preserve"> S18</w:t>
      </w:r>
      <w:r>
        <w:rPr>
          <w:lang w:eastAsia="zh-CN"/>
        </w:rPr>
        <w:t>）。即使采用间距为</w:t>
      </w:r>
      <w:r>
        <w:rPr>
          <w:lang w:eastAsia="zh-CN"/>
        </w:rPr>
        <w:t xml:space="preserve"> 11.8 </w:t>
      </w:r>
      <w:r>
        <w:rPr>
          <w:lang w:eastAsia="zh-CN"/>
        </w:rPr>
        <w:t>倍转子直径的最稀疏模板，走廊风场转到最有利方向后仍可多发</w:t>
      </w:r>
      <w:r>
        <w:rPr>
          <w:lang w:eastAsia="zh-CN"/>
        </w:rPr>
        <w:t xml:space="preserve"> 0.8% </w:t>
      </w:r>
      <w:r>
        <w:rPr>
          <w:lang w:eastAsia="zh-CN"/>
        </w:rPr>
        <w:t>的电量，仍是其他海域的</w:t>
      </w:r>
      <w:r>
        <w:rPr>
          <w:lang w:eastAsia="zh-CN"/>
        </w:rPr>
        <w:t xml:space="preserve"> 5.5 </w:t>
      </w:r>
      <w:r>
        <w:rPr>
          <w:lang w:eastAsia="zh-CN"/>
        </w:rPr>
        <w:t>倍。增大间距会压缩方向响应幅度，但在本文考察的排布范围内没有使其消失。</w:t>
      </w:r>
    </w:p>
    <w:p w14:paraId="44A6BB70" w14:textId="77777777" w:rsidR="006360AD" w:rsidRDefault="000D7978">
      <w:pPr>
        <w:rPr>
          <w:lang w:eastAsia="zh-CN"/>
        </w:rPr>
      </w:pPr>
      <w:r>
        <w:rPr>
          <w:lang w:eastAsia="zh-CN"/>
        </w:rPr>
        <w:t>用标准模板替换真实排布，并不能作为朝向校正的等价替代。在与现有形态和间距类别匹配的模板中，全样本发电量中位变化为</w:t>
      </w:r>
      <w:r>
        <w:rPr>
          <w:lang w:eastAsia="zh-CN"/>
        </w:rPr>
        <w:t xml:space="preserve"> +1.6%</w:t>
      </w:r>
      <w:r>
        <w:rPr>
          <w:lang w:eastAsia="zh-CN"/>
        </w:rPr>
        <w:t>，但走廊项目为</w:t>
      </w:r>
      <w:r>
        <w:rPr>
          <w:lang w:eastAsia="zh-CN"/>
        </w:rPr>
        <w:t xml:space="preserve"> −1.4%</w:t>
      </w:r>
      <w:r>
        <w:rPr>
          <w:lang w:eastAsia="zh-CN"/>
        </w:rPr>
        <w:t>，其他项目为</w:t>
      </w:r>
      <w:r>
        <w:rPr>
          <w:lang w:eastAsia="zh-CN"/>
        </w:rPr>
        <w:t xml:space="preserve"> +2.3%</w:t>
      </w:r>
      <w:r>
        <w:rPr>
          <w:lang w:eastAsia="zh-CN"/>
        </w:rPr>
        <w:t>，走廊合计减少</w:t>
      </w:r>
      <w:r>
        <w:rPr>
          <w:lang w:eastAsia="zh-CN"/>
        </w:rPr>
        <w:t xml:space="preserve"> 626 GWh yr⁻¹</w:t>
      </w:r>
      <w:r>
        <w:rPr>
          <w:lang w:eastAsia="zh-CN"/>
        </w:rPr>
        <w:t>（图</w:t>
      </w:r>
      <w:r>
        <w:rPr>
          <w:lang w:eastAsia="zh-CN"/>
        </w:rPr>
        <w:t xml:space="preserve"> 4d</w:t>
      </w:r>
      <w:r>
        <w:rPr>
          <w:lang w:eastAsia="zh-CN"/>
        </w:rPr>
        <w:t>；补充信息表</w:t>
      </w:r>
      <w:r>
        <w:rPr>
          <w:lang w:eastAsia="zh-CN"/>
        </w:rPr>
        <w:t xml:space="preserve"> S11</w:t>
      </w:r>
      <w:r>
        <w:rPr>
          <w:lang w:eastAsia="zh-CN"/>
        </w:rPr>
        <w:t>、</w:t>
      </w:r>
      <w:r>
        <w:rPr>
          <w:lang w:eastAsia="zh-CN"/>
        </w:rPr>
        <w:t>S12</w:t>
      </w:r>
      <w:r>
        <w:rPr>
          <w:lang w:eastAsia="zh-CN"/>
        </w:rPr>
        <w:t>）。台湾海峡项目的中位变化为</w:t>
      </w:r>
      <w:r>
        <w:rPr>
          <w:lang w:eastAsia="zh-CN"/>
        </w:rPr>
        <w:t xml:space="preserve"> +2.5%</w:t>
      </w:r>
      <w:r>
        <w:rPr>
          <w:lang w:eastAsia="zh-CN"/>
        </w:rPr>
        <w:t>，越南项目为</w:t>
      </w:r>
      <w:r>
        <w:rPr>
          <w:lang w:eastAsia="zh-CN"/>
        </w:rPr>
        <w:t xml:space="preserve"> −5.7%</w:t>
      </w:r>
      <w:r>
        <w:rPr>
          <w:lang w:eastAsia="zh-CN"/>
        </w:rPr>
        <w:t>。这些结果说明，标准模板不能被视为对真实排布的普遍改进。</w:t>
      </w:r>
    </w:p>
    <w:p w14:paraId="4B719725" w14:textId="77777777" w:rsidR="00613D57" w:rsidRDefault="000D7978">
      <w:pPr>
        <w:rPr>
          <w:lang w:eastAsia="zh-CN"/>
        </w:rPr>
      </w:pPr>
      <w:r>
        <w:rPr>
          <w:lang w:eastAsia="zh-CN"/>
        </w:rPr>
        <w:t>允许每个项目从六种模板中任意选择时，发电量中位增幅可达</w:t>
      </w:r>
      <w:r>
        <w:rPr>
          <w:lang w:eastAsia="zh-CN"/>
        </w:rPr>
        <w:t xml:space="preserve"> 10.8%</w:t>
      </w:r>
      <w:r>
        <w:rPr>
          <w:lang w:eastAsia="zh-CN"/>
        </w:rPr>
        <w:t>，合计增加</w:t>
      </w:r>
      <w:r>
        <w:rPr>
          <w:lang w:eastAsia="zh-CN"/>
        </w:rPr>
        <w:t xml:space="preserve"> 75,966 GWh yr⁻¹</w:t>
      </w:r>
      <w:r>
        <w:rPr>
          <w:lang w:eastAsia="zh-CN"/>
        </w:rPr>
        <w:t>，但所有场址都选择了最稀疏模板（图</w:t>
      </w:r>
      <w:r>
        <w:rPr>
          <w:lang w:eastAsia="zh-CN"/>
        </w:rPr>
        <w:t xml:space="preserve"> 4f</w:t>
      </w:r>
      <w:r>
        <w:rPr>
          <w:lang w:eastAsia="zh-CN"/>
        </w:rPr>
        <w:t>；补充信息表</w:t>
      </w:r>
      <w:r>
        <w:rPr>
          <w:lang w:eastAsia="zh-CN"/>
        </w:rPr>
        <w:t xml:space="preserve"> S11</w:t>
      </w:r>
      <w:r>
        <w:rPr>
          <w:lang w:eastAsia="zh-CN"/>
        </w:rPr>
        <w:t>）。这一结果主要来自间距扩大，而且走廊项目贡献占比只有</w:t>
      </w:r>
      <w:r>
        <w:rPr>
          <w:lang w:eastAsia="zh-CN"/>
        </w:rPr>
        <w:t xml:space="preserve"> 5.6%</w:t>
      </w:r>
      <w:r>
        <w:rPr>
          <w:lang w:eastAsia="zh-CN"/>
        </w:rPr>
        <w:t>，低于其</w:t>
      </w:r>
      <w:r>
        <w:rPr>
          <w:lang w:eastAsia="zh-CN"/>
        </w:rPr>
        <w:t xml:space="preserve"> 7.6% </w:t>
      </w:r>
      <w:r>
        <w:rPr>
          <w:lang w:eastAsia="zh-CN"/>
        </w:rPr>
        <w:t>的装机份额，因此只能视为不含租区与成本约束的设计上界。因此，在既定租区内应优先评估可实施的整体朝向；对于新建方案，则需在满足用海、海缆和成本约束后，再联合比较间距、排布和朝向。</w:t>
      </w:r>
    </w:p>
    <w:p w14:paraId="5FC05004" w14:textId="77777777" w:rsidR="00613D57" w:rsidRDefault="002D1A34">
      <w:pPr>
        <w:keepNext/>
        <w:keepLines/>
        <w:spacing w:before="100" w:after="60"/>
        <w:rPr>
          <w:lang w:eastAsia="zh-CN"/>
        </w:rPr>
      </w:pPr>
      <w:r>
        <w:rPr>
          <w:noProof/>
        </w:rPr>
        <w:lastRenderedPageBreak/>
        <w:drawing>
          <wp:inline distT="0" distB="0" distL="0" distR="0" wp14:anchorId="418EE3D1" wp14:editId="21C6A324">
            <wp:extent cx="5852160" cy="6933434"/>
            <wp:effectExtent l="0" t="0" r="0" b="0"/>
            <wp:docPr id="2140210006" name="Picture 214021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v4_project_value.png"/>
                    <pic:cNvPicPr/>
                  </pic:nvPicPr>
                  <pic:blipFill>
                    <a:blip r:embed="rId11"/>
                    <a:stretch>
                      <a:fillRect/>
                    </a:stretch>
                  </pic:blipFill>
                  <pic:spPr>
                    <a:xfrm>
                      <a:off x="0" y="0"/>
                      <a:ext cx="5852160" cy="6933434"/>
                    </a:xfrm>
                    <a:prstGeom prst="rect">
                      <a:avLst/>
                    </a:prstGeom>
                  </pic:spPr>
                </pic:pic>
              </a:graphicData>
            </a:graphic>
          </wp:inline>
        </w:drawing>
      </w:r>
    </w:p>
    <w:p w14:paraId="6FCA80AB" w14:textId="77777777" w:rsidR="00613D57" w:rsidRPr="00FF0F67" w:rsidRDefault="000D7978" w:rsidP="00FF0F67">
      <w:pPr>
        <w:pStyle w:val="af7"/>
        <w:keepLines/>
        <w:spacing w:before="60"/>
        <w:rPr>
          <w:b/>
          <w:i/>
          <w:iCs/>
          <w:lang w:eastAsia="zh-CN"/>
        </w:rPr>
      </w:pPr>
      <w:r>
        <w:rPr>
          <w:b/>
          <w:lang w:eastAsia="zh-CN"/>
        </w:rPr>
        <w:t>图</w:t>
      </w:r>
      <w:r>
        <w:rPr>
          <w:b/>
          <w:lang w:eastAsia="zh-CN"/>
        </w:rPr>
        <w:t xml:space="preserve"> 4</w:t>
      </w:r>
      <w:r>
        <w:rPr>
          <w:b/>
          <w:lang w:eastAsia="zh-CN"/>
        </w:rPr>
        <w:t>｜朝向自由度的项目级价值。（</w:t>
      </w:r>
      <w:r>
        <w:rPr>
          <w:b/>
          <w:lang w:eastAsia="zh-CN"/>
        </w:rPr>
        <w:t>a</w:t>
      </w:r>
      <w:r>
        <w:rPr>
          <w:b/>
          <w:lang w:eastAsia="zh-CN"/>
        </w:rPr>
        <w:t>）集中度曲线给出</w:t>
      </w:r>
      <w:r>
        <w:rPr>
          <w:b/>
          <w:lang w:eastAsia="zh-CN"/>
        </w:rPr>
        <w:t xml:space="preserve"> 155 </w:t>
      </w:r>
      <w:r>
        <w:rPr>
          <w:b/>
          <w:lang w:eastAsia="zh-CN"/>
        </w:rPr>
        <w:t>个项目按仅校正朝向情景的新增电量降序累积的电量份额与装机份额，橙点标出</w:t>
      </w:r>
      <w:r>
        <w:rPr>
          <w:b/>
          <w:lang w:eastAsia="zh-CN"/>
        </w:rPr>
        <w:t xml:space="preserve"> 20 </w:t>
      </w:r>
      <w:r>
        <w:rPr>
          <w:b/>
          <w:lang w:eastAsia="zh-CN"/>
        </w:rPr>
        <w:t>个走廊项目的位置。（</w:t>
      </w:r>
      <w:r>
        <w:rPr>
          <w:b/>
          <w:lang w:eastAsia="zh-CN"/>
        </w:rPr>
        <w:t>b</w:t>
      </w:r>
      <w:r>
        <w:rPr>
          <w:b/>
          <w:lang w:eastAsia="zh-CN"/>
        </w:rPr>
        <w:t>）条形与散点给出两组项目的单位装机新增电量，散点为逐项目值。（</w:t>
      </w:r>
      <w:r>
        <w:rPr>
          <w:b/>
          <w:lang w:eastAsia="zh-CN"/>
        </w:rPr>
        <w:t>c</w:t>
      </w:r>
      <w:r>
        <w:rPr>
          <w:b/>
          <w:lang w:eastAsia="zh-CN"/>
        </w:rPr>
        <w:t>）分组条形按模板间距升序给出六种标准模板下、各自最优朝向所对应的年发电量（对数刻度）。（</w:t>
      </w:r>
      <w:r>
        <w:rPr>
          <w:b/>
          <w:lang w:eastAsia="zh-CN"/>
        </w:rPr>
        <w:t>d</w:t>
      </w:r>
      <w:r>
        <w:rPr>
          <w:b/>
          <w:lang w:eastAsia="zh-CN"/>
        </w:rPr>
        <w:t>）发散条形给出匹配模板替换情景下三组项目的中位变化，括号内为各组的合计电量变化。（</w:t>
      </w:r>
      <w:r>
        <w:rPr>
          <w:b/>
          <w:lang w:eastAsia="zh-CN"/>
        </w:rPr>
        <w:t>e</w:t>
      </w:r>
      <w:r>
        <w:rPr>
          <w:b/>
          <w:lang w:eastAsia="zh-CN"/>
        </w:rPr>
        <w:t>）小提琴与散点给出三类平行反事实下项目年发电量相对建成基线的变化分布，黑色横线为中位数，顶部数字为各组中位数。（</w:t>
      </w:r>
      <w:r>
        <w:rPr>
          <w:b/>
          <w:lang w:eastAsia="zh-CN"/>
        </w:rPr>
        <w:t>f</w:t>
      </w:r>
      <w:r>
        <w:rPr>
          <w:b/>
          <w:lang w:eastAsia="zh-CN"/>
        </w:rPr>
        <w:t>）误差棒给出六种标准模板在各自最优朝向下相对建成基线的中位变化及</w:t>
      </w:r>
      <w:r>
        <w:rPr>
          <w:b/>
          <w:lang w:eastAsia="zh-CN"/>
        </w:rPr>
        <w:t xml:space="preserve"> 5% </w:t>
      </w:r>
      <w:r>
        <w:rPr>
          <w:b/>
          <w:lang w:eastAsia="zh-CN"/>
        </w:rPr>
        <w:t>至</w:t>
      </w:r>
      <w:r>
        <w:rPr>
          <w:b/>
          <w:lang w:eastAsia="zh-CN"/>
        </w:rPr>
        <w:t xml:space="preserve"> 95% </w:t>
      </w:r>
      <w:r>
        <w:rPr>
          <w:b/>
          <w:lang w:eastAsia="zh-CN"/>
        </w:rPr>
        <w:t>区间，横轴为模板间距，红点为全部场址共同的最优模板。</w:t>
      </w:r>
    </w:p>
    <w:p w14:paraId="46B70A72" w14:textId="77777777" w:rsidR="00613D57" w:rsidRDefault="000D7978">
      <w:pPr>
        <w:pStyle w:val="1"/>
        <w:rPr>
          <w:lang w:eastAsia="zh-CN"/>
        </w:rPr>
      </w:pPr>
      <w:r>
        <w:rPr>
          <w:rFonts w:ascii="Arial" w:eastAsia="黑体" w:hAnsi="Arial" w:cs="Times New Roman"/>
          <w:lang w:eastAsia="zh-CN"/>
        </w:rPr>
        <w:t xml:space="preserve">3. </w:t>
      </w:r>
      <w:r>
        <w:rPr>
          <w:rFonts w:ascii="Arial" w:eastAsia="黑体" w:hAnsi="Arial" w:cs="Times New Roman"/>
          <w:lang w:eastAsia="zh-CN"/>
        </w:rPr>
        <w:t>讨论</w:t>
      </w:r>
    </w:p>
    <w:p w14:paraId="771887A9" w14:textId="77777777" w:rsidR="00613D57" w:rsidRDefault="000D7978">
      <w:pPr>
        <w:rPr>
          <w:lang w:eastAsia="zh-CN"/>
        </w:rPr>
      </w:pPr>
      <w:r>
        <w:rPr>
          <w:lang w:eastAsia="zh-CN"/>
        </w:rPr>
        <w:t>本研究表明，海上风电朝向不是一个普遍有效的设计杠杆，而是一个空间上高度集中的机会。全球中位增益只有</w:t>
      </w:r>
      <w:r>
        <w:rPr>
          <w:lang w:eastAsia="zh-CN"/>
        </w:rPr>
        <w:t xml:space="preserve"> 0.34%</w:t>
      </w:r>
      <w:r>
        <w:rPr>
          <w:lang w:eastAsia="zh-CN"/>
        </w:rPr>
        <w:t>，说明多数项目没有必要为追求一个很小的模型化收益而牺牲航道、海缆或施</w:t>
      </w:r>
      <w:r>
        <w:rPr>
          <w:lang w:eastAsia="zh-CN"/>
        </w:rPr>
        <w:lastRenderedPageBreak/>
        <w:t>工条件。但少数项目的增益能够超过本场的风速年际波动，并沿季风海岸、湾口和海峡聚集。规划问题因此不再是所有风场是否都应优化朝向，而是哪些风场值得在方案锁定前保留多个朝向。</w:t>
      </w:r>
    </w:p>
    <w:p w14:paraId="03194CD8" w14:textId="77777777" w:rsidR="00613D57" w:rsidRDefault="000D7978">
      <w:pPr>
        <w:rPr>
          <w:lang w:eastAsia="zh-CN"/>
        </w:rPr>
      </w:pPr>
      <w:r>
        <w:rPr>
          <w:lang w:eastAsia="zh-CN"/>
        </w:rPr>
        <w:t>这一空间差异可以用一个直接的物理过程解释。较小的机组间距使尾流遮挡更容易随来流方向大幅改变，沿固定轴线往返的高能量风又让这种差异在全年反复出现。阵列建成时所选的方向，最后决定潜在收益能够兑现多少。前两个条件决定场址是否具有较大的朝向潜力，建成方向则决定项目实际能够获得多少收益（补充信息表</w:t>
      </w:r>
      <w:r>
        <w:rPr>
          <w:lang w:eastAsia="zh-CN"/>
        </w:rPr>
        <w:t xml:space="preserve"> S3</w:t>
      </w:r>
      <w:r>
        <w:rPr>
          <w:lang w:eastAsia="zh-CN"/>
        </w:rPr>
        <w:t>、</w:t>
      </w:r>
      <w:r>
        <w:rPr>
          <w:lang w:eastAsia="zh-CN"/>
        </w:rPr>
        <w:t>S5</w:t>
      </w:r>
      <w:r>
        <w:rPr>
          <w:lang w:eastAsia="zh-CN"/>
        </w:rPr>
        <w:t>）。</w:t>
      </w:r>
    </w:p>
    <w:p w14:paraId="7CA5A40D" w14:textId="77777777" w:rsidR="00613D57" w:rsidRDefault="000D7978">
      <w:pPr>
        <w:rPr>
          <w:lang w:eastAsia="zh-CN"/>
        </w:rPr>
      </w:pPr>
      <w:r>
        <w:rPr>
          <w:lang w:eastAsia="zh-CN"/>
        </w:rPr>
        <w:t>六种标准排布与真实排布的一致性表明，这一规律不依赖某一种模板。走廊与其他场址的差异在全部模板下保持在</w:t>
      </w:r>
      <w:r>
        <w:rPr>
          <w:lang w:eastAsia="zh-CN"/>
        </w:rPr>
        <w:t xml:space="preserve"> 5.5 </w:t>
      </w:r>
      <w:r>
        <w:rPr>
          <w:lang w:eastAsia="zh-CN"/>
        </w:rPr>
        <w:t>至</w:t>
      </w:r>
      <w:r>
        <w:rPr>
          <w:lang w:eastAsia="zh-CN"/>
        </w:rPr>
        <w:t xml:space="preserve"> 7.4 </w:t>
      </w:r>
      <w:r>
        <w:rPr>
          <w:lang w:eastAsia="zh-CN"/>
        </w:rPr>
        <w:t>倍，场址排序跨模板高度一致，模板平均结果也与真实排布显著相关。但这并不意味着可以仅凭地图给出项目收益。在整条留出的走廊中，真实排布的敏感性仍难以从摘要特征恢复，因此地图只应缩小评估范围，最终判断必须来自项目机位和当地风况的直接计算。</w:t>
      </w:r>
    </w:p>
    <w:p w14:paraId="79937FA8" w14:textId="77777777" w:rsidR="00613D57" w:rsidRDefault="000D7978">
      <w:pPr>
        <w:rPr>
          <w:lang w:eastAsia="zh-CN"/>
        </w:rPr>
      </w:pPr>
      <w:r>
        <w:rPr>
          <w:lang w:eastAsia="zh-CN"/>
        </w:rPr>
        <w:t>朝向校正还需要与更广义的布局优化分开评价。前者保持机组数量、间距和内部几何不变，可在既定租区的方案比较中实施；后者同时改变用海面积、海缆长度、施工条件和成本。项目级结果显示，纯朝向收益集中在走廊，而模板替换或六模板择优并不具有同样的空间集中性。因此，在低值海域，排布方向可更多服从工程边界；在走廊内，则应在方案锁定前保留多个可行朝向，并把发电收益与新增成本一起核算。</w:t>
      </w:r>
    </w:p>
    <w:p w14:paraId="2A954765" w14:textId="77777777" w:rsidR="00613D57" w:rsidRDefault="000D7978">
      <w:pPr>
        <w:rPr>
          <w:lang w:eastAsia="zh-CN"/>
        </w:rPr>
      </w:pPr>
      <w:r>
        <w:rPr>
          <w:lang w:eastAsia="zh-CN"/>
        </w:rPr>
        <w:t>这些结果仍受数据与模型范围约束。越线风场和走廊样本较少，近岸再分析风向也可能受到海岸线表示和空间分辨率影响，需要独立风场资料、测风塔和运营数据继续验证。统一机型与工程尾流模型适合跨场比较，却不能替代真实项目功率数据。此外，空间筛选和项目情景尚未显式纳入租区、排除区、海缆、出口容量与成本，长期风向气候漂移也有待重算。因此，本文给出的发电变化应理解为统一模型下的比较证据，不应直接解释为项目可实现收益；六模板择优结果尤其只是无约束的设计上界。全部假设与口径边界汇总于补充信息表</w:t>
      </w:r>
      <w:r>
        <w:rPr>
          <w:lang w:eastAsia="zh-CN"/>
        </w:rPr>
        <w:t xml:space="preserve"> S7a</w:t>
      </w:r>
      <w:r>
        <w:rPr>
          <w:lang w:eastAsia="zh-CN"/>
        </w:rPr>
        <w:t>。</w:t>
      </w:r>
    </w:p>
    <w:p w14:paraId="3BE0AECE" w14:textId="77777777" w:rsidR="00613D57" w:rsidRDefault="000D7978">
      <w:pPr>
        <w:pStyle w:val="1"/>
        <w:rPr>
          <w:lang w:eastAsia="zh-CN"/>
        </w:rPr>
      </w:pPr>
      <w:r>
        <w:rPr>
          <w:rFonts w:ascii="Arial" w:eastAsia="黑体" w:hAnsi="Arial" w:cs="Times New Roman"/>
          <w:lang w:eastAsia="zh-CN"/>
        </w:rPr>
        <w:t xml:space="preserve">4. </w:t>
      </w:r>
      <w:r>
        <w:rPr>
          <w:rFonts w:ascii="Arial" w:eastAsia="黑体" w:hAnsi="Arial" w:cs="Times New Roman"/>
          <w:lang w:eastAsia="zh-CN"/>
        </w:rPr>
        <w:t>结论</w:t>
      </w:r>
    </w:p>
    <w:p w14:paraId="359EE8C2" w14:textId="77777777" w:rsidR="00613D57" w:rsidRDefault="000D7978">
      <w:pPr>
        <w:rPr>
          <w:lang w:eastAsia="zh-CN"/>
        </w:rPr>
      </w:pPr>
      <w:r>
        <w:rPr>
          <w:lang w:eastAsia="zh-CN"/>
        </w:rPr>
        <w:t>朝向增益在全球高度右偏，但在少数密集排布与轴向风气候共现的海域达到与场址自身自然波动同量级。</w:t>
      </w:r>
      <w:r>
        <w:rPr>
          <w:lang w:eastAsia="zh-CN"/>
        </w:rPr>
        <w:t xml:space="preserve">171 </w:t>
      </w:r>
      <w:r>
        <w:rPr>
          <w:lang w:eastAsia="zh-CN"/>
        </w:rPr>
        <w:t>个真实建成海上风场的场级多年平均增益中位数为</w:t>
      </w:r>
      <w:r>
        <w:rPr>
          <w:lang w:eastAsia="zh-CN"/>
        </w:rPr>
        <w:t xml:space="preserve"> 0.34%</w:t>
      </w:r>
      <w:r>
        <w:rPr>
          <w:lang w:eastAsia="zh-CN"/>
        </w:rPr>
        <w:t>，在至少具有</w:t>
      </w:r>
      <w:r>
        <w:rPr>
          <w:lang w:eastAsia="zh-CN"/>
        </w:rPr>
        <w:t xml:space="preserve"> 5 </w:t>
      </w:r>
      <w:r>
        <w:rPr>
          <w:lang w:eastAsia="zh-CN"/>
        </w:rPr>
        <w:t>年记录的</w:t>
      </w:r>
      <w:r>
        <w:rPr>
          <w:lang w:eastAsia="zh-CN"/>
        </w:rPr>
        <w:t xml:space="preserve"> 108 </w:t>
      </w:r>
      <w:r>
        <w:rPr>
          <w:lang w:eastAsia="zh-CN"/>
        </w:rPr>
        <w:t>个风场中，仅</w:t>
      </w:r>
      <w:r>
        <w:rPr>
          <w:lang w:eastAsia="zh-CN"/>
        </w:rPr>
        <w:t xml:space="preserve"> 4 </w:t>
      </w:r>
      <w:r>
        <w:rPr>
          <w:lang w:eastAsia="zh-CN"/>
        </w:rPr>
        <w:t>个项目的增益超过自身的风速年际波动（补充信息表</w:t>
      </w:r>
      <w:r>
        <w:rPr>
          <w:lang w:eastAsia="zh-CN"/>
        </w:rPr>
        <w:t xml:space="preserve"> S1</w:t>
      </w:r>
      <w:r>
        <w:rPr>
          <w:lang w:eastAsia="zh-CN"/>
        </w:rPr>
        <w:t>），高值沿越南季风海岸、中国东南湾口、塔兰托湾与丹麦海峡聚集。小间距构成高响应的几何门槛，轴向风气候与风速</w:t>
      </w:r>
      <w:r>
        <w:rPr>
          <w:lang w:eastAsia="zh-CN"/>
        </w:rPr>
        <w:t>—</w:t>
      </w:r>
      <w:r>
        <w:rPr>
          <w:lang w:eastAsia="zh-CN"/>
        </w:rPr>
        <w:t>风向耦合放大响应，建成相位决定潜力的兑现比例。</w:t>
      </w:r>
    </w:p>
    <w:p w14:paraId="2C541EBD" w14:textId="77777777" w:rsidR="00613D57" w:rsidRDefault="000D7978">
      <w:pPr>
        <w:rPr>
          <w:lang w:eastAsia="zh-CN"/>
        </w:rPr>
      </w:pPr>
      <w:r>
        <w:rPr>
          <w:lang w:eastAsia="zh-CN"/>
        </w:rPr>
        <w:t>哪些风场能靠朝向多发电，跨六种建设范式与真实排布始终是同一批；把机组间距放大只会压缩可多发的电量，而不会使它归零。六种范式下走廊风场可多发电量的中位数持续为其他海域的</w:t>
      </w:r>
      <w:r>
        <w:rPr>
          <w:lang w:eastAsia="zh-CN"/>
        </w:rPr>
        <w:t xml:space="preserve"> 5.5 </w:t>
      </w:r>
      <w:r>
        <w:rPr>
          <w:lang w:eastAsia="zh-CN"/>
        </w:rPr>
        <w:t>至</w:t>
      </w:r>
      <w:r>
        <w:rPr>
          <w:lang w:eastAsia="zh-CN"/>
        </w:rPr>
        <w:t xml:space="preserve"> 7.4 </w:t>
      </w:r>
      <w:r>
        <w:rPr>
          <w:lang w:eastAsia="zh-CN"/>
        </w:rPr>
        <w:t>倍，场址排序跨范式高度一致，范式均值与真实排布响应的</w:t>
      </w:r>
      <w:r>
        <w:rPr>
          <w:lang w:eastAsia="zh-CN"/>
        </w:rPr>
        <w:t xml:space="preserve"> Spearman </w:t>
      </w:r>
      <w:r>
        <w:rPr>
          <w:lang w:eastAsia="zh-CN"/>
        </w:rPr>
        <w:t>相关为</w:t>
      </w:r>
      <w:r>
        <w:rPr>
          <w:lang w:eastAsia="zh-CN"/>
        </w:rPr>
        <w:t xml:space="preserve"> 0.706</w:t>
      </w:r>
      <w:r>
        <w:rPr>
          <w:lang w:eastAsia="zh-CN"/>
        </w:rPr>
        <w:t>；即使在</w:t>
      </w:r>
      <w:r>
        <w:rPr>
          <w:lang w:eastAsia="zh-CN"/>
        </w:rPr>
        <w:t xml:space="preserve"> 11.8 </w:t>
      </w:r>
      <w:r>
        <w:rPr>
          <w:lang w:eastAsia="zh-CN"/>
        </w:rPr>
        <w:t>倍转子直径的最稀疏范式中，走廊响应仍为其他场址的</w:t>
      </w:r>
      <w:r>
        <w:rPr>
          <w:lang w:eastAsia="zh-CN"/>
        </w:rPr>
        <w:t xml:space="preserve"> 5.5 </w:t>
      </w:r>
      <w:r>
        <w:rPr>
          <w:lang w:eastAsia="zh-CN"/>
        </w:rPr>
        <w:t>倍（补充信息图</w:t>
      </w:r>
      <w:r>
        <w:rPr>
          <w:lang w:eastAsia="zh-CN"/>
        </w:rPr>
        <w:t xml:space="preserve"> S1</w:t>
      </w:r>
      <w:r>
        <w:rPr>
          <w:lang w:eastAsia="zh-CN"/>
        </w:rPr>
        <w:t>、表</w:t>
      </w:r>
      <w:r>
        <w:rPr>
          <w:lang w:eastAsia="zh-CN"/>
        </w:rPr>
        <w:t xml:space="preserve"> S6–S8</w:t>
      </w:r>
      <w:r>
        <w:rPr>
          <w:lang w:eastAsia="zh-CN"/>
        </w:rPr>
        <w:t>）。候选地图只能圈定值得评估的海域，不能替代未知项目的直接方向响应计算。，候选地图不能替代未知项目的直接方向响应计算。</w:t>
      </w:r>
    </w:p>
    <w:p w14:paraId="322BFE58" w14:textId="77777777" w:rsidR="00613D57" w:rsidRDefault="000D7978">
      <w:pPr>
        <w:rPr>
          <w:lang w:eastAsia="zh-CN"/>
        </w:rPr>
      </w:pPr>
      <w:r>
        <w:rPr>
          <w:lang w:eastAsia="zh-CN"/>
        </w:rPr>
        <w:t>规划含义因此是有选择地保留方向自由度并在具体租区与工程约束下复核，而不是对全球海上风电施加统一的朝向增益率。在保持真实几何不变的朝向校正中，</w:t>
      </w:r>
      <w:r>
        <w:rPr>
          <w:lang w:eastAsia="zh-CN"/>
        </w:rPr>
        <w:t xml:space="preserve">20 </w:t>
      </w:r>
      <w:r>
        <w:rPr>
          <w:lang w:eastAsia="zh-CN"/>
        </w:rPr>
        <w:t>个走廊项目以</w:t>
      </w:r>
      <w:r>
        <w:rPr>
          <w:lang w:eastAsia="zh-CN"/>
        </w:rPr>
        <w:t xml:space="preserve"> 7.6% </w:t>
      </w:r>
      <w:r>
        <w:rPr>
          <w:lang w:eastAsia="zh-CN"/>
        </w:rPr>
        <w:t>的装机贡献了</w:t>
      </w:r>
      <w:r>
        <w:rPr>
          <w:lang w:eastAsia="zh-CN"/>
        </w:rPr>
        <w:t xml:space="preserve"> 28.6% </w:t>
      </w:r>
      <w:r>
        <w:rPr>
          <w:lang w:eastAsia="zh-CN"/>
        </w:rPr>
        <w:t>的新增电量；而一旦把排布模板与机组间距一并改变，多发的电量便不再集中于走廊。朝向在既定租区内是可实施且收益集中的自由度，在重新设计的排布中仍是每一种模板都需要单独确定的参数。</w:t>
      </w:r>
    </w:p>
    <w:p w14:paraId="5CC94CF6" w14:textId="77777777" w:rsidR="00613D57" w:rsidRDefault="000D7978">
      <w:pPr>
        <w:pStyle w:val="1"/>
        <w:rPr>
          <w:lang w:eastAsia="zh-CN"/>
        </w:rPr>
      </w:pPr>
      <w:r>
        <w:rPr>
          <w:rFonts w:ascii="Arial" w:eastAsia="黑体" w:hAnsi="Arial" w:cs="Times New Roman"/>
          <w:lang w:eastAsia="zh-CN"/>
        </w:rPr>
        <w:lastRenderedPageBreak/>
        <w:t xml:space="preserve">5. </w:t>
      </w:r>
      <w:r>
        <w:rPr>
          <w:rFonts w:ascii="Arial" w:eastAsia="黑体" w:hAnsi="Arial" w:cs="Times New Roman"/>
          <w:lang w:eastAsia="zh-CN"/>
        </w:rPr>
        <w:t>方法</w:t>
      </w:r>
    </w:p>
    <w:p w14:paraId="319A4EC9" w14:textId="77777777" w:rsidR="00613D57" w:rsidRDefault="000D7978">
      <w:pPr>
        <w:pStyle w:val="21"/>
        <w:rPr>
          <w:lang w:eastAsia="zh-CN"/>
        </w:rPr>
      </w:pPr>
      <w:r>
        <w:rPr>
          <w:rFonts w:ascii="Arial" w:eastAsia="黑体" w:hAnsi="Arial" w:cs="Times New Roman"/>
          <w:lang w:eastAsia="zh-CN"/>
        </w:rPr>
        <w:t xml:space="preserve">5.1 </w:t>
      </w:r>
      <w:r>
        <w:rPr>
          <w:rFonts w:ascii="Arial" w:eastAsia="黑体" w:hAnsi="Arial" w:cs="Times New Roman"/>
          <w:lang w:eastAsia="zh-CN"/>
        </w:rPr>
        <w:t>真实风场样本与统一模拟框架</w:t>
      </w:r>
    </w:p>
    <w:p w14:paraId="07CD518F" w14:textId="77777777" w:rsidR="00613D57" w:rsidRDefault="000D7978">
      <w:pPr>
        <w:rPr>
          <w:lang w:eastAsia="zh-CN"/>
        </w:rPr>
      </w:pPr>
      <w:r>
        <w:rPr>
          <w:lang w:eastAsia="zh-CN"/>
        </w:rPr>
        <w:t>研究以全球真实建成海上风场的机位坐标为几何输入，覆盖</w:t>
      </w:r>
      <w:r>
        <w:rPr>
          <w:lang w:eastAsia="zh-CN"/>
        </w:rPr>
        <w:t xml:space="preserve"> 15,106 </w:t>
      </w:r>
      <w:r>
        <w:rPr>
          <w:lang w:eastAsia="zh-CN"/>
        </w:rPr>
        <w:t>台机组；公开遥感机位数据的发展为此类全球真实排布分析提供了基础</w:t>
      </w:r>
      <w:r>
        <w:rPr>
          <w:lang w:eastAsia="zh-CN"/>
        </w:rPr>
        <w:t>[14]</w:t>
      </w:r>
      <w:r>
        <w:rPr>
          <w:lang w:eastAsia="zh-CN"/>
        </w:rPr>
        <w:t>。逐时风速与风向取</w:t>
      </w:r>
      <w:r>
        <w:rPr>
          <w:lang w:eastAsia="zh-CN"/>
        </w:rPr>
        <w:t xml:space="preserve"> 100 m </w:t>
      </w:r>
      <w:r>
        <w:rPr>
          <w:lang w:eastAsia="zh-CN"/>
        </w:rPr>
        <w:t>高度</w:t>
      </w:r>
      <w:r>
        <w:rPr>
          <w:lang w:eastAsia="zh-CN"/>
        </w:rPr>
        <w:t xml:space="preserve"> ERA5 </w:t>
      </w:r>
      <w:r>
        <w:rPr>
          <w:lang w:eastAsia="zh-CN"/>
        </w:rPr>
        <w:t>再分析数据</w:t>
      </w:r>
      <w:r>
        <w:rPr>
          <w:lang w:eastAsia="zh-CN"/>
        </w:rPr>
        <w:t>[15]</w:t>
      </w:r>
      <w:r>
        <w:rPr>
          <w:lang w:eastAsia="zh-CN"/>
        </w:rPr>
        <w:t>，并考虑再分析风电模拟的区域偏差边界</w:t>
      </w:r>
      <w:r>
        <w:rPr>
          <w:lang w:eastAsia="zh-CN"/>
        </w:rPr>
        <w:t>[16]</w:t>
      </w:r>
      <w:r>
        <w:rPr>
          <w:lang w:eastAsia="zh-CN"/>
        </w:rPr>
        <w:t>。主评价时段为</w:t>
      </w:r>
      <w:r>
        <w:rPr>
          <w:lang w:eastAsia="zh-CN"/>
        </w:rPr>
        <w:t xml:space="preserve"> 2014 </w:t>
      </w:r>
      <w:r>
        <w:rPr>
          <w:lang w:eastAsia="zh-CN"/>
        </w:rPr>
        <w:t>至</w:t>
      </w:r>
      <w:r>
        <w:rPr>
          <w:lang w:eastAsia="zh-CN"/>
        </w:rPr>
        <w:t xml:space="preserve"> 2024 </w:t>
      </w:r>
      <w:r>
        <w:rPr>
          <w:lang w:eastAsia="zh-CN"/>
        </w:rPr>
        <w:t>年，历史气候基准用于事前选角与反事实分解。所有风场采用统一</w:t>
      </w:r>
      <w:r>
        <w:rPr>
          <w:lang w:eastAsia="zh-CN"/>
        </w:rPr>
        <w:t xml:space="preserve"> 10 MW </w:t>
      </w:r>
      <w:r>
        <w:rPr>
          <w:lang w:eastAsia="zh-CN"/>
        </w:rPr>
        <w:t>参考机型及一致的功率、推力曲线与电气损耗设置，以隔离排布与风况差异。按逐年累计投运机组构建风场</w:t>
      </w:r>
      <w:r>
        <w:rPr>
          <w:lang w:eastAsia="zh-CN"/>
        </w:rPr>
        <w:t>—</w:t>
      </w:r>
      <w:r>
        <w:rPr>
          <w:lang w:eastAsia="zh-CN"/>
        </w:rPr>
        <w:t>年样本后，得到</w:t>
      </w:r>
      <w:r>
        <w:rPr>
          <w:lang w:eastAsia="zh-CN"/>
        </w:rPr>
        <w:t xml:space="preserve"> 171 </w:t>
      </w:r>
      <w:r>
        <w:rPr>
          <w:lang w:eastAsia="zh-CN"/>
        </w:rPr>
        <w:t>个风场与</w:t>
      </w:r>
      <w:r>
        <w:rPr>
          <w:lang w:eastAsia="zh-CN"/>
        </w:rPr>
        <w:t xml:space="preserve"> 1,203 </w:t>
      </w:r>
      <w:r>
        <w:rPr>
          <w:lang w:eastAsia="zh-CN"/>
        </w:rPr>
        <w:t>个风场</w:t>
      </w:r>
      <w:r>
        <w:rPr>
          <w:lang w:eastAsia="zh-CN"/>
        </w:rPr>
        <w:t>—</w:t>
      </w:r>
      <w:r>
        <w:rPr>
          <w:lang w:eastAsia="zh-CN"/>
        </w:rPr>
        <w:t>年。样本总览与参数口径见补充信息图</w:t>
      </w:r>
      <w:r>
        <w:rPr>
          <w:lang w:eastAsia="zh-CN"/>
        </w:rPr>
        <w:t xml:space="preserve"> S2</w:t>
      </w:r>
      <w:r>
        <w:rPr>
          <w:lang w:eastAsia="zh-CN"/>
        </w:rPr>
        <w:t>、表</w:t>
      </w:r>
      <w:r>
        <w:rPr>
          <w:lang w:eastAsia="zh-CN"/>
        </w:rPr>
        <w:t xml:space="preserve"> S1a</w:t>
      </w:r>
      <w:r>
        <w:rPr>
          <w:lang w:eastAsia="zh-CN"/>
        </w:rPr>
        <w:t>。</w:t>
      </w:r>
    </w:p>
    <w:p w14:paraId="6ABE9AF0" w14:textId="77777777" w:rsidR="00613D57" w:rsidRDefault="000D7978">
      <w:pPr>
        <w:rPr>
          <w:lang w:eastAsia="zh-CN"/>
        </w:rPr>
      </w:pPr>
      <w:r>
        <w:rPr>
          <w:lang w:eastAsia="zh-CN"/>
        </w:rPr>
        <w:t>尾流计算采用</w:t>
      </w:r>
      <w:r>
        <w:rPr>
          <w:lang w:eastAsia="zh-CN"/>
        </w:rPr>
        <w:t xml:space="preserve"> FLORIS v4.6 </w:t>
      </w:r>
      <w:r>
        <w:rPr>
          <w:lang w:eastAsia="zh-CN"/>
        </w:rPr>
        <w:t>中的高斯解析尾流框架，其速度亏损形式以经典高斯尾流模型为基础</w:t>
      </w:r>
      <w:r>
        <w:rPr>
          <w:lang w:eastAsia="zh-CN"/>
        </w:rPr>
        <w:t>[17]</w:t>
      </w:r>
      <w:r>
        <w:rPr>
          <w:lang w:eastAsia="zh-CN"/>
        </w:rPr>
        <w:t>；方向</w:t>
      </w:r>
      <w:r>
        <w:rPr>
          <w:lang w:eastAsia="zh-CN"/>
        </w:rPr>
        <w:t>—</w:t>
      </w:r>
      <w:r>
        <w:rPr>
          <w:lang w:eastAsia="zh-CN"/>
        </w:rPr>
        <w:t>风速分箱预计算后，在逐时气象序列中查表积分。旋转测试、机位打乱对照与数值精度检查用于核对刚性旋转与能量积分的一致性。本文的</w:t>
      </w:r>
      <w:r>
        <w:rPr>
          <w:lang w:eastAsia="zh-CN"/>
        </w:rPr>
        <w:t>"</w:t>
      </w:r>
      <w:r>
        <w:rPr>
          <w:lang w:eastAsia="zh-CN"/>
        </w:rPr>
        <w:t>旋转</w:t>
      </w:r>
      <w:r>
        <w:rPr>
          <w:lang w:eastAsia="zh-CN"/>
        </w:rPr>
        <w:t>"</w:t>
      </w:r>
      <w:r>
        <w:rPr>
          <w:lang w:eastAsia="zh-CN"/>
        </w:rPr>
        <w:t>始终指整片阵列绕质心的刚性旋转，不改变机组数量、两两距离与内部几何；它既不是单机偏航，也不是运行期的尾流偏转控制。</w:t>
      </w:r>
    </w:p>
    <w:p w14:paraId="2D4AC7AC" w14:textId="77777777" w:rsidR="00613D57" w:rsidRPr="00A808D3" w:rsidRDefault="000D7978">
      <w:pPr>
        <w:pStyle w:val="21"/>
        <w:rPr>
          <w:lang w:eastAsia="zh-CN"/>
        </w:rPr>
      </w:pPr>
      <w:r w:rsidRPr="00A808D3">
        <w:rPr>
          <w:rFonts w:ascii="Arial" w:eastAsia="黑体" w:hAnsi="Arial" w:cs="Times New Roman"/>
          <w:lang w:eastAsia="zh-CN"/>
        </w:rPr>
        <w:t xml:space="preserve">5.2 </w:t>
      </w:r>
      <w:r w:rsidRPr="00A808D3">
        <w:rPr>
          <w:rFonts w:ascii="Arial" w:eastAsia="黑体" w:hAnsi="Arial" w:cs="Times New Roman"/>
          <w:lang w:eastAsia="zh-CN"/>
        </w:rPr>
        <w:t>建成朝向到历史最优朝向的模型化增益</w:t>
      </w:r>
    </w:p>
    <w:p w14:paraId="28DAED33" w14:textId="60CB547E" w:rsidR="00613D57" w:rsidRPr="00A808D3" w:rsidRDefault="000D7978">
      <w:pPr>
        <w:rPr>
          <w:iCs/>
          <w:lang w:eastAsia="zh-CN"/>
        </w:rPr>
      </w:pPr>
      <w:r w:rsidRPr="00A808D3">
        <w:rPr>
          <w:iCs/>
          <w:sz w:val="22"/>
          <w:lang w:eastAsia="zh-CN"/>
        </w:rPr>
        <w:t>对风场</w:t>
      </w:r>
      <w:r w:rsidRPr="00A808D3">
        <w:rPr>
          <w:iCs/>
          <w:sz w:val="22"/>
          <w:lang w:eastAsia="zh-CN"/>
        </w:rPr>
        <w:t xml:space="preserve"> </w:t>
      </w:r>
      <w:proofErr w:type="spellStart"/>
      <w:r w:rsidRPr="00A808D3">
        <w:rPr>
          <w:iCs/>
          <w:sz w:val="22"/>
          <w:lang w:eastAsia="zh-CN"/>
        </w:rPr>
        <w:t>i</w:t>
      </w:r>
      <w:proofErr w:type="spellEnd"/>
      <w:r w:rsidRPr="00A808D3">
        <w:rPr>
          <w:iCs/>
          <w:sz w:val="22"/>
          <w:lang w:eastAsia="zh-CN"/>
        </w:rPr>
        <w:t>，先用</w:t>
      </w:r>
      <w:r w:rsidRPr="00A808D3">
        <w:rPr>
          <w:iCs/>
          <w:sz w:val="22"/>
          <w:lang w:eastAsia="zh-CN"/>
        </w:rPr>
        <w:t xml:space="preserve"> 1981 </w:t>
      </w:r>
      <w:r w:rsidRPr="00A808D3">
        <w:rPr>
          <w:iCs/>
          <w:sz w:val="22"/>
          <w:lang w:eastAsia="zh-CN"/>
        </w:rPr>
        <w:t>至</w:t>
      </w:r>
      <w:r w:rsidRPr="00A808D3">
        <w:rPr>
          <w:iCs/>
          <w:sz w:val="22"/>
          <w:lang w:eastAsia="zh-CN"/>
        </w:rPr>
        <w:t xml:space="preserve"> 2010 </w:t>
      </w:r>
      <w:r w:rsidRPr="00A808D3">
        <w:rPr>
          <w:iCs/>
          <w:sz w:val="22"/>
          <w:lang w:eastAsia="zh-CN"/>
        </w:rPr>
        <w:t>年历史风向频率在</w:t>
      </w:r>
      <w:r w:rsidRPr="00A808D3">
        <w:rPr>
          <w:iCs/>
          <w:sz w:val="22"/>
          <w:lang w:eastAsia="zh-CN"/>
        </w:rPr>
        <w:t xml:space="preserve"> 0° </w:t>
      </w:r>
      <w:r w:rsidRPr="00A808D3">
        <w:rPr>
          <w:iCs/>
          <w:sz w:val="22"/>
          <w:lang w:eastAsia="zh-CN"/>
        </w:rPr>
        <w:t>至</w:t>
      </w:r>
      <w:r w:rsidRPr="00A808D3">
        <w:rPr>
          <w:iCs/>
          <w:sz w:val="22"/>
          <w:lang w:eastAsia="zh-CN"/>
        </w:rPr>
        <w:t xml:space="preserve"> 170° </w:t>
      </w:r>
      <w:r w:rsidRPr="00A808D3">
        <w:rPr>
          <w:iCs/>
          <w:sz w:val="22"/>
          <w:lang w:eastAsia="zh-CN"/>
        </w:rPr>
        <w:t>范围内按</w:t>
      </w:r>
      <w:r w:rsidRPr="00A808D3">
        <w:rPr>
          <w:iCs/>
          <w:sz w:val="22"/>
          <w:lang w:eastAsia="zh-CN"/>
        </w:rPr>
        <w:t xml:space="preserve"> 10° </w:t>
      </w:r>
      <w:r w:rsidRPr="00A808D3">
        <w:rPr>
          <w:iCs/>
          <w:sz w:val="22"/>
          <w:lang w:eastAsia="zh-CN"/>
        </w:rPr>
        <w:t>步长扫描刚性旋转角，选定气候加权最优角</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θ</m:t>
            </m:r>
          </m:e>
          <m:sub>
            <m:r>
              <m:rPr>
                <m:sty m:val="p"/>
              </m:rPr>
              <w:rPr>
                <w:rFonts w:ascii="Cambria Math" w:hAnsi="Cambria Math"/>
                <w:lang w:eastAsia="zh-CN"/>
              </w:rPr>
              <m:t>i</m:t>
            </m:r>
          </m:sub>
        </m:sSub>
      </m:oMath>
      <w:r w:rsidRPr="00A808D3">
        <w:rPr>
          <w:iCs/>
          <w:sz w:val="22"/>
          <w:lang w:eastAsia="zh-CN"/>
        </w:rPr>
        <w:t>。随后在独立的</w:t>
      </w:r>
      <w:r w:rsidRPr="00A808D3">
        <w:rPr>
          <w:iCs/>
          <w:sz w:val="22"/>
          <w:lang w:eastAsia="zh-CN"/>
        </w:rPr>
        <w:t xml:space="preserve"> 2014 </w:t>
      </w:r>
      <w:r w:rsidRPr="00A808D3">
        <w:rPr>
          <w:iCs/>
          <w:sz w:val="22"/>
          <w:lang w:eastAsia="zh-CN"/>
        </w:rPr>
        <w:t>至</w:t>
      </w:r>
      <w:r w:rsidRPr="00A808D3">
        <w:rPr>
          <w:iCs/>
          <w:sz w:val="22"/>
          <w:lang w:eastAsia="zh-CN"/>
        </w:rPr>
        <w:t xml:space="preserve"> 2024 </w:t>
      </w:r>
      <w:r w:rsidRPr="00A808D3">
        <w:rPr>
          <w:iCs/>
          <w:sz w:val="22"/>
          <w:lang w:eastAsia="zh-CN"/>
        </w:rPr>
        <w:t>年逐时天气中，对建成朝向</w:t>
      </w:r>
      <w:r w:rsidRPr="00A808D3">
        <w:rPr>
          <w:iCs/>
          <w:sz w:val="22"/>
          <w:lang w:eastAsia="zh-CN"/>
        </w:rPr>
        <w:t xml:space="preserve"> </w:t>
      </w:r>
      <w:r w:rsidRPr="00A808D3">
        <w:rPr>
          <w:iCs/>
          <w:sz w:val="22"/>
        </w:rPr>
        <w:t>θ</w:t>
      </w:r>
      <w:r w:rsidRPr="00A808D3">
        <w:rPr>
          <w:iCs/>
          <w:sz w:val="22"/>
          <w:lang w:eastAsia="zh-CN"/>
        </w:rPr>
        <w:t xml:space="preserve"> = 0 </w:t>
      </w:r>
      <w:r w:rsidRPr="00A808D3">
        <w:rPr>
          <w:iCs/>
          <w:sz w:val="22"/>
          <w:lang w:eastAsia="zh-CN"/>
        </w:rPr>
        <w:t>与预先选定的</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θ</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配对计算。风场</w:t>
      </w:r>
      <w:r w:rsidRPr="00A808D3">
        <w:rPr>
          <w:iCs/>
          <w:sz w:val="22"/>
          <w:lang w:eastAsia="zh-CN"/>
        </w:rPr>
        <w:t xml:space="preserve"> </w:t>
      </w:r>
      <w:proofErr w:type="spellStart"/>
      <w:r w:rsidRPr="00A808D3">
        <w:rPr>
          <w:iCs/>
          <w:sz w:val="22"/>
          <w:lang w:eastAsia="zh-CN"/>
        </w:rPr>
        <w:t>i</w:t>
      </w:r>
      <w:proofErr w:type="spellEnd"/>
      <w:r w:rsidRPr="00A808D3">
        <w:rPr>
          <w:iCs/>
          <w:sz w:val="22"/>
          <w:lang w:eastAsia="zh-CN"/>
        </w:rPr>
        <w:t xml:space="preserve"> </w:t>
      </w:r>
      <w:r w:rsidRPr="00A808D3">
        <w:rPr>
          <w:iCs/>
          <w:sz w:val="22"/>
          <w:lang w:eastAsia="zh-CN"/>
        </w:rPr>
        <w:t>在年份</w:t>
      </w:r>
      <w:r w:rsidRPr="00A808D3">
        <w:rPr>
          <w:iCs/>
          <w:sz w:val="22"/>
          <w:lang w:eastAsia="zh-CN"/>
        </w:rPr>
        <w:t xml:space="preserve"> y </w:t>
      </w:r>
      <w:r w:rsidRPr="00A808D3">
        <w:rPr>
          <w:iCs/>
          <w:sz w:val="22"/>
          <w:lang w:eastAsia="zh-CN"/>
        </w:rPr>
        <w:t>的模型化增益由式</w:t>
      </w:r>
      <w:r w:rsidRPr="00A808D3">
        <w:rPr>
          <w:iCs/>
          <w:sz w:val="22"/>
          <w:lang w:eastAsia="zh-CN"/>
        </w:rPr>
        <w:t xml:space="preserve"> </w:t>
      </w:r>
      <w:proofErr w:type="gramStart"/>
      <w:r w:rsidRPr="00A808D3">
        <w:rPr>
          <w:iCs/>
          <w:sz w:val="22"/>
          <w:lang w:eastAsia="zh-CN"/>
        </w:rPr>
        <w:t>(1)</w:t>
      </w:r>
      <w:proofErr w:type="gramEnd"/>
      <w:r w:rsidRPr="00A808D3">
        <w:rPr>
          <w:iCs/>
          <w:sz w:val="22"/>
          <w:lang w:eastAsia="zh-CN"/>
        </w:rPr>
        <w:t xml:space="preserve"> </w:t>
      </w:r>
      <w:r w:rsidRPr="00A808D3">
        <w:rPr>
          <w:iCs/>
          <w:sz w:val="22"/>
          <w:lang w:eastAsia="zh-CN"/>
        </w:rPr>
        <w:t>定义（符号见补充信息表</w:t>
      </w:r>
      <w:r w:rsidRPr="00A808D3">
        <w:rPr>
          <w:iCs/>
          <w:sz w:val="22"/>
          <w:lang w:eastAsia="zh-CN"/>
        </w:rPr>
        <w:t xml:space="preserve"> S0</w:t>
      </w:r>
      <w:r w:rsidRPr="00A808D3">
        <w:rPr>
          <w:iCs/>
          <w:sz w:val="22"/>
          <w:lang w:eastAsia="zh-CN"/>
        </w:rPr>
        <w:t>）：</w:t>
      </w:r>
    </w:p>
    <w:p w14:paraId="71CA7D97" w14:textId="27E79ADC" w:rsidR="00613D57" w:rsidRPr="00A808D3" w:rsidRDefault="00FF0F67">
      <w:pPr>
        <w:keepLines/>
        <w:tabs>
          <w:tab w:val="center" w:pos="4392"/>
          <w:tab w:val="right" w:pos="9072"/>
        </w:tabs>
        <w:spacing w:before="60" w:after="160"/>
        <w:rPr>
          <w:lang w:eastAsia="zh-CN"/>
        </w:rPr>
      </w:pPr>
      <w:r w:rsidRPr="00A808D3">
        <w:rPr>
          <w:lang w:eastAsia="zh-CN"/>
        </w:rPr>
        <w:tab/>
      </w:r>
      <m:oMath>
        <m:r>
          <w:rPr>
            <w:rFonts w:ascii="Cambria Math" w:hAnsi="Cambria Math"/>
            <w:lang w:eastAsia="zh-CN"/>
          </w:rPr>
          <m:t>Gᵢᵧ=100×</m:t>
        </m:r>
        <m:d>
          <m:dPr>
            <m:begChr m:val="["/>
            <m:endChr m:val="]"/>
            <m:ctrlPr>
              <w:rPr>
                <w:rFonts w:ascii="Cambria Math" w:hAnsi="Cambria Math"/>
              </w:rPr>
            </m:ctrlPr>
          </m:dPr>
          <m:e>
            <m:r>
              <w:rPr>
                <w:rFonts w:ascii="Cambria Math" w:hAnsi="Cambria Math"/>
                <w:lang w:eastAsia="zh-CN"/>
              </w:rPr>
              <m:t>Eᵢᵧ</m:t>
            </m:r>
            <m:d>
              <m:dPr>
                <m:ctrlPr>
                  <w:rPr>
                    <w:rFonts w:ascii="Cambria Math" w:hAnsi="Cambria Math"/>
                  </w:rPr>
                </m:ctrlPr>
              </m:dPr>
              <m:e>
                <m:r>
                  <w:rPr>
                    <w:rFonts w:ascii="Cambria Math" w:hAnsi="Cambria Math"/>
                    <w:lang w:eastAsia="zh-CN"/>
                  </w:rPr>
                  <m:t>θᵢ*</m:t>
                </m:r>
              </m:e>
            </m:d>
            <m:r>
              <w:rPr>
                <w:rFonts w:ascii="Cambria Math" w:hAnsi="Cambria Math"/>
                <w:lang w:eastAsia="zh-CN"/>
              </w:rPr>
              <m:t>-Eᵢᵧ</m:t>
            </m:r>
            <m:d>
              <m:dPr>
                <m:ctrlPr>
                  <w:rPr>
                    <w:rFonts w:ascii="Cambria Math" w:hAnsi="Cambria Math"/>
                  </w:rPr>
                </m:ctrlPr>
              </m:dPr>
              <m:e>
                <m:r>
                  <w:rPr>
                    <w:rFonts w:ascii="Cambria Math" w:hAnsi="Cambria Math"/>
                    <w:lang w:eastAsia="zh-CN"/>
                  </w:rPr>
                  <m:t>0</m:t>
                </m:r>
              </m:e>
            </m:d>
          </m:e>
        </m:d>
        <m:r>
          <w:rPr>
            <w:rFonts w:ascii="Cambria Math" w:hAnsi="Cambria Math"/>
            <w:lang w:eastAsia="zh-CN"/>
          </w:rPr>
          <m:t>/Eᵢᵧ</m:t>
        </m:r>
        <m:d>
          <m:dPr>
            <m:ctrlPr>
              <w:rPr>
                <w:rFonts w:ascii="Cambria Math" w:hAnsi="Cambria Math"/>
              </w:rPr>
            </m:ctrlPr>
          </m:dPr>
          <m:e>
            <m:r>
              <w:rPr>
                <w:rFonts w:ascii="Cambria Math" w:hAnsi="Cambria Math"/>
                <w:lang w:eastAsia="zh-CN"/>
              </w:rPr>
              <m:t>0</m:t>
            </m:r>
          </m:e>
        </m:d>
        <m:r>
          <w:rPr>
            <w:rFonts w:ascii="Cambria Math" w:hAnsi="Cambria Math"/>
            <w:lang w:eastAsia="zh-CN"/>
          </w:rPr>
          <m:t>.</m:t>
        </m:r>
      </m:oMath>
      <w:r w:rsidRPr="00A808D3">
        <w:rPr>
          <w:lang w:eastAsia="zh-CN"/>
        </w:rPr>
        <w:tab/>
        <w:t>(1)</w:t>
      </w:r>
    </w:p>
    <w:p w14:paraId="0040EF50" w14:textId="6853FD5A" w:rsidR="00613D57" w:rsidRPr="00A808D3" w:rsidRDefault="000D7978">
      <w:pPr>
        <w:rPr>
          <w:iCs/>
          <w:lang w:eastAsia="zh-CN"/>
        </w:rPr>
      </w:pPr>
      <w:r w:rsidRPr="00A808D3">
        <w:rPr>
          <w:iCs/>
          <w:sz w:val="22"/>
          <w:lang w:eastAsia="zh-CN"/>
        </w:rPr>
        <w:t>场级</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G</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为所有可用年份</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G</m:t>
            </m:r>
          </m:e>
          <m:sub>
            <m:r>
              <m:rPr>
                <m:sty m:val="p"/>
              </m:rPr>
              <w:rPr>
                <w:rFonts w:ascii="Cambria Math" w:hAnsi="Cambria Math"/>
                <w:lang w:eastAsia="zh-CN"/>
              </w:rPr>
              <m:t>iy</m:t>
            </m:r>
          </m:sub>
        </m:sSub>
      </m:oMath>
      <w:r w:rsidRPr="00A808D3">
        <w:rPr>
          <w:iCs/>
          <w:sz w:val="22"/>
          <w:lang w:eastAsia="zh-CN"/>
        </w:rPr>
        <w:t xml:space="preserve"> </w:t>
      </w:r>
      <w:r w:rsidRPr="00A808D3">
        <w:rPr>
          <w:iCs/>
          <w:sz w:val="22"/>
          <w:lang w:eastAsia="zh-CN"/>
        </w:rPr>
        <w:t>的算术平均。该设计把选角与评价时段分离，模拟一个在建设前使用历史气候选角、在未来天气中兑现收益的决策过程。由于</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θ</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在评价期前冻结，个别年份的</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G</m:t>
            </m:r>
          </m:e>
          <m:sub>
            <m:r>
              <m:rPr>
                <m:sty m:val="p"/>
              </m:rPr>
              <w:rPr>
                <w:rFonts w:ascii="Cambria Math" w:hAnsi="Cambria Math"/>
                <w:lang w:eastAsia="zh-CN"/>
              </w:rPr>
              <m:t>iy</m:t>
            </m:r>
          </m:sub>
        </m:sSub>
      </m:oMath>
      <w:r w:rsidRPr="00A808D3">
        <w:rPr>
          <w:iCs/>
          <w:sz w:val="22"/>
          <w:lang w:eastAsia="zh-CN"/>
        </w:rPr>
        <w:t xml:space="preserve"> </w:t>
      </w:r>
      <w:r w:rsidRPr="00A808D3">
        <w:rPr>
          <w:iCs/>
          <w:sz w:val="22"/>
          <w:lang w:eastAsia="zh-CN"/>
        </w:rPr>
        <w:t>可以为负，这反映天气抽样而非重新优化失败。</w:t>
      </w:r>
    </w:p>
    <w:p w14:paraId="56298170" w14:textId="77777777" w:rsidR="00613D57" w:rsidRPr="00A808D3" w:rsidRDefault="000D7978">
      <w:pPr>
        <w:pStyle w:val="21"/>
        <w:rPr>
          <w:iCs/>
          <w:lang w:eastAsia="zh-CN"/>
        </w:rPr>
      </w:pPr>
      <w:r w:rsidRPr="00A808D3">
        <w:rPr>
          <w:rFonts w:ascii="Arial" w:eastAsia="黑体" w:hAnsi="Arial" w:cs="Times New Roman"/>
          <w:iCs/>
          <w:lang w:eastAsia="zh-CN"/>
        </w:rPr>
        <w:t xml:space="preserve">5.3 </w:t>
      </w:r>
      <w:r w:rsidRPr="00A808D3">
        <w:rPr>
          <w:rFonts w:ascii="Arial" w:eastAsia="黑体" w:hAnsi="Arial" w:cs="Times New Roman"/>
          <w:iCs/>
          <w:lang w:eastAsia="zh-CN"/>
        </w:rPr>
        <w:t>风速年际贡献与逐场越线判据</w:t>
      </w:r>
    </w:p>
    <w:p w14:paraId="11579A6E" w14:textId="7986F34D" w:rsidR="00613D57" w:rsidRPr="00A808D3" w:rsidRDefault="000D7978">
      <w:pPr>
        <w:rPr>
          <w:iCs/>
          <w:lang w:eastAsia="zh-CN"/>
        </w:rPr>
      </w:pPr>
      <w:r w:rsidRPr="00A808D3">
        <w:rPr>
          <w:iCs/>
          <w:sz w:val="22"/>
          <w:lang w:eastAsia="zh-CN"/>
        </w:rPr>
        <w:t>为把朝向增益与各场自身的自然风速波动比较，我们为同一风场</w:t>
      </w:r>
      <w:r w:rsidRPr="00A808D3">
        <w:rPr>
          <w:iCs/>
          <w:sz w:val="22"/>
          <w:lang w:eastAsia="zh-CN"/>
        </w:rPr>
        <w:t>—</w:t>
      </w:r>
      <w:r w:rsidRPr="00A808D3">
        <w:rPr>
          <w:iCs/>
          <w:sz w:val="22"/>
          <w:lang w:eastAsia="zh-CN"/>
        </w:rPr>
        <w:t>年构造四个反事实情景：实际风速与实际风向、实际风速与历史风向、历史风速与实际风向、历史风速与历史风向。风速替换使用分区经验累积分布的分位数映射，风向替换按历史扇区频率抽样，四情景使用同一尾流模型、机型与损耗设置。年发电量相对历史基线的偏差通过二因素</w:t>
      </w:r>
      <w:r w:rsidRPr="00A808D3">
        <w:rPr>
          <w:iCs/>
          <w:sz w:val="22"/>
          <w:lang w:eastAsia="zh-CN"/>
        </w:rPr>
        <w:t xml:space="preserve"> Shapley </w:t>
      </w:r>
      <w:proofErr w:type="gramStart"/>
      <w:r w:rsidRPr="00A808D3">
        <w:rPr>
          <w:iCs/>
          <w:sz w:val="22"/>
          <w:lang w:eastAsia="zh-CN"/>
        </w:rPr>
        <w:t>分解分配给风速贡献</w:t>
      </w:r>
      <w:r w:rsidRPr="00A808D3">
        <w:rPr>
          <w:iCs/>
          <w:sz w:val="22"/>
          <w:lang w:eastAsia="zh-CN"/>
        </w:rPr>
        <w:t xml:space="preserve">  </w:t>
      </w:r>
      <w:r w:rsidRPr="00A808D3">
        <w:rPr>
          <w:iCs/>
          <w:sz w:val="22"/>
          <w:lang w:eastAsia="zh-CN"/>
        </w:rPr>
        <w:t>与风向贡献</w:t>
      </w:r>
      <w:proofErr w:type="gramEnd"/>
      <w:r w:rsidRPr="00A808D3">
        <w:rPr>
          <w:iCs/>
          <w:sz w:val="22"/>
          <w:lang w:eastAsia="zh-CN"/>
        </w:rPr>
        <w:t>（补充信息图</w:t>
      </w:r>
      <w:r w:rsidRPr="00A808D3">
        <w:rPr>
          <w:iCs/>
          <w:sz w:val="22"/>
          <w:lang w:eastAsia="zh-CN"/>
        </w:rPr>
        <w:t xml:space="preserve"> S3a</w:t>
      </w:r>
      <w:r w:rsidRPr="00A808D3">
        <w:rPr>
          <w:iCs/>
          <w:sz w:val="22"/>
          <w:lang w:eastAsia="zh-CN"/>
        </w:rPr>
        <w:t>）。</w:t>
      </w:r>
      <m:oMath>
        <m:sSub>
          <m:sSubPr>
            <m:ctrlPr>
              <w:rPr>
                <w:rFonts w:ascii="Cambria Math" w:hAnsi="Cambria Math"/>
                <w:iCs/>
              </w:rPr>
            </m:ctrlPr>
          </m:sSubPr>
          <m:e>
            <m:r>
              <m:rPr>
                <m:sty m:val="p"/>
              </m:rPr>
              <w:rPr>
                <w:rFonts w:ascii="Cambria Math" w:hAnsi="Cambria Math"/>
                <w:lang w:eastAsia="zh-CN"/>
              </w:rPr>
              <m:t>M</m:t>
            </m:r>
          </m:e>
          <m:sub>
            <m:r>
              <m:rPr>
                <m:sty m:val="p"/>
              </m:rPr>
              <w:rPr>
                <w:rFonts w:ascii="Cambria Math" w:hAnsi="Cambria Math"/>
                <w:lang w:eastAsia="zh-CN"/>
              </w:rPr>
              <m:t>S,iy</m:t>
            </m:r>
          </m:sub>
        </m:sSub>
      </m:oMath>
    </w:p>
    <w:p w14:paraId="68CC2FAC" w14:textId="0EDA1F48" w:rsidR="00613D57" w:rsidRPr="00A808D3" w:rsidRDefault="000D7978">
      <w:pPr>
        <w:rPr>
          <w:iCs/>
          <w:lang w:eastAsia="zh-CN"/>
        </w:rPr>
      </w:pPr>
      <w:r w:rsidRPr="00A808D3">
        <w:rPr>
          <w:iCs/>
          <w:sz w:val="22"/>
          <w:lang w:eastAsia="zh-CN"/>
        </w:rPr>
        <w:t>当地风速年际波动定义为各场</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M</m:t>
            </m:r>
          </m:e>
          <m:sub>
            <m:r>
              <m:rPr>
                <m:sty m:val="p"/>
              </m:rPr>
              <w:rPr>
                <w:rFonts w:ascii="Cambria Math" w:hAnsi="Cambria Math"/>
                <w:lang w:eastAsia="zh-CN"/>
              </w:rPr>
              <m:t>S,iy</m:t>
            </m:r>
          </m:sub>
        </m:sSub>
      </m:oMath>
      <w:r w:rsidRPr="00A808D3">
        <w:rPr>
          <w:iCs/>
          <w:sz w:val="22"/>
          <w:lang w:eastAsia="zh-CN"/>
        </w:rPr>
        <w:t xml:space="preserve"> </w:t>
      </w:r>
      <w:r w:rsidRPr="00A808D3">
        <w:rPr>
          <w:iCs/>
          <w:sz w:val="22"/>
          <w:lang w:eastAsia="zh-CN"/>
        </w:rPr>
        <w:t>的样本标准差，见式</w:t>
      </w:r>
      <w:r w:rsidRPr="00A808D3">
        <w:rPr>
          <w:iCs/>
          <w:sz w:val="22"/>
          <w:lang w:eastAsia="zh-CN"/>
        </w:rPr>
        <w:t xml:space="preserve"> </w:t>
      </w:r>
      <w:proofErr w:type="gramStart"/>
      <w:r w:rsidRPr="00A808D3">
        <w:rPr>
          <w:iCs/>
          <w:sz w:val="22"/>
          <w:lang w:eastAsia="zh-CN"/>
        </w:rPr>
        <w:t>(2)</w:t>
      </w:r>
      <w:proofErr w:type="gramEnd"/>
      <w:r w:rsidRPr="00A808D3">
        <w:rPr>
          <w:iCs/>
          <w:sz w:val="22"/>
          <w:lang w:eastAsia="zh-CN"/>
        </w:rPr>
        <w:t>：</w:t>
      </w:r>
    </w:p>
    <w:p w14:paraId="7C4DBEC9" w14:textId="05062F93" w:rsidR="00613D57" w:rsidRPr="00A808D3" w:rsidRDefault="00FF0F67">
      <w:pPr>
        <w:keepLines/>
        <w:tabs>
          <w:tab w:val="center" w:pos="4392"/>
          <w:tab w:val="right" w:pos="9072"/>
        </w:tabs>
        <w:spacing w:before="60" w:after="160"/>
        <w:rPr>
          <w:iCs/>
        </w:rPr>
      </w:pPr>
      <w:r w:rsidRPr="00A808D3">
        <w:rPr>
          <w:iCs/>
          <w:lang w:eastAsia="zh-CN"/>
        </w:rPr>
        <w:tab/>
      </w:r>
      <m:oMath>
        <m:r>
          <m:rPr>
            <m:sty m:val="p"/>
          </m:rPr>
          <w:rPr>
            <w:rFonts w:ascii="Cambria Math" w:hAnsi="Cambria Math"/>
          </w:rPr>
          <m:t>σS,ᵢ=SDᵧ</m:t>
        </m:r>
        <m:d>
          <m:dPr>
            <m:ctrlPr>
              <w:rPr>
                <w:rFonts w:ascii="Cambria Math" w:hAnsi="Cambria Math"/>
                <w:iCs/>
              </w:rPr>
            </m:ctrlPr>
          </m:dPr>
          <m:e>
            <m:r>
              <m:rPr>
                <m:sty m:val="p"/>
              </m:rPr>
              <w:rPr>
                <w:rFonts w:ascii="Cambria Math" w:hAnsi="Cambria Math"/>
              </w:rPr>
              <m:t>MS,ᵢᵧ</m:t>
            </m:r>
          </m:e>
        </m:d>
        <m:r>
          <m:rPr>
            <m:sty m:val="p"/>
          </m:rPr>
          <w:rPr>
            <w:rFonts w:ascii="Cambria Math" w:hAnsi="Cambria Math"/>
          </w:rPr>
          <m:t>.</m:t>
        </m:r>
      </m:oMath>
      <w:r w:rsidRPr="00A808D3">
        <w:rPr>
          <w:iCs/>
        </w:rPr>
        <w:tab/>
        <w:t>(2)</w:t>
      </w:r>
    </w:p>
    <w:p w14:paraId="4D9D1509" w14:textId="02493BF6" w:rsidR="00613D57" w:rsidRPr="00A808D3" w:rsidRDefault="000D7978">
      <w:pPr>
        <w:rPr>
          <w:iCs/>
          <w:lang w:eastAsia="zh-CN"/>
        </w:rPr>
      </w:pPr>
      <w:r w:rsidRPr="00A808D3">
        <w:rPr>
          <w:iCs/>
          <w:sz w:val="22"/>
          <w:lang w:eastAsia="zh-CN"/>
        </w:rPr>
        <w:t>主判据为</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i</m:t>
            </m:r>
          </m:sub>
        </m:sSub>
      </m:oMath>
      <w:r w:rsidRPr="00A808D3">
        <w:rPr>
          <w:iCs/>
          <w:sz w:val="22"/>
          <w:lang w:eastAsia="zh-CN"/>
        </w:rPr>
        <w:t xml:space="preserve"> = </w:t>
      </w:r>
      <m:oMath>
        <m:sSub>
          <m:sSubPr>
            <m:ctrlPr>
              <w:rPr>
                <w:rFonts w:ascii="Cambria Math" w:hAnsi="Cambria Math"/>
                <w:iCs/>
              </w:rPr>
            </m:ctrlPr>
          </m:sSubPr>
          <m:e>
            <m:r>
              <m:rPr>
                <m:sty m:val="p"/>
              </m:rPr>
              <w:rPr>
                <w:rFonts w:ascii="Cambria Math" w:hAnsi="Cambria Math"/>
                <w:lang w:eastAsia="zh-CN"/>
              </w:rPr>
              <m:t>G</m:t>
            </m:r>
          </m:e>
          <m:sub>
            <m:r>
              <m:rPr>
                <m:sty m:val="p"/>
              </m:rPr>
              <w:rPr>
                <w:rFonts w:ascii="Cambria Math" w:hAnsi="Cambria Math"/>
                <w:lang w:eastAsia="zh-CN"/>
              </w:rPr>
              <m:t>i</m:t>
            </m:r>
          </m:sub>
        </m:sSub>
      </m:oMath>
      <w:r w:rsidRPr="00A808D3">
        <w:rPr>
          <w:iCs/>
          <w:sz w:val="22"/>
          <w:lang w:eastAsia="zh-CN"/>
        </w:rPr>
        <w:t xml:space="preserve"> / </w:t>
      </w:r>
      <m:oMath>
        <m:sSub>
          <m:sSubPr>
            <m:ctrlPr>
              <w:rPr>
                <w:rFonts w:ascii="Cambria Math" w:hAnsi="Cambria Math"/>
                <w:iCs/>
              </w:rPr>
            </m:ctrlPr>
          </m:sSubPr>
          <m:e>
            <m:r>
              <m:rPr>
                <m:sty m:val="p"/>
              </m:rPr>
              <w:rPr>
                <w:rFonts w:ascii="Cambria Math" w:hAnsi="Cambria Math"/>
                <w:lang w:eastAsia="zh-CN"/>
              </w:rPr>
              <m:t>σ</m:t>
            </m:r>
          </m:e>
          <m:sub>
            <m:r>
              <m:rPr>
                <m:sty m:val="p"/>
              </m:rPr>
              <w:rPr>
                <w:rFonts w:ascii="Cambria Math" w:hAnsi="Cambria Math"/>
                <w:lang w:eastAsia="zh-CN"/>
              </w:rPr>
              <m:t>S,i</m:t>
            </m:r>
          </m:sub>
        </m:sSub>
      </m:oMath>
      <w:r w:rsidRPr="00A808D3">
        <w:rPr>
          <w:iCs/>
          <w:sz w:val="22"/>
          <w:lang w:eastAsia="zh-CN"/>
        </w:rPr>
        <w:t xml:space="preserve"> &gt; 1</w:t>
      </w:r>
      <w:r w:rsidRPr="00A808D3">
        <w:rPr>
          <w:iCs/>
          <w:sz w:val="22"/>
          <w:lang w:eastAsia="zh-CN"/>
        </w:rPr>
        <w:t>，并要求至少</w:t>
      </w:r>
      <w:r w:rsidRPr="00A808D3">
        <w:rPr>
          <w:iCs/>
          <w:sz w:val="22"/>
          <w:lang w:eastAsia="zh-CN"/>
        </w:rPr>
        <w:t xml:space="preserve"> 5 </w:t>
      </w:r>
      <w:r w:rsidRPr="00A808D3">
        <w:rPr>
          <w:iCs/>
          <w:sz w:val="22"/>
          <w:lang w:eastAsia="zh-CN"/>
        </w:rPr>
        <w:t>个完整年份；至少</w:t>
      </w:r>
      <w:r w:rsidRPr="00A808D3">
        <w:rPr>
          <w:iCs/>
          <w:sz w:val="22"/>
          <w:lang w:eastAsia="zh-CN"/>
        </w:rPr>
        <w:t xml:space="preserve"> 3 </w:t>
      </w:r>
      <w:r w:rsidRPr="00A808D3">
        <w:rPr>
          <w:iCs/>
          <w:sz w:val="22"/>
          <w:lang w:eastAsia="zh-CN"/>
        </w:rPr>
        <w:t>年样本作为记录长度敏感性检验。这里使用标准差而不是相对固定历史基线的均方根，因为后者包含与年份无关的持续偏移，不是纯粹的年际变化。逐场越线判定见补充信息表</w:t>
      </w:r>
      <w:r w:rsidRPr="00A808D3">
        <w:rPr>
          <w:iCs/>
          <w:sz w:val="22"/>
          <w:lang w:eastAsia="zh-CN"/>
        </w:rPr>
        <w:t xml:space="preserve"> S1</w:t>
      </w:r>
      <w:r w:rsidRPr="00A808D3">
        <w:rPr>
          <w:iCs/>
          <w:sz w:val="22"/>
          <w:lang w:eastAsia="zh-CN"/>
        </w:rPr>
        <w:t>。</w:t>
      </w:r>
    </w:p>
    <w:p w14:paraId="1E3CE964" w14:textId="77777777" w:rsidR="00613D57" w:rsidRPr="00A808D3" w:rsidRDefault="000D7978">
      <w:pPr>
        <w:pStyle w:val="21"/>
        <w:rPr>
          <w:iCs/>
          <w:lang w:eastAsia="zh-CN"/>
        </w:rPr>
      </w:pPr>
      <w:r w:rsidRPr="00A808D3">
        <w:rPr>
          <w:rFonts w:ascii="Arial" w:eastAsia="黑体" w:hAnsi="Arial" w:cs="Times New Roman"/>
          <w:iCs/>
          <w:lang w:eastAsia="zh-CN"/>
        </w:rPr>
        <w:t xml:space="preserve">5.4 </w:t>
      </w:r>
      <w:r w:rsidRPr="00A808D3">
        <w:rPr>
          <w:rFonts w:ascii="Arial" w:eastAsia="黑体" w:hAnsi="Arial" w:cs="Times New Roman"/>
          <w:iCs/>
          <w:lang w:eastAsia="zh-CN"/>
        </w:rPr>
        <w:t>场址条件化方向响应与尾流端元诊断</w:t>
      </w:r>
    </w:p>
    <w:p w14:paraId="21D2631E" w14:textId="63ACABDA" w:rsidR="00613D57" w:rsidRPr="00A808D3" w:rsidRDefault="000D7978">
      <w:pPr>
        <w:rPr>
          <w:iCs/>
          <w:lang w:eastAsia="zh-CN"/>
        </w:rPr>
      </w:pPr>
      <w:r w:rsidRPr="00A808D3">
        <w:rPr>
          <w:iCs/>
          <w:sz w:val="22"/>
          <w:lang w:eastAsia="zh-CN"/>
        </w:rPr>
        <w:t>对每个终期真实排布，使用</w:t>
      </w:r>
      <w:r w:rsidRPr="00A808D3">
        <w:rPr>
          <w:iCs/>
          <w:sz w:val="22"/>
          <w:lang w:eastAsia="zh-CN"/>
        </w:rPr>
        <w:t xml:space="preserve"> 1981 </w:t>
      </w:r>
      <w:r w:rsidRPr="00A808D3">
        <w:rPr>
          <w:iCs/>
          <w:sz w:val="22"/>
          <w:lang w:eastAsia="zh-CN"/>
        </w:rPr>
        <w:t>至</w:t>
      </w:r>
      <w:r w:rsidRPr="00A808D3">
        <w:rPr>
          <w:iCs/>
          <w:sz w:val="22"/>
          <w:lang w:eastAsia="zh-CN"/>
        </w:rPr>
        <w:t xml:space="preserve"> 2010 </w:t>
      </w:r>
      <w:r w:rsidRPr="00A808D3">
        <w:rPr>
          <w:iCs/>
          <w:sz w:val="22"/>
          <w:lang w:eastAsia="zh-CN"/>
        </w:rPr>
        <w:t>年逐日风速</w:t>
      </w:r>
      <w:r w:rsidRPr="00A808D3">
        <w:rPr>
          <w:iCs/>
          <w:sz w:val="22"/>
          <w:lang w:eastAsia="zh-CN"/>
        </w:rPr>
        <w:t>—</w:t>
      </w:r>
      <w:r w:rsidRPr="00A808D3">
        <w:rPr>
          <w:iCs/>
          <w:sz w:val="22"/>
          <w:lang w:eastAsia="zh-CN"/>
        </w:rPr>
        <w:t>风向联合分布，在</w:t>
      </w:r>
      <w:r w:rsidRPr="00A808D3">
        <w:rPr>
          <w:iCs/>
          <w:sz w:val="22"/>
          <w:lang w:eastAsia="zh-CN"/>
        </w:rPr>
        <w:t xml:space="preserve"> 0° </w:t>
      </w:r>
      <w:r w:rsidRPr="00A808D3">
        <w:rPr>
          <w:iCs/>
          <w:sz w:val="22"/>
          <w:lang w:eastAsia="zh-CN"/>
        </w:rPr>
        <w:t>至</w:t>
      </w:r>
      <w:r w:rsidRPr="00A808D3">
        <w:rPr>
          <w:iCs/>
          <w:sz w:val="22"/>
          <w:lang w:eastAsia="zh-CN"/>
        </w:rPr>
        <w:t xml:space="preserve"> 170° </w:t>
      </w:r>
      <w:r w:rsidRPr="00A808D3">
        <w:rPr>
          <w:iCs/>
          <w:sz w:val="22"/>
          <w:lang w:eastAsia="zh-CN"/>
        </w:rPr>
        <w:t>范围内按</w:t>
      </w:r>
      <w:r w:rsidRPr="00A808D3">
        <w:rPr>
          <w:iCs/>
          <w:sz w:val="22"/>
          <w:lang w:eastAsia="zh-CN"/>
        </w:rPr>
        <w:t xml:space="preserve"> 10° </w:t>
      </w:r>
      <w:r w:rsidRPr="00A808D3">
        <w:rPr>
          <w:iCs/>
          <w:sz w:val="22"/>
          <w:lang w:eastAsia="zh-CN"/>
        </w:rPr>
        <w:t>步长扫描刚性旋转响应，并调用统一参考机型的功率与推力曲线（全样本端元与</w:t>
      </w:r>
      <w:r w:rsidRPr="00A808D3">
        <w:rPr>
          <w:iCs/>
          <w:sz w:val="22"/>
          <w:lang w:eastAsia="zh-CN"/>
        </w:rPr>
        <w:t xml:space="preserve"> </w:t>
      </w:r>
      <w:r w:rsidRPr="00A808D3">
        <w:rPr>
          <w:iCs/>
          <w:sz w:val="22"/>
        </w:rPr>
        <w:t>Δ</w:t>
      </w:r>
      <w:r w:rsidRPr="00A808D3">
        <w:rPr>
          <w:iCs/>
          <w:sz w:val="22"/>
          <w:lang w:eastAsia="zh-CN"/>
        </w:rPr>
        <w:t xml:space="preserve">p90 </w:t>
      </w:r>
      <w:r w:rsidRPr="00A808D3">
        <w:rPr>
          <w:iCs/>
          <w:sz w:val="22"/>
          <w:lang w:eastAsia="zh-CN"/>
        </w:rPr>
        <w:t>见补充信息表</w:t>
      </w:r>
      <w:r w:rsidRPr="00A808D3">
        <w:rPr>
          <w:iCs/>
          <w:sz w:val="22"/>
          <w:lang w:eastAsia="zh-CN"/>
        </w:rPr>
        <w:t xml:space="preserve"> S2</w:t>
      </w:r>
      <w:r w:rsidRPr="00A808D3">
        <w:rPr>
          <w:iCs/>
          <w:sz w:val="22"/>
          <w:lang w:eastAsia="zh-CN"/>
        </w:rPr>
        <w:t>、</w:t>
      </w:r>
      <w:r w:rsidRPr="00A808D3">
        <w:rPr>
          <w:iCs/>
          <w:sz w:val="22"/>
          <w:lang w:eastAsia="zh-CN"/>
        </w:rPr>
        <w:t>S14</w:t>
      </w:r>
      <w:r w:rsidRPr="00A808D3">
        <w:rPr>
          <w:iCs/>
          <w:sz w:val="22"/>
          <w:lang w:eastAsia="zh-CN"/>
        </w:rPr>
        <w:t>）。场址条件化方向响应幅度</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定义为同一排布所有扫描相位中的最大气候加权年发电量相对旋转平均值的差，见式</w:t>
      </w:r>
      <w:r w:rsidRPr="00A808D3">
        <w:rPr>
          <w:iCs/>
          <w:sz w:val="22"/>
          <w:lang w:eastAsia="zh-CN"/>
        </w:rPr>
        <w:t xml:space="preserve"> </w:t>
      </w:r>
      <w:proofErr w:type="gramStart"/>
      <w:r w:rsidRPr="00A808D3">
        <w:rPr>
          <w:iCs/>
          <w:sz w:val="22"/>
          <w:lang w:eastAsia="zh-CN"/>
        </w:rPr>
        <w:t>(3)</w:t>
      </w:r>
      <w:proofErr w:type="gramEnd"/>
      <w:r w:rsidRPr="00A808D3">
        <w:rPr>
          <w:iCs/>
          <w:sz w:val="22"/>
          <w:lang w:eastAsia="zh-CN"/>
        </w:rPr>
        <w:t>：</w:t>
      </w:r>
    </w:p>
    <w:p w14:paraId="1F313BCF" w14:textId="68D45727" w:rsidR="00613D57" w:rsidRPr="00A808D3" w:rsidRDefault="00FF0F67">
      <w:pPr>
        <w:keepLines/>
        <w:tabs>
          <w:tab w:val="center" w:pos="4392"/>
          <w:tab w:val="right" w:pos="9072"/>
        </w:tabs>
        <w:spacing w:before="60" w:after="160"/>
      </w:pPr>
      <w:r w:rsidRPr="00A808D3">
        <w:rPr>
          <w:lang w:eastAsia="zh-CN"/>
        </w:rPr>
        <w:tab/>
      </w:r>
      <m:oMath>
        <m:r>
          <w:rPr>
            <w:rFonts w:ascii="Cambria Math" w:hAnsi="Cambria Math"/>
          </w:rPr>
          <m:t>Aᵢ=100×maxθĒᵢ</m:t>
        </m:r>
        <m:d>
          <m:dPr>
            <m:ctrlPr>
              <w:rPr>
                <w:rFonts w:ascii="Cambria Math" w:hAnsi="Cambria Math"/>
              </w:rPr>
            </m:ctrlPr>
          </m:dPr>
          <m:e>
            <m:r>
              <w:rPr>
                <w:rFonts w:ascii="Cambria Math" w:hAnsi="Cambria Math"/>
              </w:rPr>
              <m:t>θ</m:t>
            </m:r>
          </m:e>
        </m:d>
        <m:r>
          <w:rPr>
            <w:rFonts w:ascii="Cambria Math" w:hAnsi="Cambria Math"/>
          </w:rPr>
          <m:t>-</m:t>
        </m:r>
        <m:d>
          <m:dPr>
            <m:begChr m:val="⟨"/>
            <m:endChr m:val="⟩"/>
            <m:ctrlPr>
              <w:rPr>
                <w:rFonts w:ascii="Cambria Math" w:hAnsi="Cambria Math"/>
              </w:rPr>
            </m:ctrlPr>
          </m:dPr>
          <m:e>
            <m:r>
              <w:rPr>
                <w:rFonts w:ascii="Cambria Math" w:hAnsi="Cambria Math"/>
              </w:rPr>
              <m:t>Ēᵢ</m:t>
            </m:r>
            <m:d>
              <m:dPr>
                <m:ctrlPr>
                  <w:rPr>
                    <w:rFonts w:ascii="Cambria Math" w:hAnsi="Cambria Math"/>
                  </w:rPr>
                </m:ctrlPr>
              </m:dPr>
              <m:e>
                <m:r>
                  <w:rPr>
                    <w:rFonts w:ascii="Cambria Math" w:hAnsi="Cambria Math"/>
                  </w:rPr>
                  <m:t>θ</m:t>
                </m:r>
              </m:e>
            </m:d>
          </m:e>
        </m:d>
        <m:r>
          <w:rPr>
            <w:rFonts w:ascii="Cambria Math" w:hAnsi="Cambria Math"/>
          </w:rPr>
          <m:t>θ/</m:t>
        </m:r>
        <m:d>
          <m:dPr>
            <m:begChr m:val="⟨"/>
            <m:endChr m:val="⟩"/>
            <m:ctrlPr>
              <w:rPr>
                <w:rFonts w:ascii="Cambria Math" w:hAnsi="Cambria Math"/>
              </w:rPr>
            </m:ctrlPr>
          </m:dPr>
          <m:e>
            <m:r>
              <w:rPr>
                <w:rFonts w:ascii="Cambria Math" w:hAnsi="Cambria Math"/>
              </w:rPr>
              <m:t>Ēᵢ</m:t>
            </m:r>
            <m:d>
              <m:dPr>
                <m:ctrlPr>
                  <w:rPr>
                    <w:rFonts w:ascii="Cambria Math" w:hAnsi="Cambria Math"/>
                  </w:rPr>
                </m:ctrlPr>
              </m:dPr>
              <m:e>
                <m:r>
                  <w:rPr>
                    <w:rFonts w:ascii="Cambria Math" w:hAnsi="Cambria Math"/>
                  </w:rPr>
                  <m:t>θ</m:t>
                </m:r>
              </m:e>
            </m:d>
          </m:e>
        </m:d>
        <m:r>
          <w:rPr>
            <w:rFonts w:ascii="Cambria Math" w:hAnsi="Cambria Math"/>
          </w:rPr>
          <m:t>θ.</m:t>
        </m:r>
      </m:oMath>
      <w:r w:rsidRPr="00A808D3">
        <w:tab/>
        <w:t>(3)</w:t>
      </w:r>
    </w:p>
    <w:p w14:paraId="3ED039BC" w14:textId="0995F3D8" w:rsidR="00613D57" w:rsidRPr="00A808D3" w:rsidRDefault="00000000">
      <w:pPr>
        <w:rPr>
          <w:iCs/>
          <w:lang w:eastAsia="zh-CN"/>
        </w:rPr>
      </w:pP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000D7978" w:rsidRPr="00A808D3">
        <w:rPr>
          <w:iCs/>
          <w:sz w:val="22"/>
          <w:lang w:eastAsia="zh-CN"/>
        </w:rPr>
        <w:t xml:space="preserve"> </w:t>
      </w:r>
      <w:r w:rsidR="000D7978" w:rsidRPr="00A808D3">
        <w:rPr>
          <w:iCs/>
          <w:sz w:val="22"/>
          <w:lang w:eastAsia="zh-CN"/>
        </w:rPr>
        <w:t>与</w:t>
      </w:r>
      <w:r w:rsidR="000D7978"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G</m:t>
            </m:r>
          </m:e>
          <m:sub>
            <m:r>
              <m:rPr>
                <m:sty m:val="p"/>
              </m:rPr>
              <w:rPr>
                <w:rFonts w:ascii="Cambria Math" w:hAnsi="Cambria Math"/>
                <w:lang w:eastAsia="zh-CN"/>
              </w:rPr>
              <m:t>i</m:t>
            </m:r>
          </m:sub>
        </m:sSub>
      </m:oMath>
      <w:r w:rsidR="000D7978" w:rsidRPr="00A808D3">
        <w:rPr>
          <w:iCs/>
          <w:sz w:val="22"/>
          <w:lang w:eastAsia="zh-CN"/>
        </w:rPr>
        <w:t xml:space="preserve"> </w:t>
      </w:r>
      <w:r w:rsidR="000D7978" w:rsidRPr="00A808D3">
        <w:rPr>
          <w:iCs/>
          <w:sz w:val="22"/>
          <w:lang w:eastAsia="zh-CN"/>
        </w:rPr>
        <w:t>是两个不同的量。前者是在历史气候与统一机型下形成的终期排布响应幅度，后者是历史期选定角度在</w:t>
      </w:r>
      <w:r w:rsidR="000D7978" w:rsidRPr="00A808D3">
        <w:rPr>
          <w:iCs/>
          <w:sz w:val="22"/>
          <w:lang w:eastAsia="zh-CN"/>
        </w:rPr>
        <w:t xml:space="preserve"> 2014 </w:t>
      </w:r>
      <w:r w:rsidR="000D7978" w:rsidRPr="00A808D3">
        <w:rPr>
          <w:iCs/>
          <w:sz w:val="22"/>
          <w:lang w:eastAsia="zh-CN"/>
        </w:rPr>
        <w:t>至</w:t>
      </w:r>
      <w:r w:rsidR="000D7978" w:rsidRPr="00A808D3">
        <w:rPr>
          <w:iCs/>
          <w:sz w:val="22"/>
          <w:lang w:eastAsia="zh-CN"/>
        </w:rPr>
        <w:t xml:space="preserve"> 2024 </w:t>
      </w:r>
      <w:r w:rsidR="000D7978" w:rsidRPr="00A808D3">
        <w:rPr>
          <w:iCs/>
          <w:sz w:val="22"/>
          <w:lang w:eastAsia="zh-CN"/>
        </w:rPr>
        <w:t>年独立天气中的样本外增益。</w:t>
      </w:r>
      <w:r w:rsidR="000D7978" w:rsidRPr="00A808D3">
        <w:rPr>
          <w:iCs/>
          <w:sz w:val="22"/>
          <w:lang w:eastAsia="zh-CN"/>
        </w:rPr>
        <w:t xml:space="preserve">2.2 </w:t>
      </w:r>
      <w:r w:rsidR="000D7978" w:rsidRPr="00A808D3">
        <w:rPr>
          <w:iCs/>
          <w:sz w:val="22"/>
          <w:lang w:eastAsia="zh-CN"/>
        </w:rPr>
        <w:t>节中用于划分高、低响应组的</w:t>
      </w:r>
      <w:r w:rsidR="000D7978" w:rsidRPr="00A808D3">
        <w:rPr>
          <w:iCs/>
          <w:sz w:val="22"/>
          <w:lang w:eastAsia="zh-CN"/>
        </w:rPr>
        <w:t xml:space="preserve"> </w:t>
      </w:r>
      <m:oMath>
        <m:r>
          <m:rPr>
            <m:sty m:val="p"/>
          </m:rPr>
          <w:rPr>
            <w:rFonts w:ascii="Cambria Math" w:hAnsi="Cambria Math"/>
            <w:lang w:eastAsia="zh-CN"/>
          </w:rPr>
          <m:t>A</m:t>
        </m:r>
      </m:oMath>
      <w:r w:rsidR="000D7978" w:rsidRPr="00A808D3">
        <w:rPr>
          <w:iCs/>
          <w:sz w:val="22"/>
          <w:lang w:eastAsia="zh-CN"/>
        </w:rPr>
        <w:t xml:space="preserve"> &gt; 5.2% </w:t>
      </w:r>
      <w:r w:rsidR="000D7978" w:rsidRPr="00A808D3">
        <w:rPr>
          <w:iCs/>
          <w:sz w:val="22"/>
          <w:lang w:eastAsia="zh-CN"/>
        </w:rPr>
        <w:t>阈值取自全样本</w:t>
      </w:r>
      <w:r w:rsidR="000D7978" w:rsidRPr="00A808D3">
        <w:rPr>
          <w:iCs/>
          <w:sz w:val="22"/>
          <w:lang w:eastAsia="zh-CN"/>
        </w:rPr>
        <w:t xml:space="preserve"> </w:t>
      </w:r>
      <m:oMath>
        <m:r>
          <m:rPr>
            <m:sty m:val="p"/>
          </m:rPr>
          <w:rPr>
            <w:rFonts w:ascii="Cambria Math" w:hAnsi="Cambria Math"/>
            <w:lang w:eastAsia="zh-CN"/>
          </w:rPr>
          <m:t>A</m:t>
        </m:r>
      </m:oMath>
      <w:r w:rsidR="000D7978" w:rsidRPr="00A808D3">
        <w:rPr>
          <w:iCs/>
          <w:sz w:val="22"/>
          <w:lang w:eastAsia="zh-CN"/>
        </w:rPr>
        <w:t xml:space="preserve"> </w:t>
      </w:r>
      <w:r w:rsidR="000D7978" w:rsidRPr="00A808D3">
        <w:rPr>
          <w:iCs/>
          <w:sz w:val="22"/>
          <w:lang w:eastAsia="zh-CN"/>
        </w:rPr>
        <w:t>分布的上尾位置，仅用于描述跨场长尾并构造对照分组；它不是</w:t>
      </w:r>
      <w:r w:rsidR="000D7978" w:rsidRPr="00A808D3">
        <w:rPr>
          <w:iCs/>
          <w:sz w:val="22"/>
          <w:lang w:eastAsia="zh-CN"/>
        </w:rPr>
        <w:t xml:space="preserve"> 5.3 </w:t>
      </w:r>
      <w:r w:rsidR="000D7978" w:rsidRPr="00A808D3">
        <w:rPr>
          <w:iCs/>
          <w:sz w:val="22"/>
          <w:lang w:eastAsia="zh-CN"/>
        </w:rPr>
        <w:t>节的越线判据门槛，两者的定义、口径与用途均不相同。尾流端元在</w:t>
      </w:r>
      <w:r w:rsidR="000D7978" w:rsidRPr="00A808D3">
        <w:rPr>
          <w:iCs/>
          <w:sz w:val="22"/>
          <w:lang w:eastAsia="zh-CN"/>
        </w:rPr>
        <w:t xml:space="preserve"> 9 m s⁻¹ </w:t>
      </w:r>
      <w:r w:rsidR="000D7978" w:rsidRPr="00A808D3">
        <w:rPr>
          <w:iCs/>
          <w:sz w:val="22"/>
          <w:lang w:eastAsia="zh-CN"/>
        </w:rPr>
        <w:t>下记录逐台平均与第</w:t>
      </w:r>
      <w:r w:rsidR="000D7978" w:rsidRPr="00A808D3">
        <w:rPr>
          <w:iCs/>
          <w:sz w:val="22"/>
          <w:lang w:eastAsia="zh-CN"/>
        </w:rPr>
        <w:t xml:space="preserve"> 90 </w:t>
      </w:r>
      <w:r w:rsidR="000D7978" w:rsidRPr="00A808D3">
        <w:rPr>
          <w:iCs/>
          <w:sz w:val="22"/>
          <w:lang w:eastAsia="zh-CN"/>
        </w:rPr>
        <w:t>百分位速度亏损、有效上游尾流数、多重尾流比例与场级效率。本文将高损失与低损失方向之间第</w:t>
      </w:r>
      <w:r w:rsidR="000D7978" w:rsidRPr="00A808D3">
        <w:rPr>
          <w:iCs/>
          <w:sz w:val="22"/>
          <w:lang w:eastAsia="zh-CN"/>
        </w:rPr>
        <w:t xml:space="preserve"> 90 </w:t>
      </w:r>
      <w:r w:rsidR="000D7978" w:rsidRPr="00A808D3">
        <w:rPr>
          <w:iCs/>
          <w:sz w:val="22"/>
          <w:lang w:eastAsia="zh-CN"/>
        </w:rPr>
        <w:t>百分位速度亏损的差作为尾流上尾重排指标，并用</w:t>
      </w:r>
      <w:r w:rsidR="000D7978" w:rsidRPr="00A808D3">
        <w:rPr>
          <w:iCs/>
          <w:sz w:val="22"/>
          <w:lang w:eastAsia="zh-CN"/>
        </w:rPr>
        <w:t xml:space="preserve"> Spearman </w:t>
      </w:r>
      <w:r w:rsidR="000D7978" w:rsidRPr="00A808D3">
        <w:rPr>
          <w:iCs/>
          <w:sz w:val="22"/>
          <w:lang w:eastAsia="zh-CN"/>
        </w:rPr>
        <w:t>相关检验其与</w:t>
      </w:r>
      <w:r w:rsidR="000D7978"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000D7978" w:rsidRPr="00A808D3">
        <w:rPr>
          <w:iCs/>
          <w:sz w:val="22"/>
          <w:lang w:eastAsia="zh-CN"/>
        </w:rPr>
        <w:t xml:space="preserve"> </w:t>
      </w:r>
      <w:r w:rsidR="000D7978" w:rsidRPr="00A808D3">
        <w:rPr>
          <w:iCs/>
          <w:sz w:val="22"/>
          <w:lang w:eastAsia="zh-CN"/>
        </w:rPr>
        <w:t>的单调关系；由于该指标与</w:t>
      </w:r>
      <w:r w:rsidR="000D7978"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000D7978" w:rsidRPr="00A808D3">
        <w:rPr>
          <w:iCs/>
          <w:sz w:val="22"/>
          <w:lang w:eastAsia="zh-CN"/>
        </w:rPr>
        <w:t xml:space="preserve"> </w:t>
      </w:r>
      <w:r w:rsidR="000D7978" w:rsidRPr="00A808D3">
        <w:rPr>
          <w:iCs/>
          <w:sz w:val="22"/>
          <w:lang w:eastAsia="zh-CN"/>
        </w:rPr>
        <w:t>同出于方向扫描，它只作为尾流层与发电层的一致性检验，不作为独立成因。</w:t>
      </w:r>
    </w:p>
    <w:p w14:paraId="5543AA5A" w14:textId="2CA64D68" w:rsidR="007F1974" w:rsidRPr="00A808D3" w:rsidRDefault="00000000">
      <w:pPr>
        <w:rPr>
          <w:iCs/>
          <w:lang w:eastAsia="zh-CN"/>
        </w:rPr>
      </w:pPr>
      <w:r w:rsidRPr="00A808D3">
        <w:rPr>
          <w:iCs/>
          <w:sz w:val="22"/>
          <w:lang w:eastAsia="zh-CN"/>
        </w:rPr>
        <w:t>为把风况组织的作用由相关关系推进为构造性证据，我们对同一批排布逐层替换风向气候，构造四级受控情景：保留风速与风向的联合分布，即</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的基准口径；将风速与风向解耦而各自保留边际分布；在解耦基础上进一步统一风速边际；以及把风向替换为均匀分布，作为负对照。四种情景使用同一尾流模型、统一参考机型与电气损耗设置，</w:t>
      </w:r>
      <w:proofErr w:type="gramStart"/>
      <w:r w:rsidRPr="00A808D3">
        <w:rPr>
          <w:iCs/>
          <w:sz w:val="22"/>
          <w:lang w:eastAsia="zh-CN"/>
        </w:rPr>
        <w:t>逐场重算</w:t>
      </w:r>
      <w:r w:rsidRPr="00A808D3">
        <w:rPr>
          <w:iCs/>
          <w:sz w:val="22"/>
          <w:lang w:eastAsia="zh-CN"/>
        </w:rPr>
        <w:t xml:space="preserve">  </w:t>
      </w:r>
      <w:r w:rsidRPr="00A808D3">
        <w:rPr>
          <w:iCs/>
          <w:sz w:val="22"/>
          <w:lang w:eastAsia="zh-CN"/>
        </w:rPr>
        <w:t>后按场址与排布方案求平均报告</w:t>
      </w:r>
      <w:proofErr w:type="gramEnd"/>
      <w:r w:rsidRPr="00A808D3">
        <w:rPr>
          <w:iCs/>
          <w:sz w:val="22"/>
          <w:lang w:eastAsia="zh-CN"/>
        </w:rPr>
        <w:t>（结果见补充信息表</w:t>
      </w:r>
      <w:r w:rsidRPr="00A808D3">
        <w:rPr>
          <w:iCs/>
          <w:sz w:val="22"/>
          <w:lang w:eastAsia="zh-CN"/>
        </w:rPr>
        <w:t xml:space="preserve"> S4</w:t>
      </w:r>
      <w:r w:rsidRPr="00A808D3">
        <w:rPr>
          <w:iCs/>
          <w:sz w:val="22"/>
          <w:lang w:eastAsia="zh-CN"/>
        </w:rPr>
        <w:t>）。</w:t>
      </w:r>
      <m:oMath>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p>
    <w:p w14:paraId="1FEB1C5C" w14:textId="77777777" w:rsidR="007F1974" w:rsidRPr="00A808D3" w:rsidRDefault="00000000">
      <w:pPr>
        <w:rPr>
          <w:iCs/>
          <w:lang w:eastAsia="zh-CN"/>
        </w:rPr>
      </w:pPr>
      <w:r w:rsidRPr="00A808D3">
        <w:rPr>
          <w:iCs/>
          <w:lang w:eastAsia="zh-CN"/>
        </w:rPr>
        <w:t>正文提到的</w:t>
      </w:r>
      <w:r w:rsidRPr="00A808D3">
        <w:rPr>
          <w:iCs/>
          <w:lang w:eastAsia="zh-CN"/>
        </w:rPr>
        <w:t xml:space="preserve"> 4 </w:t>
      </w:r>
      <w:r w:rsidRPr="00A808D3">
        <w:rPr>
          <w:iCs/>
          <w:lang w:eastAsia="zh-CN"/>
        </w:rPr>
        <w:t>倍转子直径不是预先设定的间距门槛，而是高、低响应在有效最近邻间距轴上呈现分界的位置；报告该数值意在描述分界所在，不构成筛选规则。</w:t>
      </w:r>
    </w:p>
    <w:p w14:paraId="19ABAAD9" w14:textId="77777777" w:rsidR="00613D57" w:rsidRPr="00A808D3" w:rsidRDefault="000D7978">
      <w:pPr>
        <w:pStyle w:val="21"/>
        <w:rPr>
          <w:iCs/>
          <w:lang w:eastAsia="zh-CN"/>
        </w:rPr>
      </w:pPr>
      <w:r w:rsidRPr="00A808D3">
        <w:rPr>
          <w:rFonts w:ascii="Arial" w:eastAsia="黑体" w:hAnsi="Arial" w:cs="Times New Roman"/>
          <w:iCs/>
          <w:lang w:eastAsia="zh-CN"/>
        </w:rPr>
        <w:t xml:space="preserve">5.5 </w:t>
      </w:r>
      <w:r w:rsidRPr="00A808D3">
        <w:rPr>
          <w:rFonts w:ascii="Arial" w:eastAsia="黑体" w:hAnsi="Arial" w:cs="Times New Roman"/>
          <w:iCs/>
          <w:lang w:eastAsia="zh-CN"/>
        </w:rPr>
        <w:t>排布形状与风况的联合解释模型</w:t>
      </w:r>
    </w:p>
    <w:p w14:paraId="69C60DDD" w14:textId="77777777" w:rsidR="00613D57" w:rsidRPr="00A808D3" w:rsidRDefault="000D7978">
      <w:pPr>
        <w:rPr>
          <w:iCs/>
          <w:lang w:eastAsia="zh-CN"/>
        </w:rPr>
      </w:pPr>
      <w:r w:rsidRPr="00A808D3">
        <w:rPr>
          <w:iCs/>
          <w:lang w:eastAsia="zh-CN"/>
        </w:rPr>
        <w:t>响应曲线深度的条件性解释使用方向扫描之前即可获得的量，以避免用同一次扫描的中间结果解释自身。形状变量由各场终期机位在逐场局部投影坐标中计算：机组最近邻间距为各机组到最近邻距离的样本均值除以统一参考转子直径；主轴角、主轴有序度与长宽比由主成分分析获得；排布形态分为带状、簇状、多簇、规则方阵与疏排（</w:t>
      </w:r>
      <w:r w:rsidRPr="00A808D3">
        <w:rPr>
          <w:iCs/>
          <w:lang w:eastAsia="zh-CN"/>
        </w:rPr>
        <w:t xml:space="preserve">171 </w:t>
      </w:r>
      <w:r w:rsidRPr="00A808D3">
        <w:rPr>
          <w:iCs/>
          <w:lang w:eastAsia="zh-CN"/>
        </w:rPr>
        <w:t>场分布见补充信息表</w:t>
      </w:r>
      <w:r w:rsidRPr="00A808D3">
        <w:rPr>
          <w:iCs/>
          <w:lang w:eastAsia="zh-CN"/>
        </w:rPr>
        <w:t xml:space="preserve"> S17</w:t>
      </w:r>
      <w:r w:rsidRPr="00A808D3">
        <w:rPr>
          <w:iCs/>
          <w:lang w:eastAsia="zh-CN"/>
        </w:rPr>
        <w:t>）。风况变量包括轮毂高度平均风速、风速标准差、低于额定风速时长份额与方向分散度。</w:t>
      </w:r>
    </w:p>
    <w:p w14:paraId="6E0EB89D" w14:textId="6269398F" w:rsidR="00613D57" w:rsidRPr="00A808D3" w:rsidRDefault="000D7978">
      <w:pPr>
        <w:rPr>
          <w:iCs/>
          <w:lang w:eastAsia="zh-CN"/>
        </w:rPr>
      </w:pPr>
      <w:r w:rsidRPr="00A808D3">
        <w:rPr>
          <w:iCs/>
          <w:sz w:val="22"/>
          <w:lang w:eastAsia="zh-CN"/>
        </w:rPr>
        <w:t>以</w:t>
      </w:r>
      <w:r w:rsidRPr="00A808D3">
        <w:rPr>
          <w:iCs/>
          <w:sz w:val="22"/>
          <w:lang w:eastAsia="zh-CN"/>
        </w:rPr>
        <w:t xml:space="preserve"> </w:t>
      </w:r>
      <m:oMath>
        <m:r>
          <m:rPr>
            <m:sty m:val="p"/>
          </m:rPr>
          <w:rPr>
            <w:rFonts w:ascii="Cambria Math" w:hAnsi="Cambria Math"/>
            <w:lang w:eastAsia="zh-CN"/>
          </w:rPr>
          <m:t>log </m:t>
        </m:r>
        <m:sSub>
          <m:sSubPr>
            <m:ctrlPr>
              <w:rPr>
                <w:rFonts w:ascii="Cambria Math" w:hAnsi="Cambria Math"/>
                <w:iCs/>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iCs/>
          <w:sz w:val="22"/>
          <w:lang w:eastAsia="zh-CN"/>
        </w:rPr>
        <w:t xml:space="preserve"> </w:t>
      </w:r>
      <w:r w:rsidRPr="00A808D3">
        <w:rPr>
          <w:iCs/>
          <w:sz w:val="22"/>
          <w:lang w:eastAsia="zh-CN"/>
        </w:rPr>
        <w:t>为因变量拟合普通最小二乘模型，并比较仅形状、仅风况与形状</w:t>
      </w:r>
      <w:r w:rsidRPr="00A808D3">
        <w:rPr>
          <w:iCs/>
          <w:sz w:val="22"/>
          <w:lang w:eastAsia="zh-CN"/>
        </w:rPr>
        <w:t>—</w:t>
      </w:r>
      <w:r w:rsidRPr="00A808D3">
        <w:rPr>
          <w:iCs/>
          <w:sz w:val="22"/>
          <w:lang w:eastAsia="zh-CN"/>
        </w:rPr>
        <w:t>风况联合模型。除样本内决定系数外，报告随机五折与国家整组留出结果（补充信息表</w:t>
      </w:r>
      <w:r w:rsidRPr="00A808D3">
        <w:rPr>
          <w:iCs/>
          <w:sz w:val="22"/>
          <w:lang w:eastAsia="zh-CN"/>
        </w:rPr>
        <w:t xml:space="preserve"> S16</w:t>
      </w:r>
      <w:r w:rsidRPr="00A808D3">
        <w:rPr>
          <w:iCs/>
          <w:sz w:val="22"/>
          <w:lang w:eastAsia="zh-CN"/>
        </w:rPr>
        <w:t>），用于检验关联是否完全依赖样本内拟合。变量系数、显著性与增量决定系数只解释条件性统计信息，不用于宣称几何与气候的独立因果贡献。</w:t>
      </w:r>
    </w:p>
    <w:p w14:paraId="45CD5D5D" w14:textId="77777777" w:rsidR="007F1974" w:rsidRPr="00A808D3" w:rsidRDefault="00000000">
      <w:pPr>
        <w:rPr>
          <w:iCs/>
          <w:lang w:eastAsia="zh-CN"/>
        </w:rPr>
      </w:pPr>
      <w:r w:rsidRPr="00A808D3">
        <w:rPr>
          <w:iCs/>
          <w:lang w:eastAsia="zh-CN"/>
        </w:rPr>
        <w:t>阵列刚性旋转的方向响应近似以</w:t>
      </w:r>
      <w:r w:rsidRPr="00A808D3">
        <w:rPr>
          <w:iCs/>
          <w:lang w:eastAsia="zh-CN"/>
        </w:rPr>
        <w:t xml:space="preserve"> 180° </w:t>
      </w:r>
      <w:r w:rsidRPr="00A808D3">
        <w:rPr>
          <w:iCs/>
          <w:lang w:eastAsia="zh-CN"/>
        </w:rPr>
        <w:t>为周期。同型机组在风向反转约</w:t>
      </w:r>
      <w:r w:rsidRPr="00A808D3">
        <w:rPr>
          <w:iCs/>
          <w:lang w:eastAsia="zh-CN"/>
        </w:rPr>
        <w:t xml:space="preserve"> 180° </w:t>
      </w:r>
      <w:r w:rsidRPr="00A808D3">
        <w:rPr>
          <w:iCs/>
          <w:lang w:eastAsia="zh-CN"/>
        </w:rPr>
        <w:t>时近似交换上下游位置，场级方向尾流函数因而近似满足式</w:t>
      </w:r>
      <w:r w:rsidRPr="00A808D3">
        <w:rPr>
          <w:iCs/>
          <w:lang w:eastAsia="zh-CN"/>
        </w:rPr>
        <w:t xml:space="preserve"> </w:t>
      </w:r>
      <w:proofErr w:type="gramStart"/>
      <w:r w:rsidRPr="00A808D3">
        <w:rPr>
          <w:iCs/>
          <w:lang w:eastAsia="zh-CN"/>
        </w:rPr>
        <w:t>(4)</w:t>
      </w:r>
      <w:proofErr w:type="gramEnd"/>
      <w:r w:rsidRPr="00A808D3">
        <w:rPr>
          <w:iCs/>
          <w:lang w:eastAsia="zh-CN"/>
        </w:rPr>
        <w:t>：</w:t>
      </w:r>
    </w:p>
    <w:p w14:paraId="72839C36" w14:textId="7F69D33E" w:rsidR="007F1974" w:rsidRPr="00A808D3" w:rsidRDefault="00000000">
      <w:pPr>
        <w:tabs>
          <w:tab w:val="center" w:pos="4392"/>
          <w:tab w:val="right" w:pos="9072"/>
        </w:tabs>
        <w:rPr>
          <w:iCs/>
        </w:rPr>
      </w:pPr>
      <w:r w:rsidRPr="00A808D3">
        <w:rPr>
          <w:iCs/>
          <w:lang w:eastAsia="zh-CN"/>
        </w:rPr>
        <w:tab/>
      </w:r>
      <m:oMath>
        <m:r>
          <m:rPr>
            <m:sty m:val="p"/>
          </m:rPr>
          <w:rPr>
            <w:rFonts w:ascii="Cambria Math" w:hAnsi="Cambria Math"/>
          </w:rPr>
          <m:t>L</m:t>
        </m:r>
        <m:d>
          <m:dPr>
            <m:ctrlPr>
              <w:rPr>
                <w:rFonts w:ascii="Cambria Math" w:hAnsi="Cambria Math"/>
                <w:iCs/>
              </w:rPr>
            </m:ctrlPr>
          </m:dPr>
          <m:e>
            <m:r>
              <m:rPr>
                <m:sty m:val="p"/>
              </m:rPr>
              <w:rPr>
                <w:rFonts w:ascii="Cambria Math" w:hAnsi="Cambria Math"/>
              </w:rPr>
              <m:t>θ</m:t>
            </m:r>
          </m:e>
        </m:d>
        <m:r>
          <m:rPr>
            <m:sty m:val="p"/>
          </m:rPr>
          <w:rPr>
            <w:rFonts w:ascii="Cambria Math" w:hAnsi="Cambria Math"/>
          </w:rPr>
          <m:t>=L</m:t>
        </m:r>
        <m:d>
          <m:dPr>
            <m:ctrlPr>
              <w:rPr>
                <w:rFonts w:ascii="Cambria Math" w:hAnsi="Cambria Math"/>
                <w:iCs/>
              </w:rPr>
            </m:ctrlPr>
          </m:dPr>
          <m:e>
            <m:r>
              <m:rPr>
                <m:sty m:val="p"/>
              </m:rPr>
              <w:rPr>
                <w:rFonts w:ascii="Cambria Math" w:hAnsi="Cambria Math"/>
              </w:rPr>
              <m:t>θ+180°</m:t>
            </m:r>
          </m:e>
        </m:d>
      </m:oMath>
      <w:r w:rsidRPr="00A808D3">
        <w:rPr>
          <w:iCs/>
        </w:rPr>
        <w:tab/>
        <w:t>(4)</w:t>
      </w:r>
    </w:p>
    <w:p w14:paraId="3E0CC53E" w14:textId="77777777" w:rsidR="00613D57" w:rsidRPr="00A808D3" w:rsidRDefault="000D7978">
      <w:pPr>
        <w:rPr>
          <w:iCs/>
          <w:lang w:eastAsia="zh-CN"/>
        </w:rPr>
      </w:pPr>
      <w:r w:rsidRPr="00A808D3">
        <w:rPr>
          <w:iCs/>
          <w:lang w:eastAsia="zh-CN"/>
        </w:rPr>
        <w:t>方向分布的圆周谐波幅度由式</w:t>
      </w:r>
      <w:r w:rsidRPr="00A808D3">
        <w:rPr>
          <w:iCs/>
          <w:lang w:eastAsia="zh-CN"/>
        </w:rPr>
        <w:t xml:space="preserve"> </w:t>
      </w:r>
      <w:proofErr w:type="gramStart"/>
      <w:r w:rsidRPr="00A808D3">
        <w:rPr>
          <w:iCs/>
          <w:lang w:eastAsia="zh-CN"/>
        </w:rPr>
        <w:t>(5)</w:t>
      </w:r>
      <w:proofErr w:type="gramEnd"/>
      <w:r w:rsidRPr="00A808D3">
        <w:rPr>
          <w:iCs/>
          <w:lang w:eastAsia="zh-CN"/>
        </w:rPr>
        <w:t xml:space="preserve"> </w:t>
      </w:r>
      <w:r w:rsidRPr="00A808D3">
        <w:rPr>
          <w:iCs/>
          <w:lang w:eastAsia="zh-CN"/>
        </w:rPr>
        <w:t>定义：</w:t>
      </w:r>
    </w:p>
    <w:p w14:paraId="0AF7BEA8" w14:textId="07F5D7E0" w:rsidR="007F1974" w:rsidRPr="00A808D3" w:rsidRDefault="00000000">
      <w:pPr>
        <w:tabs>
          <w:tab w:val="center" w:pos="4392"/>
          <w:tab w:val="right" w:pos="9072"/>
        </w:tabs>
        <w:rPr>
          <w:iCs/>
        </w:rPr>
      </w:pPr>
      <w:r w:rsidRPr="00A808D3">
        <w:rPr>
          <w:iCs/>
          <w:lang w:eastAsia="zh-CN"/>
        </w:rPr>
        <w:tab/>
      </w:r>
      <m:oMath>
        <m:sSub>
          <m:sSubPr>
            <m:ctrlPr>
              <w:rPr>
                <w:rFonts w:ascii="Cambria Math" w:hAnsi="Cambria Math"/>
                <w:iCs/>
              </w:rPr>
            </m:ctrlPr>
          </m:sSubPr>
          <m:e>
            <m:r>
              <m:rPr>
                <m:sty m:val="p"/>
              </m:rPr>
              <w:rPr>
                <w:rFonts w:ascii="Cambria Math" w:hAnsi="Cambria Math"/>
              </w:rPr>
              <m:t>R</m:t>
            </m:r>
          </m:e>
          <m:sub>
            <m:r>
              <m:rPr>
                <m:sty m:val="p"/>
              </m:rPr>
              <w:rPr>
                <w:rFonts w:ascii="Cambria Math" w:hAnsi="Cambria Math"/>
              </w:rPr>
              <m:t>n</m:t>
            </m:r>
          </m:sub>
        </m:sSub>
        <m:r>
          <m:rPr>
            <m:sty m:val="p"/>
          </m:rPr>
          <w:rPr>
            <w:rFonts w:ascii="Cambria Math" w:hAnsi="Cambria Math"/>
          </w:rPr>
          <m:t>=</m:t>
        </m:r>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Σ</m:t>
                </m:r>
              </m:e>
              <m:sub>
                <m:r>
                  <m:rPr>
                    <m:sty m:val="p"/>
                  </m:rPr>
                  <w:rPr>
                    <w:rFonts w:ascii="Cambria Math" w:hAnsi="Cambria Math"/>
                  </w:rPr>
                  <m:t>θ</m:t>
                </m:r>
              </m:sub>
            </m:sSub>
            <m:r>
              <m:rPr>
                <m:sty m:val="p"/>
              </m:rPr>
              <w:rPr>
                <w:rFonts w:ascii="Cambria Math" w:hAnsi="Cambria Math"/>
              </w:rPr>
              <m:t>w</m:t>
            </m:r>
            <m:d>
              <m:dPr>
                <m:ctrlPr>
                  <w:rPr>
                    <w:rFonts w:ascii="Cambria Math" w:hAnsi="Cambria Math"/>
                    <w:iCs/>
                  </w:rPr>
                </m:ctrlPr>
              </m:dPr>
              <m:e>
                <m:r>
                  <m:rPr>
                    <m:sty m:val="p"/>
                  </m:rPr>
                  <w:rPr>
                    <w:rFonts w:ascii="Cambria Math" w:hAnsi="Cambria Math"/>
                  </w:rPr>
                  <m:t>θ</m:t>
                </m:r>
              </m:e>
            </m:d>
            <m:sSup>
              <m:sSupPr>
                <m:ctrlPr>
                  <w:rPr>
                    <w:rFonts w:ascii="Cambria Math" w:hAnsi="Cambria Math"/>
                    <w:iCs/>
                  </w:rPr>
                </m:ctrlPr>
              </m:sSupPr>
              <m:e>
                <m:r>
                  <m:rPr>
                    <m:sty m:val="p"/>
                  </m:rPr>
                  <w:rPr>
                    <w:rFonts w:ascii="Cambria Math" w:hAnsi="Cambria Math"/>
                  </w:rPr>
                  <m:t>e</m:t>
                </m:r>
              </m:e>
              <m:sup>
                <m:r>
                  <m:rPr>
                    <m:sty m:val="p"/>
                  </m:rPr>
                  <w:rPr>
                    <w:rFonts w:ascii="Cambria Math" w:hAnsi="Cambria Math"/>
                  </w:rPr>
                  <m:t>inθ</m:t>
                </m:r>
              </m:sup>
            </m:sSup>
          </m:e>
        </m:d>
      </m:oMath>
      <w:r w:rsidRPr="00A808D3">
        <w:rPr>
          <w:iCs/>
        </w:rPr>
        <w:tab/>
        <w:t>(5)</w:t>
      </w:r>
    </w:p>
    <w:p w14:paraId="5D59F26B" w14:textId="7D831D1F" w:rsidR="007F1974" w:rsidRPr="00A808D3" w:rsidRDefault="00000000">
      <w:pPr>
        <w:rPr>
          <w:iCs/>
          <w:lang w:eastAsia="zh-CN"/>
        </w:rPr>
      </w:pPr>
      <w:r w:rsidRPr="00A808D3">
        <w:rPr>
          <w:iCs/>
          <w:sz w:val="22"/>
          <w:lang w:eastAsia="zh-CN"/>
        </w:rPr>
        <w:t>其中</w:t>
      </w:r>
      <w:r w:rsidRPr="00A808D3">
        <w:rPr>
          <w:iCs/>
          <w:sz w:val="22"/>
          <w:lang w:eastAsia="zh-CN"/>
        </w:rPr>
        <w:t xml:space="preserve"> w</w:t>
      </w:r>
      <w:proofErr w:type="gramStart"/>
      <w:r w:rsidRPr="00A808D3">
        <w:rPr>
          <w:iCs/>
          <w:sz w:val="22"/>
          <w:lang w:eastAsia="zh-CN"/>
        </w:rPr>
        <w:t>(</w:t>
      </w:r>
      <w:r w:rsidRPr="00A808D3">
        <w:rPr>
          <w:iCs/>
          <w:sz w:val="22"/>
        </w:rPr>
        <w:t>θ</w:t>
      </w:r>
      <w:r w:rsidRPr="00A808D3">
        <w:rPr>
          <w:iCs/>
          <w:sz w:val="22"/>
          <w:lang w:eastAsia="zh-CN"/>
        </w:rPr>
        <w:t>)</w:t>
      </w:r>
      <w:proofErr w:type="gramEnd"/>
      <w:r w:rsidRPr="00A808D3">
        <w:rPr>
          <w:iCs/>
          <w:sz w:val="22"/>
          <w:lang w:eastAsia="zh-CN"/>
        </w:rPr>
        <w:t xml:space="preserve"> </w:t>
      </w:r>
      <w:r w:rsidRPr="00A808D3">
        <w:rPr>
          <w:iCs/>
          <w:sz w:val="22"/>
          <w:lang w:eastAsia="zh-CN"/>
        </w:rPr>
        <w:t>为</w:t>
      </w:r>
      <w:r w:rsidRPr="00A808D3">
        <w:rPr>
          <w:iCs/>
          <w:sz w:val="22"/>
          <w:lang w:eastAsia="zh-CN"/>
        </w:rPr>
        <w:t xml:space="preserve"> 5° </w:t>
      </w:r>
      <w:r w:rsidRPr="00A808D3">
        <w:rPr>
          <w:iCs/>
          <w:sz w:val="22"/>
          <w:lang w:eastAsia="zh-CN"/>
        </w:rPr>
        <w:t>扇区的方向权重，分别取频率权重与能量权重两种口径。</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1</m:t>
            </m:r>
          </m:sub>
        </m:sSub>
      </m:oMath>
      <w:r w:rsidRPr="00A808D3">
        <w:rPr>
          <w:iCs/>
          <w:sz w:val="22"/>
          <w:lang w:eastAsia="zh-CN"/>
        </w:rPr>
        <w:t xml:space="preserve"> </w:t>
      </w:r>
      <w:r w:rsidRPr="00A808D3">
        <w:rPr>
          <w:iCs/>
          <w:sz w:val="22"/>
          <w:lang w:eastAsia="zh-CN"/>
        </w:rPr>
        <w:t>即常用的风向集中度，</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2</m:t>
            </m:r>
          </m:sub>
        </m:sSub>
      </m:oMath>
      <w:r w:rsidRPr="00A808D3">
        <w:rPr>
          <w:iCs/>
          <w:sz w:val="22"/>
          <w:lang w:eastAsia="zh-CN"/>
        </w:rPr>
        <w:t xml:space="preserve"> </w:t>
      </w:r>
      <w:r w:rsidRPr="00A808D3">
        <w:rPr>
          <w:iCs/>
          <w:sz w:val="22"/>
          <w:lang w:eastAsia="zh-CN"/>
        </w:rPr>
        <w:t>为二阶轴向集中度。由上述</w:t>
      </w:r>
      <w:r w:rsidRPr="00A808D3">
        <w:rPr>
          <w:iCs/>
          <w:sz w:val="22"/>
          <w:lang w:eastAsia="zh-CN"/>
        </w:rPr>
        <w:t xml:space="preserve"> 180° </w:t>
      </w:r>
      <w:r w:rsidRPr="00A808D3">
        <w:rPr>
          <w:iCs/>
          <w:sz w:val="22"/>
          <w:lang w:eastAsia="zh-CN"/>
        </w:rPr>
        <w:t>周期性，阵列响应主要由二阶及四阶谐波承载；一阶集中度会让方向相反的季风分量相互抵消，与阵列响应不同阶，因此本文以</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2</m:t>
            </m:r>
          </m:sub>
        </m:sSub>
      </m:oMath>
      <w:r w:rsidRPr="00A808D3">
        <w:rPr>
          <w:iCs/>
          <w:sz w:val="22"/>
          <w:lang w:eastAsia="zh-CN"/>
        </w:rPr>
        <w:t xml:space="preserve"> </w:t>
      </w:r>
      <w:r w:rsidRPr="00A808D3">
        <w:rPr>
          <w:iCs/>
          <w:sz w:val="22"/>
          <w:lang w:eastAsia="zh-CN"/>
        </w:rPr>
        <w:t>而非</w:t>
      </w:r>
      <w:r w:rsidRPr="00A808D3">
        <w:rPr>
          <w:iCs/>
          <w:sz w:val="22"/>
          <w:lang w:eastAsia="zh-CN"/>
        </w:rPr>
        <w:t xml:space="preserve"> </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1</m:t>
            </m:r>
          </m:sub>
        </m:sSub>
      </m:oMath>
      <w:r w:rsidRPr="00A808D3">
        <w:rPr>
          <w:iCs/>
          <w:sz w:val="22"/>
          <w:lang w:eastAsia="zh-CN"/>
        </w:rPr>
        <w:t xml:space="preserve"> </w:t>
      </w:r>
      <w:r w:rsidRPr="00A808D3">
        <w:rPr>
          <w:iCs/>
          <w:sz w:val="22"/>
          <w:lang w:eastAsia="zh-CN"/>
        </w:rPr>
        <w:t>刻画风向沿固定轴的往返组织。全样本扇区级风玫瑰由联合气候样本直接给出（</w:t>
      </w:r>
      <w:r w:rsidRPr="00A808D3">
        <w:rPr>
          <w:iCs/>
          <w:sz w:val="22"/>
          <w:lang w:eastAsia="zh-CN"/>
        </w:rPr>
        <w:t xml:space="preserve">171 </w:t>
      </w:r>
      <w:r w:rsidRPr="00A808D3">
        <w:rPr>
          <w:iCs/>
          <w:sz w:val="22"/>
          <w:lang w:eastAsia="zh-CN"/>
        </w:rPr>
        <w:t>个风场</w:t>
      </w:r>
      <w:r w:rsidRPr="00A808D3">
        <w:rPr>
          <w:iCs/>
          <w:sz w:val="22"/>
          <w:lang w:eastAsia="zh-CN"/>
        </w:rPr>
        <w:t xml:space="preserve"> × 18 </w:t>
      </w:r>
      <w:r w:rsidRPr="00A808D3">
        <w:rPr>
          <w:iCs/>
          <w:sz w:val="22"/>
          <w:lang w:eastAsia="zh-CN"/>
        </w:rPr>
        <w:t>个风速档</w:t>
      </w:r>
      <w:r w:rsidRPr="00A808D3">
        <w:rPr>
          <w:iCs/>
          <w:sz w:val="22"/>
          <w:lang w:eastAsia="zh-CN"/>
        </w:rPr>
        <w:t xml:space="preserve"> × 72 </w:t>
      </w:r>
      <w:r w:rsidRPr="00A808D3">
        <w:rPr>
          <w:iCs/>
          <w:sz w:val="22"/>
          <w:lang w:eastAsia="zh-CN"/>
        </w:rPr>
        <w:t>个风向扇区，</w:t>
      </w:r>
      <w:r w:rsidRPr="00A808D3">
        <w:rPr>
          <w:iCs/>
          <w:sz w:val="22"/>
          <w:lang w:eastAsia="zh-CN"/>
        </w:rPr>
        <w:t xml:space="preserve">2014 </w:t>
      </w:r>
      <w:r w:rsidRPr="00A808D3">
        <w:rPr>
          <w:iCs/>
          <w:sz w:val="22"/>
          <w:lang w:eastAsia="zh-CN"/>
        </w:rPr>
        <w:t>至</w:t>
      </w:r>
      <w:r w:rsidRPr="00A808D3">
        <w:rPr>
          <w:iCs/>
          <w:sz w:val="22"/>
          <w:lang w:eastAsia="zh-CN"/>
        </w:rPr>
        <w:t xml:space="preserve"> 2024 </w:t>
      </w:r>
      <w:r w:rsidRPr="00A808D3">
        <w:rPr>
          <w:iCs/>
          <w:sz w:val="22"/>
          <w:lang w:eastAsia="zh-CN"/>
        </w:rPr>
        <w:t>年逐时聚合），</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1</m:t>
            </m:r>
          </m:sub>
        </m:sSub>
      </m:oMath>
      <w:r w:rsidRPr="00A808D3">
        <w:rPr>
          <w:iCs/>
          <w:sz w:val="22"/>
          <w:lang w:eastAsia="zh-CN"/>
        </w:rPr>
        <w:t xml:space="preserve"> </w:t>
      </w:r>
      <w:proofErr w:type="gramStart"/>
      <w:r w:rsidRPr="00A808D3">
        <w:rPr>
          <w:iCs/>
          <w:sz w:val="22"/>
          <w:lang w:eastAsia="zh-CN"/>
        </w:rPr>
        <w:t>与</w:t>
      </w:r>
      <w:r w:rsidRPr="00A808D3">
        <w:rPr>
          <w:iCs/>
          <w:sz w:val="22"/>
          <w:lang w:eastAsia="zh-CN"/>
        </w:rPr>
        <w:t xml:space="preserve">  </w:t>
      </w:r>
      <w:r w:rsidRPr="00A808D3">
        <w:rPr>
          <w:iCs/>
          <w:sz w:val="22"/>
          <w:lang w:eastAsia="zh-CN"/>
        </w:rPr>
        <w:t>按频率与</w:t>
      </w:r>
      <w:proofErr w:type="gramEnd"/>
      <w:r w:rsidRPr="00A808D3">
        <w:rPr>
          <w:iCs/>
          <w:sz w:val="22"/>
          <w:lang w:eastAsia="zh-CN"/>
        </w:rPr>
        <w:t xml:space="preserve"> V³ </w:t>
      </w:r>
      <w:r w:rsidRPr="00A808D3">
        <w:rPr>
          <w:iCs/>
          <w:sz w:val="22"/>
          <w:lang w:eastAsia="zh-CN"/>
        </w:rPr>
        <w:t>能量两种权重直算（权重数组与判别检验见补充信息表</w:t>
      </w:r>
      <w:r w:rsidRPr="00A808D3">
        <w:rPr>
          <w:iCs/>
          <w:sz w:val="22"/>
          <w:lang w:eastAsia="zh-CN"/>
        </w:rPr>
        <w:t xml:space="preserve"> S13</w:t>
      </w:r>
      <w:r w:rsidRPr="00A808D3">
        <w:rPr>
          <w:iCs/>
          <w:sz w:val="22"/>
          <w:lang w:eastAsia="zh-CN"/>
        </w:rPr>
        <w:t>）。我们检查了一套可获取的替代逐时</w:t>
      </w:r>
      <w:r w:rsidRPr="00A808D3">
        <w:rPr>
          <w:iCs/>
          <w:sz w:val="22"/>
          <w:lang w:eastAsia="zh-CN"/>
        </w:rPr>
        <w:t xml:space="preserve"> 100 m </w:t>
      </w:r>
      <w:r w:rsidRPr="00A808D3">
        <w:rPr>
          <w:iCs/>
          <w:sz w:val="22"/>
          <w:lang w:eastAsia="zh-CN"/>
        </w:rPr>
        <w:t>风场资料，但其格点到风场的距离中位数为</w:t>
      </w:r>
      <w:r w:rsidRPr="00A808D3">
        <w:rPr>
          <w:iCs/>
          <w:sz w:val="22"/>
          <w:lang w:eastAsia="zh-CN"/>
        </w:rPr>
        <w:t xml:space="preserve"> 76 km</w:t>
      </w:r>
      <w:r w:rsidRPr="00A808D3">
        <w:rPr>
          <w:iCs/>
          <w:sz w:val="22"/>
          <w:lang w:eastAsia="zh-CN"/>
        </w:rPr>
        <w:t>、对高响应风场为</w:t>
      </w:r>
      <w:r w:rsidRPr="00A808D3">
        <w:rPr>
          <w:iCs/>
          <w:sz w:val="22"/>
          <w:lang w:eastAsia="zh-CN"/>
        </w:rPr>
        <w:t xml:space="preserve"> 126 km</w:t>
      </w:r>
      <w:r w:rsidRPr="00A808D3">
        <w:rPr>
          <w:iCs/>
          <w:sz w:val="22"/>
          <w:lang w:eastAsia="zh-CN"/>
        </w:rPr>
        <w:t>，且三个越南走廊风场会被映射到同一格点，无法分辨走廊内部差异，因此不作为替代来源。</w:t>
      </w:r>
      <m:oMath>
        <m:sSub>
          <m:sSubPr>
            <m:ctrlPr>
              <w:rPr>
                <w:rFonts w:ascii="Cambria Math" w:hAnsi="Cambria Math"/>
                <w:iCs/>
              </w:rPr>
            </m:ctrlPr>
          </m:sSubPr>
          <m:e>
            <m:r>
              <m:rPr>
                <m:sty m:val="p"/>
              </m:rPr>
              <w:rPr>
                <w:rFonts w:ascii="Cambria Math" w:hAnsi="Cambria Math"/>
                <w:lang w:eastAsia="zh-CN"/>
              </w:rPr>
              <m:t>R</m:t>
            </m:r>
          </m:e>
          <m:sub>
            <m:r>
              <m:rPr>
                <m:sty m:val="p"/>
              </m:rPr>
              <w:rPr>
                <w:rFonts w:ascii="Cambria Math" w:hAnsi="Cambria Math"/>
                <w:lang w:eastAsia="zh-CN"/>
              </w:rPr>
              <m:t>2</m:t>
            </m:r>
          </m:sub>
        </m:sSub>
      </m:oMath>
    </w:p>
    <w:p w14:paraId="5EB5E656" w14:textId="77777777" w:rsidR="00613D57" w:rsidRPr="00A808D3" w:rsidRDefault="000D7978">
      <w:pPr>
        <w:pStyle w:val="21"/>
        <w:rPr>
          <w:lang w:eastAsia="zh-CN"/>
        </w:rPr>
      </w:pPr>
      <w:r w:rsidRPr="00A808D3">
        <w:rPr>
          <w:rFonts w:ascii="Arial" w:eastAsia="黑体" w:hAnsi="Arial" w:cs="Times New Roman"/>
          <w:lang w:eastAsia="zh-CN"/>
        </w:rPr>
        <w:lastRenderedPageBreak/>
        <w:t xml:space="preserve">5.6 </w:t>
      </w:r>
      <w:r w:rsidRPr="00A808D3">
        <w:rPr>
          <w:rFonts w:ascii="Arial" w:eastAsia="黑体" w:hAnsi="Arial" w:cs="Times New Roman"/>
          <w:lang w:eastAsia="zh-CN"/>
        </w:rPr>
        <w:t>二阶谐波相位重构</w:t>
      </w:r>
    </w:p>
    <w:p w14:paraId="03524790" w14:textId="77777777" w:rsidR="00613D57" w:rsidRPr="00A808D3" w:rsidRDefault="000D7978">
      <w:pPr>
        <w:rPr>
          <w:lang w:eastAsia="zh-CN"/>
        </w:rPr>
      </w:pPr>
      <w:r w:rsidRPr="00A808D3">
        <w:rPr>
          <w:lang w:eastAsia="zh-CN"/>
        </w:rPr>
        <w:t>阵列刚性旋转的主方向响应近似具有</w:t>
      </w:r>
      <w:r w:rsidRPr="00A808D3">
        <w:rPr>
          <w:lang w:eastAsia="zh-CN"/>
        </w:rPr>
        <w:t xml:space="preserve"> 180° </w:t>
      </w:r>
      <w:r w:rsidRPr="00A808D3">
        <w:rPr>
          <w:lang w:eastAsia="zh-CN"/>
        </w:rPr>
        <w:t>周期。令归一化年发电响应由式</w:t>
      </w:r>
      <w:r w:rsidRPr="00A808D3">
        <w:rPr>
          <w:lang w:eastAsia="zh-CN"/>
        </w:rPr>
        <w:t xml:space="preserve"> </w:t>
      </w:r>
      <w:proofErr w:type="gramStart"/>
      <w:r w:rsidRPr="00A808D3">
        <w:rPr>
          <w:lang w:eastAsia="zh-CN"/>
        </w:rPr>
        <w:t>(6)</w:t>
      </w:r>
      <w:proofErr w:type="gramEnd"/>
      <w:r w:rsidRPr="00A808D3">
        <w:rPr>
          <w:lang w:eastAsia="zh-CN"/>
        </w:rPr>
        <w:t xml:space="preserve"> </w:t>
      </w:r>
      <w:r w:rsidRPr="00A808D3">
        <w:rPr>
          <w:lang w:eastAsia="zh-CN"/>
        </w:rPr>
        <w:t>给出：</w:t>
      </w:r>
    </w:p>
    <w:p w14:paraId="06901C62" w14:textId="51466E82" w:rsidR="00613D57" w:rsidRPr="00A808D3" w:rsidRDefault="00FF0F67">
      <w:pPr>
        <w:keepLines/>
        <w:tabs>
          <w:tab w:val="center" w:pos="4392"/>
          <w:tab w:val="right" w:pos="9072"/>
        </w:tabs>
        <w:spacing w:before="60" w:after="160"/>
        <w:rPr>
          <w:lang w:eastAsia="zh-CN"/>
        </w:rPr>
      </w:pPr>
      <w:r w:rsidRPr="00A808D3">
        <w:rPr>
          <w:lang w:eastAsia="zh-CN"/>
        </w:rPr>
        <w:tab/>
      </w:r>
      <m:oMath>
        <m:r>
          <m:rPr>
            <m:sty m:val="p"/>
          </m:rPr>
          <w:rPr>
            <w:rFonts w:ascii="Cambria Math" w:hAnsi="Cambria Math"/>
          </w:rPr>
          <m:t>Pᵢ</m:t>
        </m:r>
        <m:d>
          <m:dPr>
            <m:ctrlPr>
              <w:rPr>
                <w:rFonts w:ascii="Cambria Math" w:hAnsi="Cambria Math"/>
              </w:rPr>
            </m:ctrlPr>
          </m:dPr>
          <m:e>
            <m:r>
              <m:rPr>
                <m:sty m:val="p"/>
              </m:rPr>
              <w:rPr>
                <w:rFonts w:ascii="Cambria Math" w:hAnsi="Cambria Math"/>
              </w:rPr>
              <m:t>φ</m:t>
            </m:r>
          </m:e>
        </m:d>
        <m:r>
          <m:rPr>
            <m:sty m:val="p"/>
          </m:rPr>
          <w:rPr>
            <w:rFonts w:ascii="Cambria Math" w:hAnsi="Cambria Math"/>
          </w:rPr>
          <m:t>=P̄ᵢ</m:t>
        </m:r>
        <m:d>
          <m:dPr>
            <m:begChr m:val="["/>
            <m:endChr m:val="]"/>
            <m:ctrlPr>
              <w:rPr>
                <w:rFonts w:ascii="Cambria Math" w:hAnsi="Cambria Math"/>
              </w:rPr>
            </m:ctrlPr>
          </m:dPr>
          <m:e>
            <m:r>
              <m:rPr>
                <m:sty m:val="p"/>
              </m:rPr>
              <w:rPr>
                <w:rFonts w:ascii="Cambria Math" w:hAnsi="Cambria Math"/>
              </w:rPr>
              <m:t>1+aᵢcos2</m:t>
            </m:r>
            <m:d>
              <m:dPr>
                <m:ctrlPr>
                  <w:rPr>
                    <w:rFonts w:ascii="Cambria Math" w:hAnsi="Cambria Math"/>
                  </w:rPr>
                </m:ctrlPr>
              </m:dPr>
              <m:e>
                <m:r>
                  <m:rPr>
                    <m:sty m:val="p"/>
                  </m:rPr>
                  <w:rPr>
                    <w:rFonts w:ascii="Cambria Math" w:hAnsi="Cambria Math"/>
                  </w:rPr>
                  <m:t>φ-φᵢ*</m:t>
                </m:r>
              </m:e>
            </m:d>
          </m:e>
        </m:d>
        <m:r>
          <m:rPr>
            <m:sty m:val="p"/>
          </m:rPr>
          <w:rPr>
            <w:rFonts w:ascii="Cambria Math" w:hAnsi="Cambria Math"/>
          </w:rPr>
          <m:t>.</m:t>
        </m:r>
      </m:oMath>
      <w:r w:rsidRPr="00A808D3">
        <w:tab/>
        <w:t>(6)</w:t>
      </w:r>
    </w:p>
    <w:p w14:paraId="619D9080" w14:textId="737FAC80" w:rsidR="00613D57" w:rsidRPr="00A808D3" w:rsidRDefault="000D7978">
      <w:pPr>
        <w:rPr>
          <w:lang w:eastAsia="zh-CN"/>
        </w:rPr>
      </w:pPr>
      <w:r w:rsidRPr="00A808D3">
        <w:rPr>
          <w:sz w:val="22"/>
          <w:lang w:eastAsia="zh-CN"/>
        </w:rPr>
        <w:t>其中</w:t>
      </w:r>
      <w:r w:rsidRPr="00A808D3">
        <w:rPr>
          <w:sz w:val="22"/>
          <w:lang w:eastAsia="zh-CN"/>
        </w:rPr>
        <w:t xml:space="preserve"> </w:t>
      </w: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sz w:val="22"/>
          <w:lang w:eastAsia="zh-CN"/>
        </w:rPr>
        <w:t xml:space="preserve"> = </w:t>
      </w: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sz w:val="22"/>
          <w:lang w:eastAsia="zh-CN"/>
        </w:rPr>
        <w:t xml:space="preserve">/100 </w:t>
      </w:r>
      <w:r w:rsidRPr="00A808D3">
        <w:rPr>
          <w:sz w:val="22"/>
          <w:lang w:eastAsia="zh-CN"/>
        </w:rPr>
        <w:t>作为二阶幅度近似，</w:t>
      </w:r>
      <m:oMath>
        <m:sSub>
          <m:sSubPr>
            <m:ctrlPr>
              <w:rPr>
                <w:rFonts w:ascii="Cambria Math" w:hAnsi="Cambria Math"/>
              </w:rPr>
            </m:ctrlPr>
          </m:sSubPr>
          <m:e>
            <m:r>
              <m:rPr>
                <m:sty m:val="p"/>
              </m:rPr>
              <w:rPr>
                <w:rFonts w:ascii="Cambria Math" w:hAnsi="Cambria Math"/>
                <w:lang w:eastAsia="zh-CN"/>
              </w:rPr>
              <m:t>φ</m:t>
            </m:r>
          </m:e>
          <m:sub>
            <m:r>
              <m:rPr>
                <m:sty m:val="p"/>
              </m:rPr>
              <w:rPr>
                <w:rFonts w:ascii="Cambria Math" w:hAnsi="Cambria Math"/>
                <w:lang w:eastAsia="zh-CN"/>
              </w:rPr>
              <m:t>i</m:t>
            </m:r>
          </m:sub>
        </m:sSub>
      </m:oMath>
      <w:r w:rsidRPr="00A808D3">
        <w:rPr>
          <w:sz w:val="22"/>
          <w:lang w:eastAsia="zh-CN"/>
        </w:rPr>
        <w:t xml:space="preserve"> </w:t>
      </w:r>
      <w:r w:rsidRPr="00A808D3">
        <w:rPr>
          <w:sz w:val="22"/>
          <w:lang w:eastAsia="zh-CN"/>
        </w:rPr>
        <w:t>为历史气候下的最优相位，建成相位取</w:t>
      </w:r>
      <w:r w:rsidRPr="00A808D3">
        <w:rPr>
          <w:sz w:val="22"/>
          <w:lang w:eastAsia="zh-CN"/>
        </w:rPr>
        <w:t xml:space="preserve"> 0</w:t>
      </w:r>
      <w:r w:rsidRPr="00A808D3">
        <w:rPr>
          <w:sz w:val="22"/>
          <w:lang w:eastAsia="zh-CN"/>
        </w:rPr>
        <w:t>。定义最小轴向相位差</w:t>
      </w:r>
      <w:r w:rsidRPr="00A808D3">
        <w:rPr>
          <w:sz w:val="22"/>
          <w:lang w:eastAsia="zh-CN"/>
        </w:rPr>
        <w:t xml:space="preserve"> </w:t>
      </w:r>
      <m:oMath>
        <m:r>
          <m:rPr>
            <m:sty m:val="p"/>
          </m:rPr>
          <w:rPr>
            <w:rFonts w:ascii="Cambria Math" w:hAnsi="Cambria Math"/>
            <w:lang w:eastAsia="zh-CN"/>
          </w:rPr>
          <m:t>Δ</m:t>
        </m:r>
        <m:sSub>
          <m:sSubPr>
            <m:ctrlPr>
              <w:rPr>
                <w:rFonts w:ascii="Cambria Math" w:hAnsi="Cambria Math"/>
              </w:rPr>
            </m:ctrlPr>
          </m:sSubPr>
          <m:e>
            <m:r>
              <m:rPr>
                <m:sty m:val="p"/>
              </m:rPr>
              <w:rPr>
                <w:rFonts w:ascii="Cambria Math" w:hAnsi="Cambria Math"/>
                <w:lang w:eastAsia="zh-CN"/>
              </w:rPr>
              <m:t>φ</m:t>
            </m:r>
          </m:e>
          <m:sub>
            <m:r>
              <m:rPr>
                <m:sty m:val="p"/>
              </m:rPr>
              <w:rPr>
                <w:rFonts w:ascii="Cambria Math" w:hAnsi="Cambria Math"/>
                <w:lang w:eastAsia="zh-CN"/>
              </w:rPr>
              <m:t>i</m:t>
            </m:r>
          </m:sub>
        </m:sSub>
      </m:oMath>
      <w:r w:rsidRPr="00A808D3">
        <w:rPr>
          <w:sz w:val="22"/>
          <w:lang w:eastAsia="zh-CN"/>
        </w:rPr>
        <w:t xml:space="preserve"> = min(</w:t>
      </w:r>
      <m:oMath>
        <m:sSub>
          <m:sSubPr>
            <m:ctrlPr>
              <w:rPr>
                <w:rFonts w:ascii="Cambria Math" w:hAnsi="Cambria Math"/>
              </w:rPr>
            </m:ctrlPr>
          </m:sSubPr>
          <m:e>
            <m:r>
              <m:rPr>
                <m:sty m:val="p"/>
              </m:rPr>
              <w:rPr>
                <w:rFonts w:ascii="Cambria Math" w:hAnsi="Cambria Math"/>
                <w:lang w:eastAsia="zh-CN"/>
              </w:rPr>
              <m:t>φ</m:t>
            </m:r>
          </m:e>
          <m:sub>
            <m:r>
              <m:rPr>
                <m:sty m:val="p"/>
              </m:rPr>
              <w:rPr>
                <w:rFonts w:ascii="Cambria Math" w:hAnsi="Cambria Math"/>
                <w:lang w:eastAsia="zh-CN"/>
              </w:rPr>
              <m:t>i</m:t>
            </m:r>
          </m:sub>
        </m:sSub>
      </m:oMath>
      <w:r w:rsidRPr="00A808D3">
        <w:rPr>
          <w:sz w:val="22"/>
          <w:lang w:eastAsia="zh-CN"/>
        </w:rPr>
        <w:t xml:space="preserve"> mod 180</w:t>
      </w:r>
      <w:proofErr w:type="gramStart"/>
      <w:r w:rsidRPr="00A808D3">
        <w:rPr>
          <w:sz w:val="22"/>
          <w:lang w:eastAsia="zh-CN"/>
        </w:rPr>
        <w:t>°,</w:t>
      </w:r>
      <w:proofErr w:type="gramEnd"/>
      <w:r w:rsidRPr="00A808D3">
        <w:rPr>
          <w:sz w:val="22"/>
          <w:lang w:eastAsia="zh-CN"/>
        </w:rPr>
        <w:t xml:space="preserve"> 180° − </w:t>
      </w:r>
      <m:oMath>
        <m:sSub>
          <m:sSubPr>
            <m:ctrlPr>
              <w:rPr>
                <w:rFonts w:ascii="Cambria Math" w:hAnsi="Cambria Math"/>
              </w:rPr>
            </m:ctrlPr>
          </m:sSubPr>
          <m:e>
            <m:r>
              <m:rPr>
                <m:sty m:val="p"/>
              </m:rPr>
              <w:rPr>
                <w:rFonts w:ascii="Cambria Math" w:hAnsi="Cambria Math"/>
                <w:lang w:eastAsia="zh-CN"/>
              </w:rPr>
              <m:t>φ</m:t>
            </m:r>
          </m:e>
          <m:sub>
            <m:r>
              <m:rPr>
                <m:sty m:val="p"/>
              </m:rPr>
              <w:rPr>
                <w:rFonts w:ascii="Cambria Math" w:hAnsi="Cambria Math"/>
                <w:lang w:eastAsia="zh-CN"/>
              </w:rPr>
              <m:t>i</m:t>
            </m:r>
          </m:sub>
        </m:sSub>
      </m:oMath>
      <w:r w:rsidRPr="00A808D3">
        <w:rPr>
          <w:sz w:val="22"/>
          <w:lang w:eastAsia="zh-CN"/>
        </w:rPr>
        <w:t xml:space="preserve"> mod 180</w:t>
      </w:r>
      <w:proofErr w:type="gramStart"/>
      <w:r w:rsidRPr="00A808D3">
        <w:rPr>
          <w:sz w:val="22"/>
          <w:lang w:eastAsia="zh-CN"/>
        </w:rPr>
        <w:t>°)</w:t>
      </w:r>
      <w:r w:rsidRPr="00A808D3">
        <w:rPr>
          <w:sz w:val="22"/>
          <w:lang w:eastAsia="zh-CN"/>
        </w:rPr>
        <w:t>，</w:t>
      </w:r>
      <w:proofErr w:type="gramEnd"/>
      <w:r w:rsidRPr="00A808D3">
        <w:rPr>
          <w:sz w:val="22"/>
          <w:lang w:eastAsia="zh-CN"/>
        </w:rPr>
        <w:t>则从建成朝向到历史最优相位的二阶重构增益由式</w:t>
      </w:r>
      <w:r w:rsidRPr="00A808D3">
        <w:rPr>
          <w:sz w:val="22"/>
          <w:lang w:eastAsia="zh-CN"/>
        </w:rPr>
        <w:t xml:space="preserve"> </w:t>
      </w:r>
      <w:proofErr w:type="gramStart"/>
      <w:r w:rsidRPr="00A808D3">
        <w:rPr>
          <w:sz w:val="22"/>
          <w:lang w:eastAsia="zh-CN"/>
        </w:rPr>
        <w:t>(7)</w:t>
      </w:r>
      <w:proofErr w:type="gramEnd"/>
      <w:r w:rsidRPr="00A808D3">
        <w:rPr>
          <w:sz w:val="22"/>
          <w:lang w:eastAsia="zh-CN"/>
        </w:rPr>
        <w:t xml:space="preserve"> </w:t>
      </w:r>
      <w:r w:rsidRPr="00A808D3">
        <w:rPr>
          <w:sz w:val="22"/>
          <w:lang w:eastAsia="zh-CN"/>
        </w:rPr>
        <w:t>给出：</w:t>
      </w:r>
    </w:p>
    <w:p w14:paraId="74BD7879" w14:textId="4B4C57B5" w:rsidR="00613D57" w:rsidRPr="00A808D3" w:rsidRDefault="00FF0F67">
      <w:pPr>
        <w:keepLines/>
        <w:tabs>
          <w:tab w:val="center" w:pos="4392"/>
          <w:tab w:val="right" w:pos="9072"/>
        </w:tabs>
        <w:spacing w:before="60" w:after="160"/>
        <w:rPr>
          <w:lang w:eastAsia="zh-CN"/>
        </w:rPr>
      </w:pPr>
      <w:r w:rsidRPr="00A808D3">
        <w:rPr>
          <w:lang w:eastAsia="zh-CN"/>
        </w:rPr>
        <w:tab/>
      </w:r>
      <m:oMath>
        <m:r>
          <m:rPr>
            <m:sty m:val="p"/>
          </m:rPr>
          <w:rPr>
            <w:rFonts w:ascii="Cambria Math" w:hAnsi="Cambria Math"/>
          </w:rPr>
          <m:t>Ĝᵢ,phase=100×</m:t>
        </m:r>
        <m:d>
          <m:dPr>
            <m:begChr m:val="["/>
            <m:endChr m:val="]"/>
            <m:ctrlPr>
              <w:rPr>
                <w:rFonts w:ascii="Cambria Math" w:hAnsi="Cambria Math"/>
              </w:rPr>
            </m:ctrlPr>
          </m:dPr>
          <m:e>
            <m:r>
              <m:rPr>
                <m:sty m:val="p"/>
              </m:rPr>
              <w:rPr>
                <w:rFonts w:ascii="Cambria Math" w:hAnsi="Cambria Math"/>
              </w:rPr>
              <m:t>2aᵢsin²</m:t>
            </m:r>
            <m:d>
              <m:dPr>
                <m:ctrlPr>
                  <w:rPr>
                    <w:rFonts w:ascii="Cambria Math" w:hAnsi="Cambria Math"/>
                  </w:rPr>
                </m:ctrlPr>
              </m:dPr>
              <m:e>
                <m:r>
                  <m:rPr>
                    <m:sty m:val="p"/>
                  </m:rPr>
                  <w:rPr>
                    <w:rFonts w:ascii="Cambria Math" w:hAnsi="Cambria Math"/>
                  </w:rPr>
                  <m:t>Δφᵢ</m:t>
                </m:r>
              </m:e>
            </m:d>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1+aᵢcos</m:t>
            </m:r>
            <m:d>
              <m:dPr>
                <m:ctrlPr>
                  <w:rPr>
                    <w:rFonts w:ascii="Cambria Math" w:hAnsi="Cambria Math"/>
                  </w:rPr>
                </m:ctrlPr>
              </m:dPr>
              <m:e>
                <m:r>
                  <m:rPr>
                    <m:sty m:val="p"/>
                  </m:rPr>
                  <w:rPr>
                    <w:rFonts w:ascii="Cambria Math" w:hAnsi="Cambria Math"/>
                  </w:rPr>
                  <m:t>2Δφᵢ</m:t>
                </m:r>
              </m:e>
            </m:d>
          </m:e>
        </m:d>
        <m:r>
          <m:rPr>
            <m:sty m:val="p"/>
          </m:rPr>
          <w:rPr>
            <w:rFonts w:ascii="Cambria Math" w:hAnsi="Cambria Math"/>
          </w:rPr>
          <m:t>.</m:t>
        </m:r>
      </m:oMath>
      <w:r w:rsidRPr="00A808D3">
        <w:tab/>
        <w:t>(7)</w:t>
      </w:r>
    </w:p>
    <w:p w14:paraId="23C39FC9" w14:textId="20C600CC" w:rsidR="00613D57" w:rsidRPr="00A808D3" w:rsidRDefault="000D7978">
      <w:pPr>
        <w:rPr>
          <w:lang w:eastAsia="zh-CN"/>
        </w:rPr>
      </w:pPr>
      <w:r w:rsidRPr="00A808D3">
        <w:rPr>
          <w:sz w:val="22"/>
          <w:lang w:eastAsia="zh-CN"/>
        </w:rPr>
        <w:t>我们将全部</w:t>
      </w:r>
      <w:r w:rsidRPr="00A808D3">
        <w:rPr>
          <w:sz w:val="22"/>
          <w:lang w:eastAsia="zh-CN"/>
        </w:rPr>
        <w:t xml:space="preserve"> 171 </w:t>
      </w:r>
      <w:r w:rsidRPr="00A808D3">
        <w:rPr>
          <w:sz w:val="22"/>
          <w:lang w:eastAsia="zh-CN"/>
        </w:rPr>
        <w:t>个风场的</w:t>
      </w:r>
      <w:r w:rsidRPr="00A808D3">
        <w:rPr>
          <w:sz w:val="22"/>
          <w:lang w:eastAsia="zh-CN"/>
        </w:rPr>
        <w:t xml:space="preserve"> </w:t>
      </w: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sz w:val="22"/>
          <w:lang w:eastAsia="zh-CN"/>
        </w:rPr>
        <w:t>、历史最优旋转相位与</w:t>
      </w:r>
      <w:r w:rsidRPr="00A808D3">
        <w:rPr>
          <w:sz w:val="22"/>
          <w:lang w:eastAsia="zh-CN"/>
        </w:rPr>
        <w:t xml:space="preserve"> 2024 </w:t>
      </w:r>
      <w:r w:rsidRPr="00A808D3">
        <w:rPr>
          <w:sz w:val="22"/>
          <w:lang w:eastAsia="zh-CN"/>
        </w:rPr>
        <w:t>年</w:t>
      </w:r>
      <w:r w:rsidRPr="00A808D3">
        <w:rPr>
          <w:sz w:val="22"/>
          <w:lang w:eastAsia="zh-CN"/>
        </w:rPr>
        <w:t xml:space="preserve"> </w:t>
      </w:r>
      <m:oMath>
        <m:sSub>
          <m:sSubPr>
            <m:ctrlPr>
              <w:rPr>
                <w:rFonts w:ascii="Cambria Math" w:hAnsi="Cambria Math"/>
              </w:rPr>
            </m:ctrlPr>
          </m:sSubPr>
          <m:e>
            <m:r>
              <m:rPr>
                <m:sty m:val="p"/>
              </m:rPr>
              <w:rPr>
                <w:rFonts w:ascii="Cambria Math" w:hAnsi="Cambria Math"/>
                <w:lang w:eastAsia="zh-CN"/>
              </w:rPr>
              <m:t>G</m:t>
            </m:r>
          </m:e>
          <m:sub>
            <m:r>
              <m:rPr>
                <m:sty m:val="p"/>
              </m:rPr>
              <w:rPr>
                <w:rFonts w:ascii="Cambria Math" w:hAnsi="Cambria Math"/>
                <w:lang w:eastAsia="zh-CN"/>
              </w:rPr>
              <m:t>i,2024</m:t>
            </m:r>
          </m:sub>
        </m:sSub>
      </m:oMath>
      <w:r w:rsidRPr="00A808D3">
        <w:rPr>
          <w:sz w:val="22"/>
          <w:lang w:eastAsia="zh-CN"/>
        </w:rPr>
        <w:t xml:space="preserve"> </w:t>
      </w:r>
      <w:r w:rsidRPr="00A808D3">
        <w:rPr>
          <w:sz w:val="22"/>
          <w:lang w:eastAsia="zh-CN"/>
        </w:rPr>
        <w:t>配对，用</w:t>
      </w:r>
      <w:r w:rsidRPr="00A808D3">
        <w:rPr>
          <w:sz w:val="22"/>
          <w:lang w:eastAsia="zh-CN"/>
        </w:rPr>
        <w:t xml:space="preserve"> Spearman </w:t>
      </w:r>
      <w:r w:rsidRPr="00A808D3">
        <w:rPr>
          <w:sz w:val="22"/>
          <w:lang w:eastAsia="zh-CN"/>
        </w:rPr>
        <w:t>相关评价排序、</w:t>
      </w:r>
      <w:r w:rsidRPr="00A808D3">
        <w:rPr>
          <w:sz w:val="22"/>
          <w:lang w:eastAsia="zh-CN"/>
        </w:rPr>
        <w:t xml:space="preserve">Pearson </w:t>
      </w:r>
      <w:r w:rsidRPr="00A808D3">
        <w:rPr>
          <w:sz w:val="22"/>
          <w:lang w:eastAsia="zh-CN"/>
        </w:rPr>
        <w:t>相关评价线性一致性，并报告平均绝对误差与系统偏差。该分析是二阶结构重构而非独立训练</w:t>
      </w:r>
      <w:r w:rsidRPr="00A808D3">
        <w:rPr>
          <w:sz w:val="22"/>
          <w:lang w:eastAsia="zh-CN"/>
        </w:rPr>
        <w:t>—</w:t>
      </w:r>
      <w:r w:rsidRPr="00A808D3">
        <w:rPr>
          <w:sz w:val="22"/>
          <w:lang w:eastAsia="zh-CN"/>
        </w:rPr>
        <w:t>测试预测。由于真实响应可包含四阶及更高谐波，且</w:t>
      </w:r>
      <w:r w:rsidRPr="00A808D3">
        <w:rPr>
          <w:sz w:val="22"/>
          <w:lang w:eastAsia="zh-CN"/>
        </w:rPr>
        <w:t xml:space="preserve"> </w:t>
      </w:r>
      <m:oMath>
        <m:r>
          <m:rPr>
            <m:sty m:val="p"/>
          </m:rPr>
          <w:rPr>
            <w:rFonts w:ascii="Cambria Math" w:hAnsi="Cambria Math"/>
            <w:lang w:eastAsia="zh-CN"/>
          </w:rPr>
          <m:t>A</m:t>
        </m:r>
      </m:oMath>
      <w:r w:rsidRPr="00A808D3">
        <w:rPr>
          <w:sz w:val="22"/>
          <w:lang w:eastAsia="zh-CN"/>
        </w:rPr>
        <w:t xml:space="preserve"> </w:t>
      </w:r>
      <w:r w:rsidRPr="00A808D3">
        <w:rPr>
          <w:sz w:val="22"/>
          <w:lang w:eastAsia="zh-CN"/>
        </w:rPr>
        <w:t>与</w:t>
      </w:r>
      <w:r w:rsidRPr="00A808D3">
        <w:rPr>
          <w:sz w:val="22"/>
          <w:lang w:eastAsia="zh-CN"/>
        </w:rPr>
        <w:t xml:space="preserve"> </w:t>
      </w:r>
      <m:oMath>
        <m:r>
          <m:rPr>
            <m:sty m:val="p"/>
          </m:rPr>
          <w:rPr>
            <w:rFonts w:ascii="Cambria Math" w:hAnsi="Cambria Math"/>
            <w:lang w:eastAsia="zh-CN"/>
          </w:rPr>
          <m:t>G</m:t>
        </m:r>
      </m:oMath>
      <w:r w:rsidRPr="00A808D3">
        <w:rPr>
          <w:sz w:val="22"/>
          <w:lang w:eastAsia="zh-CN"/>
        </w:rPr>
        <w:t xml:space="preserve"> </w:t>
      </w:r>
      <w:r w:rsidRPr="00A808D3">
        <w:rPr>
          <w:sz w:val="22"/>
          <w:lang w:eastAsia="zh-CN"/>
        </w:rPr>
        <w:t>来自不同气候时期，重构只用于检验幅度与相位能否共同恢复主要排序，不被解释为一般恒等式。</w:t>
      </w:r>
      <w:r w:rsidRPr="00A808D3">
        <w:rPr>
          <w:sz w:val="22"/>
          <w:lang w:eastAsia="zh-CN"/>
        </w:rPr>
        <w:t xml:space="preserve">171 </w:t>
      </w:r>
      <w:r w:rsidRPr="00A808D3">
        <w:rPr>
          <w:sz w:val="22"/>
          <w:lang w:eastAsia="zh-CN"/>
        </w:rPr>
        <w:t>场逐场重构明细见补充信息表</w:t>
      </w:r>
      <w:r w:rsidRPr="00A808D3">
        <w:rPr>
          <w:sz w:val="22"/>
          <w:lang w:eastAsia="zh-CN"/>
        </w:rPr>
        <w:t xml:space="preserve"> S15</w:t>
      </w:r>
      <w:r w:rsidRPr="00A808D3">
        <w:rPr>
          <w:sz w:val="22"/>
          <w:lang w:eastAsia="zh-CN"/>
        </w:rPr>
        <w:t>。</w:t>
      </w:r>
    </w:p>
    <w:p w14:paraId="22D5B62B" w14:textId="77777777" w:rsidR="00613D57" w:rsidRPr="00A808D3" w:rsidRDefault="000D7978">
      <w:pPr>
        <w:pStyle w:val="21"/>
        <w:rPr>
          <w:lang w:eastAsia="zh-CN"/>
        </w:rPr>
      </w:pPr>
      <w:r w:rsidRPr="00A808D3">
        <w:rPr>
          <w:rFonts w:ascii="Arial" w:eastAsia="黑体" w:hAnsi="Arial" w:cs="Times New Roman"/>
          <w:lang w:eastAsia="zh-CN"/>
        </w:rPr>
        <w:t xml:space="preserve">5.7 </w:t>
      </w:r>
      <w:r w:rsidRPr="00A808D3">
        <w:rPr>
          <w:rFonts w:ascii="Arial" w:eastAsia="黑体" w:hAnsi="Arial" w:cs="Times New Roman"/>
          <w:lang w:eastAsia="zh-CN"/>
        </w:rPr>
        <w:t>相位定义、角度坐标与跨期兑现</w:t>
      </w:r>
    </w:p>
    <w:p w14:paraId="7BBA426B" w14:textId="77777777" w:rsidR="00613D57" w:rsidRPr="00A808D3" w:rsidRDefault="000D7978">
      <w:pPr>
        <w:rPr>
          <w:lang w:eastAsia="zh-CN"/>
        </w:rPr>
      </w:pPr>
      <w:r w:rsidRPr="00A808D3">
        <w:rPr>
          <w:lang w:eastAsia="zh-CN"/>
        </w:rPr>
        <w:t>进入增益重构的项目相位定义为建成朝向与历史气候响应峰值之间的最小轴向夹角，并按</w:t>
      </w:r>
      <w:r w:rsidRPr="00A808D3">
        <w:rPr>
          <w:lang w:eastAsia="zh-CN"/>
        </w:rPr>
        <w:t xml:space="preserve"> 0° </w:t>
      </w:r>
      <w:r w:rsidRPr="00A808D3">
        <w:rPr>
          <w:lang w:eastAsia="zh-CN"/>
        </w:rPr>
        <w:t>至</w:t>
      </w:r>
      <w:r w:rsidRPr="00A808D3">
        <w:rPr>
          <w:lang w:eastAsia="zh-CN"/>
        </w:rPr>
        <w:t xml:space="preserve"> 90° </w:t>
      </w:r>
      <w:r w:rsidRPr="00A808D3">
        <w:rPr>
          <w:lang w:eastAsia="zh-CN"/>
        </w:rPr>
        <w:t>折叠。该相位直接来源于刚性旋转响应，不以排布主轴与风轴的夹角替代。作为描述性敏感性检查，排布主轴由逐场局部投影后的终期机位主成分计算，并从以东向为零点的数学角转换为以北向为零点的方位角，再与能量加权风轴比较，见式</w:t>
      </w:r>
      <w:r w:rsidRPr="00A808D3">
        <w:rPr>
          <w:lang w:eastAsia="zh-CN"/>
        </w:rPr>
        <w:t xml:space="preserve"> </w:t>
      </w:r>
      <w:proofErr w:type="gramStart"/>
      <w:r w:rsidRPr="00A808D3">
        <w:rPr>
          <w:lang w:eastAsia="zh-CN"/>
        </w:rPr>
        <w:t>(8)</w:t>
      </w:r>
      <w:proofErr w:type="gramEnd"/>
      <w:r w:rsidRPr="00A808D3">
        <w:rPr>
          <w:lang w:eastAsia="zh-CN"/>
        </w:rPr>
        <w:t>：</w:t>
      </w:r>
    </w:p>
    <w:p w14:paraId="339308EB" w14:textId="6C9DB036" w:rsidR="00613D57" w:rsidRPr="00A808D3" w:rsidRDefault="00FF0F67">
      <w:pPr>
        <w:keepLines/>
        <w:tabs>
          <w:tab w:val="center" w:pos="4392"/>
          <w:tab w:val="right" w:pos="9072"/>
        </w:tabs>
        <w:spacing w:before="60" w:after="160"/>
      </w:pPr>
      <w:r w:rsidRPr="00A808D3">
        <w:rPr>
          <w:lang w:eastAsia="zh-CN"/>
        </w:rPr>
        <w:tab/>
      </w:r>
      <m:oMath>
        <m:r>
          <m:rPr>
            <m:sty m:val="p"/>
          </m:rPr>
          <w:rPr>
            <w:rFonts w:ascii="Cambria Math" w:hAnsi="Cambria Math"/>
          </w:rPr>
          <m:t>Δφᵢ=</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φᵢlayout-φᵢwind+90°</m:t>
                </m:r>
              </m:e>
            </m:d>
            <m:r>
              <m:rPr>
                <m:sty m:val="p"/>
              </m:rPr>
              <w:rPr>
                <w:rFonts w:ascii="Cambria Math" w:hAnsi="Cambria Math"/>
              </w:rPr>
              <m:t>mod180°-90°</m:t>
            </m:r>
          </m:e>
        </m:d>
        <m:r>
          <m:rPr>
            <m:sty m:val="p"/>
          </m:rPr>
          <w:rPr>
            <w:rFonts w:ascii="Cambria Math" w:hAnsi="Cambria Math"/>
          </w:rPr>
          <m:t>.</m:t>
        </m:r>
      </m:oMath>
      <w:r w:rsidRPr="00A808D3">
        <w:tab/>
        <w:t>(8)</w:t>
      </w:r>
    </w:p>
    <w:p w14:paraId="2AC9F790" w14:textId="6DC01079" w:rsidR="00613D57" w:rsidRPr="00A808D3" w:rsidRDefault="000D7978">
      <w:pPr>
        <w:rPr>
          <w:lang w:eastAsia="zh-CN"/>
        </w:rPr>
      </w:pPr>
      <w:r w:rsidRPr="00A808D3">
        <w:rPr>
          <w:sz w:val="22"/>
          <w:lang w:eastAsia="zh-CN"/>
        </w:rPr>
        <w:t>该几何代理的边际分布只用于描述总体对齐，不被解释为排布方向与风况相互独立，更不用于识别岸线、航道、海缆或租区约束的因果作用。历史最优角在</w:t>
      </w:r>
      <w:r w:rsidRPr="00A808D3">
        <w:rPr>
          <w:sz w:val="22"/>
          <w:lang w:eastAsia="zh-CN"/>
        </w:rPr>
        <w:t xml:space="preserve"> 2014 </w:t>
      </w:r>
      <w:r w:rsidRPr="00A808D3">
        <w:rPr>
          <w:sz w:val="22"/>
          <w:lang w:eastAsia="zh-CN"/>
        </w:rPr>
        <w:t>至</w:t>
      </w:r>
      <w:r w:rsidRPr="00A808D3">
        <w:rPr>
          <w:sz w:val="22"/>
          <w:lang w:eastAsia="zh-CN"/>
        </w:rPr>
        <w:t xml:space="preserve"> 2024 </w:t>
      </w:r>
      <w:r w:rsidRPr="00A808D3">
        <w:rPr>
          <w:sz w:val="22"/>
          <w:lang w:eastAsia="zh-CN"/>
        </w:rPr>
        <w:t>年评价期前冻结，因此实际</w:t>
      </w:r>
      <w:r w:rsidRPr="00A808D3">
        <w:rPr>
          <w:sz w:val="22"/>
          <w:lang w:eastAsia="zh-CN"/>
        </w:rPr>
        <w:t xml:space="preserve"> </w:t>
      </w:r>
      <m:oMath>
        <m:r>
          <m:rPr>
            <m:sty m:val="p"/>
          </m:rPr>
          <w:rPr>
            <w:rFonts w:ascii="Cambria Math" w:hAnsi="Cambria Math"/>
            <w:lang w:eastAsia="zh-CN"/>
          </w:rPr>
          <m:t>G</m:t>
        </m:r>
      </m:oMath>
      <w:r w:rsidRPr="00A808D3">
        <w:rPr>
          <w:sz w:val="22"/>
          <w:lang w:eastAsia="zh-CN"/>
        </w:rPr>
        <w:t xml:space="preserve"> </w:t>
      </w:r>
      <w:r w:rsidRPr="00A808D3">
        <w:rPr>
          <w:sz w:val="22"/>
          <w:lang w:eastAsia="zh-CN"/>
        </w:rPr>
        <w:t>同时包含建成相位偏差与响应曲线的跨期漂移。本文分别报告二阶重构与年度</w:t>
      </w:r>
      <w:r w:rsidRPr="00A808D3">
        <w:rPr>
          <w:sz w:val="22"/>
          <w:lang w:eastAsia="zh-CN"/>
        </w:rPr>
        <w:t xml:space="preserve"> </w:t>
      </w:r>
      <m:oMath>
        <m:r>
          <m:rPr>
            <m:sty m:val="p"/>
          </m:rPr>
          <w:rPr>
            <w:rFonts w:ascii="Cambria Math" w:hAnsi="Cambria Math"/>
            <w:lang w:eastAsia="zh-CN"/>
          </w:rPr>
          <m:t>G</m:t>
        </m:r>
      </m:oMath>
      <w:r w:rsidRPr="00A808D3">
        <w:rPr>
          <w:sz w:val="22"/>
          <w:lang w:eastAsia="zh-CN"/>
        </w:rPr>
        <w:t xml:space="preserve"> </w:t>
      </w:r>
      <w:r w:rsidRPr="00A808D3">
        <w:rPr>
          <w:sz w:val="22"/>
          <w:lang w:eastAsia="zh-CN"/>
        </w:rPr>
        <w:t>的一致性、负增益比例与误差分布，以区分静态相位兑现与未来天气下的选角稳定性。</w:t>
      </w:r>
    </w:p>
    <w:p w14:paraId="212B2123" w14:textId="77777777" w:rsidR="00613D57" w:rsidRPr="00A808D3" w:rsidRDefault="000D7978">
      <w:pPr>
        <w:pStyle w:val="21"/>
        <w:rPr>
          <w:lang w:eastAsia="zh-CN"/>
        </w:rPr>
      </w:pPr>
      <w:r w:rsidRPr="00A808D3">
        <w:rPr>
          <w:rFonts w:ascii="Arial" w:eastAsia="黑体" w:hAnsi="Arial" w:cs="Times New Roman"/>
          <w:lang w:eastAsia="zh-CN"/>
        </w:rPr>
        <w:t xml:space="preserve">5.8 </w:t>
      </w:r>
      <w:r w:rsidRPr="00A808D3">
        <w:rPr>
          <w:rFonts w:ascii="Arial" w:eastAsia="黑体" w:hAnsi="Arial" w:cs="Times New Roman"/>
          <w:lang w:eastAsia="zh-CN"/>
        </w:rPr>
        <w:t>风速窗口机制诊断</w:t>
      </w:r>
    </w:p>
    <w:p w14:paraId="0EA2FCAE" w14:textId="778194E3" w:rsidR="00613D57" w:rsidRPr="00A808D3" w:rsidRDefault="000D7978">
      <w:pPr>
        <w:rPr>
          <w:lang w:eastAsia="zh-CN"/>
        </w:rPr>
      </w:pPr>
      <w:r w:rsidRPr="00A808D3">
        <w:rPr>
          <w:sz w:val="22"/>
          <w:lang w:eastAsia="zh-CN"/>
        </w:rPr>
        <w:t>对</w:t>
      </w:r>
      <w:r w:rsidRPr="00A808D3">
        <w:rPr>
          <w:sz w:val="22"/>
          <w:lang w:eastAsia="zh-CN"/>
        </w:rPr>
        <w:t xml:space="preserve"> 5 </w:t>
      </w:r>
      <w:r w:rsidRPr="00A808D3">
        <w:rPr>
          <w:sz w:val="22"/>
          <w:lang w:eastAsia="zh-CN"/>
        </w:rPr>
        <w:t>个逐场越线风场，以长期真实风向频率与场级</w:t>
      </w:r>
      <w:r w:rsidRPr="00A808D3">
        <w:rPr>
          <w:sz w:val="22"/>
          <w:lang w:eastAsia="zh-CN"/>
        </w:rPr>
        <w:t xml:space="preserve"> Weibull </w:t>
      </w:r>
      <w:r w:rsidRPr="00A808D3">
        <w:rPr>
          <w:sz w:val="22"/>
          <w:lang w:eastAsia="zh-CN"/>
        </w:rPr>
        <w:t>风速边际构造方向</w:t>
      </w:r>
      <w:r w:rsidRPr="00A808D3">
        <w:rPr>
          <w:sz w:val="22"/>
          <w:lang w:eastAsia="zh-CN"/>
        </w:rPr>
        <w:t>—</w:t>
      </w:r>
      <w:r w:rsidRPr="00A808D3">
        <w:rPr>
          <w:sz w:val="22"/>
          <w:lang w:eastAsia="zh-CN"/>
        </w:rPr>
        <w:t>风速权重，并将最优相位相对平均相位的可恢复能量分解至</w:t>
      </w:r>
      <w:r w:rsidRPr="00A808D3">
        <w:rPr>
          <w:sz w:val="22"/>
          <w:lang w:eastAsia="zh-CN"/>
        </w:rPr>
        <w:t xml:space="preserve"> 3 </w:t>
      </w:r>
      <w:r w:rsidRPr="00A808D3">
        <w:rPr>
          <w:sz w:val="22"/>
          <w:lang w:eastAsia="zh-CN"/>
        </w:rPr>
        <w:t>至</w:t>
      </w:r>
      <w:r w:rsidRPr="00A808D3">
        <w:rPr>
          <w:sz w:val="22"/>
          <w:lang w:eastAsia="zh-CN"/>
        </w:rPr>
        <w:t xml:space="preserve"> 6</w:t>
      </w:r>
      <w:r w:rsidRPr="00A808D3">
        <w:rPr>
          <w:sz w:val="22"/>
          <w:lang w:eastAsia="zh-CN"/>
        </w:rPr>
        <w:t>、</w:t>
      </w:r>
      <w:r w:rsidRPr="00A808D3">
        <w:rPr>
          <w:sz w:val="22"/>
          <w:lang w:eastAsia="zh-CN"/>
        </w:rPr>
        <w:t xml:space="preserve">7 </w:t>
      </w:r>
      <w:r w:rsidRPr="00A808D3">
        <w:rPr>
          <w:sz w:val="22"/>
          <w:lang w:eastAsia="zh-CN"/>
        </w:rPr>
        <w:t>至</w:t>
      </w:r>
      <w:r w:rsidRPr="00A808D3">
        <w:rPr>
          <w:sz w:val="22"/>
          <w:lang w:eastAsia="zh-CN"/>
        </w:rPr>
        <w:t xml:space="preserve"> 10</w:t>
      </w:r>
      <w:r w:rsidRPr="00A808D3">
        <w:rPr>
          <w:sz w:val="22"/>
          <w:lang w:eastAsia="zh-CN"/>
        </w:rPr>
        <w:t>、</w:t>
      </w:r>
      <w:r w:rsidRPr="00A808D3">
        <w:rPr>
          <w:sz w:val="22"/>
          <w:lang w:eastAsia="zh-CN"/>
        </w:rPr>
        <w:t xml:space="preserve">11 </w:t>
      </w:r>
      <w:r w:rsidRPr="00A808D3">
        <w:rPr>
          <w:sz w:val="22"/>
          <w:lang w:eastAsia="zh-CN"/>
        </w:rPr>
        <w:t>至</w:t>
      </w:r>
      <w:r w:rsidRPr="00A808D3">
        <w:rPr>
          <w:sz w:val="22"/>
          <w:lang w:eastAsia="zh-CN"/>
        </w:rPr>
        <w:t xml:space="preserve"> 14 </w:t>
      </w:r>
      <w:r w:rsidRPr="00A808D3">
        <w:rPr>
          <w:sz w:val="22"/>
          <w:lang w:eastAsia="zh-CN"/>
        </w:rPr>
        <w:t>与</w:t>
      </w:r>
      <w:r w:rsidRPr="00A808D3">
        <w:rPr>
          <w:sz w:val="22"/>
          <w:lang w:eastAsia="zh-CN"/>
        </w:rPr>
        <w:t xml:space="preserve"> 15 </w:t>
      </w:r>
      <w:r w:rsidRPr="00A808D3">
        <w:rPr>
          <w:sz w:val="22"/>
          <w:lang w:eastAsia="zh-CN"/>
        </w:rPr>
        <w:t>至</w:t>
      </w:r>
      <w:r w:rsidRPr="00A808D3">
        <w:rPr>
          <w:sz w:val="22"/>
          <w:lang w:eastAsia="zh-CN"/>
        </w:rPr>
        <w:t xml:space="preserve"> 25 m s⁻¹ </w:t>
      </w:r>
      <w:r w:rsidRPr="00A808D3">
        <w:rPr>
          <w:sz w:val="22"/>
          <w:lang w:eastAsia="zh-CN"/>
        </w:rPr>
        <w:t>风速区间（补充信息图</w:t>
      </w:r>
      <w:r w:rsidRPr="00A808D3">
        <w:rPr>
          <w:sz w:val="22"/>
          <w:lang w:eastAsia="zh-CN"/>
        </w:rPr>
        <w:t xml:space="preserve"> S3d</w:t>
      </w:r>
      <w:r w:rsidRPr="00A808D3">
        <w:rPr>
          <w:sz w:val="22"/>
          <w:lang w:eastAsia="zh-CN"/>
        </w:rPr>
        <w:t>）。由于该步骤独立组合风向频率与风速边际，不保留逐时风速</w:t>
      </w:r>
      <w:r w:rsidRPr="00A808D3">
        <w:rPr>
          <w:sz w:val="22"/>
          <w:lang w:eastAsia="zh-CN"/>
        </w:rPr>
        <w:t>—</w:t>
      </w:r>
      <w:r w:rsidRPr="00A808D3">
        <w:rPr>
          <w:sz w:val="22"/>
          <w:lang w:eastAsia="zh-CN"/>
        </w:rPr>
        <w:t>风向相关，因此只用于诊断功率曲线在哪个风速窗口完成能量转化；实际增益仍取逐时联合气象中的</w:t>
      </w:r>
      <w:r w:rsidRPr="00A808D3">
        <w:rPr>
          <w:sz w:val="22"/>
          <w:lang w:eastAsia="zh-CN"/>
        </w:rPr>
        <w:t xml:space="preserve"> </w:t>
      </w:r>
      <m:oMath>
        <m:r>
          <m:rPr>
            <m:sty m:val="p"/>
          </m:rPr>
          <w:rPr>
            <w:rFonts w:ascii="Cambria Math" w:hAnsi="Cambria Math"/>
            <w:lang w:eastAsia="zh-CN"/>
          </w:rPr>
          <m:t>G</m:t>
        </m:r>
      </m:oMath>
      <w:r w:rsidRPr="00A808D3">
        <w:rPr>
          <w:sz w:val="22"/>
          <w:lang w:eastAsia="zh-CN"/>
        </w:rPr>
        <w:t>。</w:t>
      </w:r>
    </w:p>
    <w:p w14:paraId="1DC46532" w14:textId="77777777" w:rsidR="00613D57" w:rsidRPr="00A808D3" w:rsidRDefault="000D7978">
      <w:pPr>
        <w:pStyle w:val="21"/>
        <w:rPr>
          <w:lang w:eastAsia="zh-CN"/>
        </w:rPr>
      </w:pPr>
      <w:r w:rsidRPr="00A808D3">
        <w:rPr>
          <w:rFonts w:ascii="Arial" w:eastAsia="黑体" w:hAnsi="Arial" w:cs="Times New Roman"/>
          <w:lang w:eastAsia="zh-CN"/>
        </w:rPr>
        <w:t xml:space="preserve">5.9 </w:t>
      </w:r>
      <w:r w:rsidRPr="00A808D3">
        <w:rPr>
          <w:rFonts w:ascii="Arial" w:eastAsia="黑体" w:hAnsi="Arial" w:cs="Times New Roman"/>
          <w:lang w:eastAsia="zh-CN"/>
        </w:rPr>
        <w:t>全球候选走廊投影与整组留出</w:t>
      </w:r>
    </w:p>
    <w:p w14:paraId="126AFBAB" w14:textId="42B63C39" w:rsidR="00613D57" w:rsidRPr="00A808D3" w:rsidRDefault="000D7978">
      <w:pPr>
        <w:rPr>
          <w:lang w:eastAsia="zh-CN"/>
        </w:rPr>
      </w:pPr>
      <w:r w:rsidRPr="00A808D3">
        <w:rPr>
          <w:sz w:val="22"/>
          <w:lang w:eastAsia="zh-CN"/>
        </w:rPr>
        <w:t>以</w:t>
      </w:r>
      <w:r w:rsidRPr="00A808D3">
        <w:rPr>
          <w:sz w:val="22"/>
          <w:lang w:eastAsia="zh-CN"/>
        </w:rPr>
        <w:t xml:space="preserve"> 167 </w:t>
      </w:r>
      <w:r w:rsidRPr="00A808D3">
        <w:rPr>
          <w:sz w:val="22"/>
          <w:lang w:eastAsia="zh-CN"/>
        </w:rPr>
        <w:t>个特征完整风场的</w:t>
      </w:r>
      <w:r w:rsidRPr="00A808D3">
        <w:rPr>
          <w:sz w:val="22"/>
          <w:lang w:eastAsia="zh-CN"/>
        </w:rPr>
        <w:t xml:space="preserve"> </w:t>
      </w:r>
      <m:oMath>
        <m:sSub>
          <m:sSubPr>
            <m:ctrlPr>
              <w:rPr>
                <w:rFonts w:ascii="Cambria Math" w:hAnsi="Cambria Math"/>
              </w:rPr>
            </m:ctrlPr>
          </m:sSubPr>
          <m:e>
            <m:r>
              <m:rPr>
                <m:sty m:val="p"/>
              </m:rPr>
              <w:rPr>
                <w:rFonts w:ascii="Cambria Math" w:hAnsi="Cambria Math"/>
                <w:lang w:eastAsia="zh-CN"/>
              </w:rPr>
              <m:t>A</m:t>
            </m:r>
          </m:e>
          <m:sub>
            <m:r>
              <m:rPr>
                <m:sty m:val="p"/>
              </m:rPr>
              <w:rPr>
                <w:rFonts w:ascii="Cambria Math" w:hAnsi="Cambria Math"/>
                <w:lang w:eastAsia="zh-CN"/>
              </w:rPr>
              <m:t>i</m:t>
            </m:r>
          </m:sub>
        </m:sSub>
      </m:oMath>
      <w:r w:rsidRPr="00A808D3">
        <w:rPr>
          <w:sz w:val="22"/>
          <w:lang w:eastAsia="zh-CN"/>
        </w:rPr>
        <w:t xml:space="preserve"> </w:t>
      </w:r>
      <w:r w:rsidRPr="00A808D3">
        <w:rPr>
          <w:sz w:val="22"/>
          <w:lang w:eastAsia="zh-CN"/>
        </w:rPr>
        <w:t>为目标，联合方向结构、风速分布、排布形态与方向尾流代理量构建空间筛选模型，并用五近邻反距离权重将风场级特征插值到</w:t>
      </w:r>
      <w:r w:rsidRPr="00A808D3">
        <w:rPr>
          <w:sz w:val="22"/>
          <w:lang w:eastAsia="zh-CN"/>
        </w:rPr>
        <w:t xml:space="preserve"> 1° </w:t>
      </w:r>
      <w:r w:rsidRPr="00A808D3">
        <w:rPr>
          <w:sz w:val="22"/>
          <w:lang w:eastAsia="zh-CN"/>
        </w:rPr>
        <w:t>海洋网格。地图只保留距离已知风场不超过</w:t>
      </w:r>
      <w:r w:rsidRPr="00A808D3">
        <w:rPr>
          <w:sz w:val="22"/>
          <w:lang w:eastAsia="zh-CN"/>
        </w:rPr>
        <w:t xml:space="preserve"> 500 km </w:t>
      </w:r>
      <w:r w:rsidRPr="00A808D3">
        <w:rPr>
          <w:sz w:val="22"/>
          <w:lang w:eastAsia="zh-CN"/>
        </w:rPr>
        <w:t>的海洋格点，避免把模型延伸到完全无观测支持的海域。鉴于外推模型压缩高值尾部，主图将网格预测转换为观测支持域内的优先度分位，而不把预测数值表述为项目可实现增益。</w:t>
      </w:r>
    </w:p>
    <w:p w14:paraId="2D45940E" w14:textId="3E02DDB5" w:rsidR="00613D57" w:rsidRPr="00A808D3" w:rsidRDefault="000D7978">
      <w:pPr>
        <w:rPr>
          <w:iCs/>
          <w:lang w:eastAsia="zh-CN"/>
        </w:rPr>
      </w:pPr>
      <w:r w:rsidRPr="00A808D3">
        <w:rPr>
          <w:sz w:val="22"/>
          <w:lang w:eastAsia="zh-CN"/>
        </w:rPr>
        <w:t>迁移能力通过两类整组留出评价。物理走廊整组留出每次整体排除湄公河、中国湾口、意大利或丹麦走廊；国家整组留出则每</w:t>
      </w:r>
      <w:r w:rsidRPr="00A808D3">
        <w:rPr>
          <w:iCs/>
          <w:sz w:val="22"/>
          <w:lang w:eastAsia="zh-CN"/>
        </w:rPr>
        <w:t>次排除一个国家。评价指标包括</w:t>
      </w:r>
      <w:r w:rsidRPr="00A808D3">
        <w:rPr>
          <w:iCs/>
          <w:sz w:val="22"/>
          <w:lang w:eastAsia="zh-CN"/>
        </w:rPr>
        <w:t xml:space="preserve"> Spearman </w:t>
      </w:r>
      <w:r w:rsidRPr="00A808D3">
        <w:rPr>
          <w:iCs/>
          <w:sz w:val="22"/>
          <w:lang w:eastAsia="zh-CN"/>
        </w:rPr>
        <w:t>秩相关、对</w:t>
      </w:r>
      <w:r w:rsidRPr="00A808D3">
        <w:rPr>
          <w:iCs/>
          <w:sz w:val="22"/>
          <w:lang w:eastAsia="zh-CN"/>
        </w:rPr>
        <w:t xml:space="preserve"> </w:t>
      </w:r>
      <m:oMath>
        <m:r>
          <m:rPr>
            <m:sty m:val="p"/>
          </m:rPr>
          <w:rPr>
            <w:rFonts w:ascii="Cambria Math" w:hAnsi="Cambria Math"/>
            <w:lang w:eastAsia="zh-CN"/>
          </w:rPr>
          <m:t>A</m:t>
        </m:r>
      </m:oMath>
      <w:r w:rsidRPr="00A808D3">
        <w:rPr>
          <w:iCs/>
          <w:sz w:val="22"/>
          <w:lang w:eastAsia="zh-CN"/>
        </w:rPr>
        <w:t xml:space="preserve"> &gt; 2% </w:t>
      </w:r>
      <w:r w:rsidRPr="00A808D3">
        <w:rPr>
          <w:iCs/>
          <w:sz w:val="22"/>
          <w:lang w:eastAsia="zh-CN"/>
        </w:rPr>
        <w:t>与</w:t>
      </w:r>
      <w:r w:rsidRPr="00A808D3">
        <w:rPr>
          <w:iCs/>
          <w:sz w:val="22"/>
          <w:lang w:eastAsia="zh-CN"/>
        </w:rPr>
        <w:t xml:space="preserve"> </w:t>
      </w:r>
      <m:oMath>
        <m:r>
          <m:rPr>
            <m:sty m:val="p"/>
          </m:rPr>
          <w:rPr>
            <w:rFonts w:ascii="Cambria Math" w:hAnsi="Cambria Math"/>
            <w:lang w:eastAsia="zh-CN"/>
          </w:rPr>
          <m:t>A</m:t>
        </m:r>
      </m:oMath>
      <w:r w:rsidRPr="00A808D3">
        <w:rPr>
          <w:iCs/>
          <w:sz w:val="22"/>
          <w:lang w:eastAsia="zh-CN"/>
        </w:rPr>
        <w:t xml:space="preserve"> &gt; 5.2% </w:t>
      </w:r>
      <w:r w:rsidRPr="00A808D3">
        <w:rPr>
          <w:iCs/>
          <w:sz w:val="22"/>
          <w:lang w:eastAsia="zh-CN"/>
        </w:rPr>
        <w:t>的曲线下面积、预测前四分位对观测前四分位的捕获率以及幅度决定系数。秩相</w:t>
      </w:r>
      <w:r w:rsidRPr="00A808D3">
        <w:rPr>
          <w:iCs/>
          <w:sz w:val="22"/>
          <w:lang w:eastAsia="zh-CN"/>
        </w:rPr>
        <w:lastRenderedPageBreak/>
        <w:t>关与曲线下面积评价走廊识别，决定系数只用于判断预测百分比能否直接解释为幅度（补充信息表</w:t>
      </w:r>
      <w:r w:rsidRPr="00A808D3">
        <w:rPr>
          <w:iCs/>
          <w:sz w:val="22"/>
          <w:lang w:eastAsia="zh-CN"/>
        </w:rPr>
        <w:t xml:space="preserve"> S10</w:t>
      </w:r>
      <w:r w:rsidRPr="00A808D3">
        <w:rPr>
          <w:iCs/>
          <w:sz w:val="22"/>
          <w:lang w:eastAsia="zh-CN"/>
        </w:rPr>
        <w:t>）。</w:t>
      </w:r>
    </w:p>
    <w:p w14:paraId="614DBB1F" w14:textId="77777777" w:rsidR="007F1974" w:rsidRPr="000C07B0" w:rsidRDefault="00000000">
      <w:pPr>
        <w:rPr>
          <w:iCs/>
          <w:lang w:eastAsia="zh-CN"/>
        </w:rPr>
      </w:pPr>
      <w:r w:rsidRPr="000C07B0">
        <w:rPr>
          <w:iCs/>
          <w:lang w:eastAsia="zh-CN"/>
        </w:rPr>
        <w:t>筛查工作点取预测排序的前四分之一，与观测高响应场址的样本份额相当，便于在同一选取比例下比较召回率。</w:t>
      </w:r>
    </w:p>
    <w:p w14:paraId="7E106C86" w14:textId="77777777" w:rsidR="00613D57" w:rsidRPr="00A808D3" w:rsidRDefault="000D7978">
      <w:pPr>
        <w:pStyle w:val="21"/>
        <w:rPr>
          <w:bCs w:val="0"/>
          <w:iCs/>
          <w:lang w:eastAsia="zh-CN"/>
        </w:rPr>
      </w:pPr>
      <w:r w:rsidRPr="00A808D3">
        <w:rPr>
          <w:rFonts w:ascii="Arial" w:eastAsia="黑体" w:hAnsi="Arial"/>
          <w:bCs w:val="0"/>
          <w:iCs/>
          <w:lang w:eastAsia="zh-CN"/>
        </w:rPr>
        <w:t xml:space="preserve">5.10 </w:t>
      </w:r>
      <w:r w:rsidRPr="00A808D3">
        <w:rPr>
          <w:rFonts w:ascii="Arial" w:eastAsia="黑体" w:hAnsi="Arial"/>
          <w:bCs w:val="0"/>
          <w:iCs/>
          <w:lang w:eastAsia="zh-CN"/>
        </w:rPr>
        <w:t>项目级平行反事实设计情景</w:t>
      </w:r>
    </w:p>
    <w:p w14:paraId="57204FD5" w14:textId="77777777" w:rsidR="00613D57" w:rsidRPr="00A808D3" w:rsidRDefault="000D7978">
      <w:pPr>
        <w:rPr>
          <w:bCs/>
          <w:iCs/>
          <w:lang w:eastAsia="zh-CN"/>
        </w:rPr>
      </w:pPr>
      <w:r w:rsidRPr="00A808D3">
        <w:rPr>
          <w:bCs/>
          <w:iCs/>
          <w:lang w:eastAsia="zh-CN"/>
        </w:rPr>
        <w:t>项目级分析纳入机组数不少于</w:t>
      </w:r>
      <w:r w:rsidRPr="00A808D3">
        <w:rPr>
          <w:bCs/>
          <w:iCs/>
          <w:lang w:eastAsia="zh-CN"/>
        </w:rPr>
        <w:t xml:space="preserve"> 10 </w:t>
      </w:r>
      <w:r w:rsidRPr="00A808D3">
        <w:rPr>
          <w:bCs/>
          <w:iCs/>
          <w:lang w:eastAsia="zh-CN"/>
        </w:rPr>
        <w:t>的</w:t>
      </w:r>
      <w:r w:rsidRPr="00A808D3">
        <w:rPr>
          <w:bCs/>
          <w:iCs/>
          <w:lang w:eastAsia="zh-CN"/>
        </w:rPr>
        <w:t xml:space="preserve"> 155 </w:t>
      </w:r>
      <w:r w:rsidRPr="00A808D3">
        <w:rPr>
          <w:bCs/>
          <w:iCs/>
          <w:lang w:eastAsia="zh-CN"/>
        </w:rPr>
        <w:t>个已建项目，以统一</w:t>
      </w:r>
      <w:r w:rsidRPr="00A808D3">
        <w:rPr>
          <w:bCs/>
          <w:iCs/>
          <w:lang w:eastAsia="zh-CN"/>
        </w:rPr>
        <w:t xml:space="preserve"> IEA 10 MW </w:t>
      </w:r>
      <w:r w:rsidRPr="00A808D3">
        <w:rPr>
          <w:bCs/>
          <w:iCs/>
          <w:lang w:eastAsia="zh-CN"/>
        </w:rPr>
        <w:t>机型计算并按项目机组数换算容量，总覆盖</w:t>
      </w:r>
      <w:r w:rsidRPr="00A808D3">
        <w:rPr>
          <w:bCs/>
          <w:iCs/>
          <w:lang w:eastAsia="zh-CN"/>
        </w:rPr>
        <w:t xml:space="preserve"> 149.2 GW</w:t>
      </w:r>
      <w:r w:rsidRPr="00A808D3">
        <w:rPr>
          <w:bCs/>
          <w:iCs/>
          <w:lang w:eastAsia="zh-CN"/>
        </w:rPr>
        <w:t>。三类情景均以建成排布在</w:t>
      </w:r>
      <w:r w:rsidRPr="00A808D3">
        <w:rPr>
          <w:bCs/>
          <w:iCs/>
          <w:lang w:eastAsia="zh-CN"/>
        </w:rPr>
        <w:t xml:space="preserve"> 0° </w:t>
      </w:r>
      <w:r w:rsidRPr="00A808D3">
        <w:rPr>
          <w:bCs/>
          <w:iCs/>
          <w:lang w:eastAsia="zh-CN"/>
        </w:rPr>
        <w:t>基线的年发电量为参照，使用</w:t>
      </w:r>
      <w:r w:rsidRPr="00A808D3">
        <w:rPr>
          <w:bCs/>
          <w:iCs/>
          <w:lang w:eastAsia="zh-CN"/>
        </w:rPr>
        <w:t xml:space="preserve"> 2014 </w:t>
      </w:r>
      <w:r w:rsidRPr="00A808D3">
        <w:rPr>
          <w:bCs/>
          <w:iCs/>
          <w:lang w:eastAsia="zh-CN"/>
        </w:rPr>
        <w:t>至</w:t>
      </w:r>
      <w:r w:rsidRPr="00A808D3">
        <w:rPr>
          <w:bCs/>
          <w:iCs/>
          <w:lang w:eastAsia="zh-CN"/>
        </w:rPr>
        <w:t xml:space="preserve"> 2019 </w:t>
      </w:r>
      <w:r w:rsidRPr="00A808D3">
        <w:rPr>
          <w:bCs/>
          <w:iCs/>
          <w:lang w:eastAsia="zh-CN"/>
        </w:rPr>
        <w:t>年选择最优朝向，并在</w:t>
      </w:r>
      <w:r w:rsidRPr="00A808D3">
        <w:rPr>
          <w:bCs/>
          <w:iCs/>
          <w:lang w:eastAsia="zh-CN"/>
        </w:rPr>
        <w:t xml:space="preserve"> 2020 </w:t>
      </w:r>
      <w:r w:rsidRPr="00A808D3">
        <w:rPr>
          <w:bCs/>
          <w:iCs/>
          <w:lang w:eastAsia="zh-CN"/>
        </w:rPr>
        <w:t>至</w:t>
      </w:r>
      <w:r w:rsidRPr="00A808D3">
        <w:rPr>
          <w:bCs/>
          <w:iCs/>
          <w:lang w:eastAsia="zh-CN"/>
        </w:rPr>
        <w:t xml:space="preserve"> 2024 </w:t>
      </w:r>
      <w:r w:rsidRPr="00A808D3">
        <w:rPr>
          <w:bCs/>
          <w:iCs/>
          <w:lang w:eastAsia="zh-CN"/>
        </w:rPr>
        <w:t>年逐年样本外评价（补充信息表</w:t>
      </w:r>
      <w:r w:rsidRPr="00A808D3">
        <w:rPr>
          <w:bCs/>
          <w:iCs/>
          <w:lang w:eastAsia="zh-CN"/>
        </w:rPr>
        <w:t xml:space="preserve"> S11</w:t>
      </w:r>
      <w:r w:rsidRPr="00A808D3">
        <w:rPr>
          <w:bCs/>
          <w:iCs/>
          <w:lang w:eastAsia="zh-CN"/>
        </w:rPr>
        <w:t>、</w:t>
      </w:r>
      <w:r w:rsidRPr="00A808D3">
        <w:rPr>
          <w:bCs/>
          <w:iCs/>
          <w:lang w:eastAsia="zh-CN"/>
        </w:rPr>
        <w:t>S12</w:t>
      </w:r>
      <w:r w:rsidRPr="00A808D3">
        <w:rPr>
          <w:bCs/>
          <w:iCs/>
          <w:lang w:eastAsia="zh-CN"/>
        </w:rPr>
        <w:t>）。</w:t>
      </w:r>
    </w:p>
    <w:p w14:paraId="0DA381AA" w14:textId="1E0D556B" w:rsidR="00613D57" w:rsidRPr="00A808D3" w:rsidRDefault="00000000">
      <w:pPr>
        <w:rPr>
          <w:bCs/>
          <w:iCs/>
          <w:lang w:eastAsia="zh-CN"/>
        </w:rPr>
      </w:pP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1</m:t>
            </m:r>
          </m:sub>
        </m:sSub>
      </m:oMath>
      <w:r w:rsidR="000D7978" w:rsidRPr="00A808D3">
        <w:rPr>
          <w:bCs/>
          <w:iCs/>
          <w:sz w:val="22"/>
          <w:lang w:eastAsia="zh-CN"/>
        </w:rPr>
        <w:t xml:space="preserve"> </w:t>
      </w:r>
      <w:r w:rsidR="000D7978" w:rsidRPr="00A808D3">
        <w:rPr>
          <w:bCs/>
          <w:iCs/>
          <w:sz w:val="22"/>
          <w:lang w:eastAsia="zh-CN"/>
        </w:rPr>
        <w:t>保持真实机位、机组数量与两两距离不变，仅在</w:t>
      </w:r>
      <w:r w:rsidR="000D7978" w:rsidRPr="00A808D3">
        <w:rPr>
          <w:bCs/>
          <w:iCs/>
          <w:sz w:val="22"/>
          <w:lang w:eastAsia="zh-CN"/>
        </w:rPr>
        <w:t xml:space="preserve"> 72 </w:t>
      </w:r>
      <w:r w:rsidR="000D7978" w:rsidRPr="00A808D3">
        <w:rPr>
          <w:bCs/>
          <w:iCs/>
          <w:sz w:val="22"/>
          <w:lang w:eastAsia="zh-CN"/>
        </w:rPr>
        <w:t>个</w:t>
      </w:r>
      <w:r w:rsidR="000D7978" w:rsidRPr="00A808D3">
        <w:rPr>
          <w:bCs/>
          <w:iCs/>
          <w:sz w:val="22"/>
          <w:lang w:eastAsia="zh-CN"/>
        </w:rPr>
        <w:t xml:space="preserve"> 5° </w:t>
      </w:r>
      <w:r w:rsidR="000D7978" w:rsidRPr="00A808D3">
        <w:rPr>
          <w:bCs/>
          <w:iCs/>
          <w:sz w:val="22"/>
          <w:lang w:eastAsia="zh-CN"/>
        </w:rPr>
        <w:t>间隔的刚性旋转角中选择历史期最优角。</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2</m:t>
            </m:r>
          </m:sub>
        </m:sSub>
      </m:oMath>
      <w:r w:rsidR="000D7978" w:rsidRPr="00A808D3">
        <w:rPr>
          <w:bCs/>
          <w:iCs/>
          <w:sz w:val="22"/>
          <w:lang w:eastAsia="zh-CN"/>
        </w:rPr>
        <w:t xml:space="preserve"> </w:t>
      </w:r>
      <w:r w:rsidR="000D7978" w:rsidRPr="00A808D3">
        <w:rPr>
          <w:bCs/>
          <w:iCs/>
          <w:sz w:val="22"/>
          <w:lang w:eastAsia="zh-CN"/>
        </w:rPr>
        <w:t>把真实排布替换为与其形态与间距类别匹配的</w:t>
      </w:r>
      <w:r w:rsidR="000D7978" w:rsidRPr="00A808D3">
        <w:rPr>
          <w:bCs/>
          <w:iCs/>
          <w:sz w:val="22"/>
          <w:lang w:eastAsia="zh-CN"/>
        </w:rPr>
        <w:t xml:space="preserve"> 64 </w:t>
      </w:r>
      <w:r w:rsidR="000D7978" w:rsidRPr="00A808D3">
        <w:rPr>
          <w:bCs/>
          <w:iCs/>
          <w:sz w:val="22"/>
          <w:lang w:eastAsia="zh-CN"/>
        </w:rPr>
        <w:t>机位标准模板（补充信息图</w:t>
      </w:r>
      <w:r w:rsidR="000D7978" w:rsidRPr="00A808D3">
        <w:rPr>
          <w:bCs/>
          <w:iCs/>
          <w:sz w:val="22"/>
          <w:lang w:eastAsia="zh-CN"/>
        </w:rPr>
        <w:t xml:space="preserve"> S1</w:t>
      </w:r>
      <w:r w:rsidR="000D7978" w:rsidRPr="00A808D3">
        <w:rPr>
          <w:bCs/>
          <w:iCs/>
          <w:sz w:val="22"/>
          <w:lang w:eastAsia="zh-CN"/>
        </w:rPr>
        <w:t>、表</w:t>
      </w:r>
      <w:r w:rsidR="000D7978" w:rsidRPr="00A808D3">
        <w:rPr>
          <w:bCs/>
          <w:iCs/>
          <w:sz w:val="22"/>
          <w:lang w:eastAsia="zh-CN"/>
        </w:rPr>
        <w:t xml:space="preserve"> S6</w:t>
      </w:r>
      <w:r w:rsidR="000D7978" w:rsidRPr="00A808D3">
        <w:rPr>
          <w:bCs/>
          <w:iCs/>
          <w:sz w:val="22"/>
          <w:lang w:eastAsia="zh-CN"/>
        </w:rPr>
        <w:t>），再优化模板朝向。</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3</m:t>
            </m:r>
          </m:sub>
        </m:sSub>
      </m:oMath>
      <w:r w:rsidR="000D7978" w:rsidRPr="00A808D3">
        <w:rPr>
          <w:bCs/>
          <w:iCs/>
          <w:sz w:val="22"/>
          <w:lang w:eastAsia="zh-CN"/>
        </w:rPr>
        <w:t xml:space="preserve"> </w:t>
      </w:r>
      <w:r w:rsidR="000D7978" w:rsidRPr="00A808D3">
        <w:rPr>
          <w:bCs/>
          <w:iCs/>
          <w:sz w:val="22"/>
          <w:lang w:eastAsia="zh-CN"/>
        </w:rPr>
        <w:t>在六种标准模板及其全部朝向中选择年发电量最高的组合。模板结果按每台机组年发电量归一化后，以项目统一容量口径换算为</w:t>
      </w:r>
      <w:r w:rsidR="000D7978" w:rsidRPr="00A808D3">
        <w:rPr>
          <w:bCs/>
          <w:iCs/>
          <w:sz w:val="22"/>
          <w:lang w:eastAsia="zh-CN"/>
        </w:rPr>
        <w:t xml:space="preserve"> GWh yr⁻¹</w:t>
      </w:r>
      <w:r w:rsidR="000D7978" w:rsidRPr="00A808D3">
        <w:rPr>
          <w:bCs/>
          <w:iCs/>
          <w:sz w:val="22"/>
          <w:lang w:eastAsia="zh-CN"/>
        </w:rPr>
        <w:t>。项目级情景采用</w:t>
      </w:r>
      <w:r w:rsidR="000D7978" w:rsidRPr="00A808D3">
        <w:rPr>
          <w:bCs/>
          <w:iCs/>
          <w:sz w:val="22"/>
          <w:lang w:eastAsia="zh-CN"/>
        </w:rPr>
        <w:t xml:space="preserve"> 5° </w:t>
      </w:r>
      <w:r w:rsidR="000D7978" w:rsidRPr="00A808D3">
        <w:rPr>
          <w:bCs/>
          <w:iCs/>
          <w:sz w:val="22"/>
          <w:lang w:eastAsia="zh-CN"/>
        </w:rPr>
        <w:t>角度分辨率，而</w:t>
      </w:r>
      <w:r w:rsidR="000D7978" w:rsidRPr="00A808D3">
        <w:rPr>
          <w:bCs/>
          <w:iCs/>
          <w:sz w:val="22"/>
          <w:lang w:eastAsia="zh-CN"/>
        </w:rPr>
        <w:t xml:space="preserve"> 5.2 </w:t>
      </w:r>
      <w:r w:rsidR="000D7978" w:rsidRPr="00A808D3">
        <w:rPr>
          <w:bCs/>
          <w:iCs/>
          <w:sz w:val="22"/>
          <w:lang w:eastAsia="zh-CN"/>
        </w:rPr>
        <w:t>与</w:t>
      </w:r>
      <w:r w:rsidR="000D7978" w:rsidRPr="00A808D3">
        <w:rPr>
          <w:bCs/>
          <w:iCs/>
          <w:sz w:val="22"/>
          <w:lang w:eastAsia="zh-CN"/>
        </w:rPr>
        <w:t xml:space="preserve"> 5.4 </w:t>
      </w:r>
      <w:r w:rsidR="000D7978" w:rsidRPr="00A808D3">
        <w:rPr>
          <w:bCs/>
          <w:iCs/>
          <w:sz w:val="22"/>
          <w:lang w:eastAsia="zh-CN"/>
        </w:rPr>
        <w:t>节的场级扫描采用</w:t>
      </w:r>
      <w:r w:rsidR="000D7978" w:rsidRPr="00A808D3">
        <w:rPr>
          <w:bCs/>
          <w:iCs/>
          <w:sz w:val="22"/>
          <w:lang w:eastAsia="zh-CN"/>
        </w:rPr>
        <w:t xml:space="preserve"> 10° </w:t>
      </w:r>
      <w:r w:rsidR="000D7978" w:rsidRPr="00A808D3">
        <w:rPr>
          <w:bCs/>
          <w:iCs/>
          <w:sz w:val="22"/>
          <w:lang w:eastAsia="zh-CN"/>
        </w:rPr>
        <w:t>步长：前者需要在少量项目上逼近可实施的最优朝向，后者需要在</w:t>
      </w:r>
      <w:r w:rsidR="000D7978" w:rsidRPr="00A808D3">
        <w:rPr>
          <w:bCs/>
          <w:iCs/>
          <w:sz w:val="22"/>
          <w:lang w:eastAsia="zh-CN"/>
        </w:rPr>
        <w:t xml:space="preserve"> 171 </w:t>
      </w:r>
      <w:r w:rsidR="000D7978" w:rsidRPr="00A808D3">
        <w:rPr>
          <w:bCs/>
          <w:iCs/>
          <w:sz w:val="22"/>
          <w:lang w:eastAsia="zh-CN"/>
        </w:rPr>
        <w:t>个风场与六种范式的全组合上保持计算可行，且</w:t>
      </w:r>
      <w:r w:rsidR="000D7978" w:rsidRPr="00A808D3">
        <w:rPr>
          <w:bCs/>
          <w:iCs/>
          <w:sz w:val="22"/>
          <w:lang w:eastAsia="zh-CN"/>
        </w:rPr>
        <w:t xml:space="preserve"> 10° </w:t>
      </w:r>
      <w:r w:rsidR="000D7978" w:rsidRPr="00A808D3">
        <w:rPr>
          <w:bCs/>
          <w:iCs/>
          <w:sz w:val="22"/>
          <w:lang w:eastAsia="zh-CN"/>
        </w:rPr>
        <w:t>分辨率对</w:t>
      </w:r>
      <w:r w:rsidR="000D7978" w:rsidRPr="00A808D3">
        <w:rPr>
          <w:bCs/>
          <w:iCs/>
          <w:sz w:val="22"/>
          <w:lang w:eastAsia="zh-CN"/>
        </w:rPr>
        <w:t xml:space="preserve"> 180° </w:t>
      </w:r>
      <w:r w:rsidR="000D7978" w:rsidRPr="00A808D3">
        <w:rPr>
          <w:bCs/>
          <w:iCs/>
          <w:sz w:val="22"/>
          <w:lang w:eastAsia="zh-CN"/>
        </w:rPr>
        <w:t>周期的二阶响应已足以定位峰值相位。模板替换下的项目级朝向价值见补充信息表</w:t>
      </w:r>
      <w:r w:rsidR="000D7978" w:rsidRPr="00A808D3">
        <w:rPr>
          <w:bCs/>
          <w:iCs/>
          <w:sz w:val="22"/>
          <w:lang w:eastAsia="zh-CN"/>
        </w:rPr>
        <w:t xml:space="preserve"> S18</w:t>
      </w:r>
      <w:r w:rsidR="000D7978" w:rsidRPr="00A808D3">
        <w:rPr>
          <w:bCs/>
          <w:iCs/>
          <w:sz w:val="22"/>
          <w:lang w:eastAsia="zh-CN"/>
        </w:rPr>
        <w:t>。</w:t>
      </w:r>
    </w:p>
    <w:p w14:paraId="54B1FDB8" w14:textId="3373179B" w:rsidR="00613D57" w:rsidRPr="00A808D3" w:rsidRDefault="00000000">
      <w:pPr>
        <w:rPr>
          <w:bCs/>
          <w:iCs/>
          <w:lang w:eastAsia="zh-CN"/>
        </w:rPr>
      </w:pP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1</m:t>
            </m:r>
          </m:sub>
        </m:sSub>
      </m:oMath>
      <w:r w:rsidR="000D7978" w:rsidRPr="00A808D3">
        <w:rPr>
          <w:bCs/>
          <w:iCs/>
          <w:sz w:val="22"/>
          <w:lang w:eastAsia="zh-CN"/>
        </w:rPr>
        <w:t>、</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2</m:t>
            </m:r>
          </m:sub>
        </m:sSub>
      </m:oMath>
      <w:r w:rsidR="000D7978" w:rsidRPr="00A808D3">
        <w:rPr>
          <w:bCs/>
          <w:iCs/>
          <w:sz w:val="22"/>
          <w:lang w:eastAsia="zh-CN"/>
        </w:rPr>
        <w:t xml:space="preserve"> </w:t>
      </w:r>
      <w:r w:rsidR="000D7978" w:rsidRPr="00A808D3">
        <w:rPr>
          <w:bCs/>
          <w:iCs/>
          <w:sz w:val="22"/>
          <w:lang w:eastAsia="zh-CN"/>
        </w:rPr>
        <w:t>与</w:t>
      </w:r>
      <w:r w:rsidR="000D7978" w:rsidRPr="00A808D3">
        <w:rPr>
          <w:bCs/>
          <w:iCs/>
          <w:sz w:val="22"/>
          <w:lang w:eastAsia="zh-CN"/>
        </w:rPr>
        <w:t xml:space="preserve"> </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3</m:t>
            </m:r>
          </m:sub>
        </m:sSub>
      </m:oMath>
      <w:r w:rsidR="000D7978" w:rsidRPr="00A808D3">
        <w:rPr>
          <w:bCs/>
          <w:iCs/>
          <w:sz w:val="22"/>
          <w:lang w:eastAsia="zh-CN"/>
        </w:rPr>
        <w:t xml:space="preserve"> </w:t>
      </w:r>
      <w:r w:rsidR="000D7978" w:rsidRPr="00A808D3">
        <w:rPr>
          <w:bCs/>
          <w:iCs/>
          <w:sz w:val="22"/>
          <w:lang w:eastAsia="zh-CN"/>
        </w:rPr>
        <w:t>是相对同一建成基线的平行、非嵌套反事实。</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2</m:t>
            </m:r>
          </m:sub>
        </m:sSub>
      </m:oMath>
      <w:r w:rsidR="000D7978" w:rsidRPr="00A808D3">
        <w:rPr>
          <w:bCs/>
          <w:iCs/>
          <w:sz w:val="22"/>
          <w:lang w:eastAsia="zh-CN"/>
        </w:rPr>
        <w:t xml:space="preserve"> </w:t>
      </w:r>
      <w:r w:rsidR="000D7978" w:rsidRPr="00A808D3">
        <w:rPr>
          <w:bCs/>
          <w:iCs/>
          <w:sz w:val="22"/>
          <w:lang w:eastAsia="zh-CN"/>
        </w:rPr>
        <w:t>与</w:t>
      </w:r>
      <w:r w:rsidR="000D7978" w:rsidRPr="00A808D3">
        <w:rPr>
          <w:bCs/>
          <w:iCs/>
          <w:sz w:val="22"/>
          <w:lang w:eastAsia="zh-CN"/>
        </w:rPr>
        <w:t xml:space="preserve"> </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3</m:t>
            </m:r>
          </m:sub>
        </m:sSub>
      </m:oMath>
      <w:r w:rsidR="000D7978" w:rsidRPr="00A808D3">
        <w:rPr>
          <w:bCs/>
          <w:iCs/>
          <w:sz w:val="22"/>
          <w:lang w:eastAsia="zh-CN"/>
        </w:rPr>
        <w:t xml:space="preserve"> </w:t>
      </w:r>
      <w:r w:rsidR="000D7978" w:rsidRPr="00A808D3">
        <w:rPr>
          <w:bCs/>
          <w:iCs/>
          <w:sz w:val="22"/>
          <w:lang w:eastAsia="zh-CN"/>
        </w:rPr>
        <w:t>的候选集中不必包含真实排布或</w:t>
      </w:r>
      <w:r w:rsidR="000D7978" w:rsidRPr="00A808D3">
        <w:rPr>
          <w:bCs/>
          <w:iCs/>
          <w:sz w:val="22"/>
          <w:lang w:eastAsia="zh-CN"/>
        </w:rPr>
        <w:t xml:space="preserve"> </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1</m:t>
            </m:r>
          </m:sub>
        </m:sSub>
      </m:oMath>
      <w:r w:rsidR="000D7978" w:rsidRPr="00A808D3">
        <w:rPr>
          <w:bCs/>
          <w:iCs/>
          <w:sz w:val="22"/>
          <w:lang w:eastAsia="zh-CN"/>
        </w:rPr>
        <w:t xml:space="preserve"> </w:t>
      </w:r>
      <w:r w:rsidR="000D7978" w:rsidRPr="00A808D3">
        <w:rPr>
          <w:bCs/>
          <w:iCs/>
          <w:sz w:val="22"/>
          <w:lang w:eastAsia="zh-CN"/>
        </w:rPr>
        <w:t>解，因此相对建成基线可以为负；这些结果称为发电变化，而不预设为可避免损失。</w:t>
      </w:r>
      <m:oMath>
        <m:sSub>
          <m:sSubPr>
            <m:ctrlPr>
              <w:rPr>
                <w:rFonts w:ascii="Cambria Math" w:hAnsi="Cambria Math"/>
                <w:bCs/>
                <w:iCs/>
              </w:rPr>
            </m:ctrlPr>
          </m:sSubPr>
          <m:e>
            <m:r>
              <m:rPr>
                <m:sty m:val="p"/>
              </m:rPr>
              <w:rPr>
                <w:rFonts w:ascii="Cambria Math" w:hAnsi="Cambria Math"/>
                <w:lang w:eastAsia="zh-CN"/>
              </w:rPr>
              <m:t>S</m:t>
            </m:r>
          </m:e>
          <m:sub>
            <m:r>
              <m:rPr>
                <m:sty m:val="p"/>
              </m:rPr>
              <w:rPr>
                <w:rFonts w:ascii="Cambria Math" w:hAnsi="Cambria Math"/>
                <w:lang w:eastAsia="zh-CN"/>
              </w:rPr>
              <m:t>3</m:t>
            </m:r>
          </m:sub>
        </m:sSub>
      </m:oMath>
      <w:r w:rsidR="000D7978" w:rsidRPr="00A808D3">
        <w:rPr>
          <w:bCs/>
          <w:iCs/>
          <w:sz w:val="22"/>
          <w:lang w:eastAsia="zh-CN"/>
        </w:rPr>
        <w:t xml:space="preserve"> </w:t>
      </w:r>
      <w:r w:rsidR="000D7978" w:rsidRPr="00A808D3">
        <w:rPr>
          <w:bCs/>
          <w:iCs/>
          <w:sz w:val="22"/>
          <w:lang w:eastAsia="zh-CN"/>
        </w:rPr>
        <w:t>未显式施加租区面积、海缆、排除区与成本约束，解释为标准模板库内的无约束上界。</w:t>
      </w:r>
    </w:p>
    <w:p w14:paraId="4B5F6711" w14:textId="77777777" w:rsidR="007F1974" w:rsidRPr="00A808D3" w:rsidRDefault="00000000">
      <w:pPr>
        <w:rPr>
          <w:bCs/>
          <w:iCs/>
          <w:lang w:eastAsia="zh-CN"/>
        </w:rPr>
      </w:pPr>
      <w:r w:rsidRPr="00A808D3">
        <w:rPr>
          <w:bCs/>
          <w:iCs/>
          <w:lang w:eastAsia="zh-CN"/>
        </w:rPr>
        <w:t>六种标准化建设范式为覆盖真实海上风电排布跨度的机位模板，按最小间距自</w:t>
      </w:r>
      <w:r w:rsidRPr="00A808D3">
        <w:rPr>
          <w:bCs/>
          <w:iCs/>
          <w:lang w:eastAsia="zh-CN"/>
        </w:rPr>
        <w:t xml:space="preserve"> 3.3 </w:t>
      </w:r>
      <w:r w:rsidRPr="00A808D3">
        <w:rPr>
          <w:bCs/>
          <w:iCs/>
          <w:lang w:eastAsia="zh-CN"/>
        </w:rPr>
        <w:t>倍转子直径至</w:t>
      </w:r>
      <w:r w:rsidRPr="00A808D3">
        <w:rPr>
          <w:bCs/>
          <w:iCs/>
          <w:lang w:eastAsia="zh-CN"/>
        </w:rPr>
        <w:t xml:space="preserve"> 11.8 </w:t>
      </w:r>
      <w:r w:rsidRPr="00A808D3">
        <w:rPr>
          <w:bCs/>
          <w:iCs/>
          <w:lang w:eastAsia="zh-CN"/>
        </w:rPr>
        <w:t>倍转子直径排列，分别记为密集、密集</w:t>
      </w:r>
      <w:r w:rsidRPr="00A808D3">
        <w:rPr>
          <w:bCs/>
          <w:iCs/>
          <w:lang w:eastAsia="zh-CN"/>
        </w:rPr>
        <w:t xml:space="preserve"> 45°</w:t>
      </w:r>
      <w:r w:rsidRPr="00A808D3">
        <w:rPr>
          <w:bCs/>
          <w:iCs/>
          <w:lang w:eastAsia="zh-CN"/>
        </w:rPr>
        <w:t>、紧凑、错列、对齐与稀疏。项目级分析要求机组数不少于</w:t>
      </w:r>
      <w:r w:rsidRPr="00A808D3">
        <w:rPr>
          <w:bCs/>
          <w:iCs/>
          <w:lang w:eastAsia="zh-CN"/>
        </w:rPr>
        <w:t xml:space="preserve"> 10</w:t>
      </w:r>
      <w:r w:rsidRPr="00A808D3">
        <w:rPr>
          <w:bCs/>
          <w:iCs/>
          <w:lang w:eastAsia="zh-CN"/>
        </w:rPr>
        <w:t>，因为机组更少的项目排布几何不稳定，与</w:t>
      </w:r>
      <w:r w:rsidRPr="00A808D3">
        <w:rPr>
          <w:bCs/>
          <w:iCs/>
          <w:lang w:eastAsia="zh-CN"/>
        </w:rPr>
        <w:t xml:space="preserve"> 64 </w:t>
      </w:r>
      <w:r w:rsidRPr="00A808D3">
        <w:rPr>
          <w:bCs/>
          <w:iCs/>
          <w:lang w:eastAsia="zh-CN"/>
        </w:rPr>
        <w:t>机位标准模板不具可比性。</w:t>
      </w:r>
    </w:p>
    <w:p w14:paraId="2601CE3F" w14:textId="77777777" w:rsidR="00613D57" w:rsidRPr="00A808D3" w:rsidRDefault="000D7978">
      <w:pPr>
        <w:pStyle w:val="21"/>
        <w:rPr>
          <w:bCs w:val="0"/>
          <w:iCs/>
          <w:lang w:eastAsia="zh-CN"/>
        </w:rPr>
      </w:pPr>
      <w:r w:rsidRPr="00A808D3">
        <w:rPr>
          <w:rFonts w:ascii="Arial" w:eastAsia="黑体" w:hAnsi="Arial" w:cs="Times New Roman"/>
          <w:bCs w:val="0"/>
          <w:iCs/>
          <w:lang w:eastAsia="zh-CN"/>
        </w:rPr>
        <w:t xml:space="preserve">5.11 </w:t>
      </w:r>
      <w:r w:rsidRPr="00A808D3">
        <w:rPr>
          <w:rFonts w:ascii="Arial" w:eastAsia="黑体" w:hAnsi="Arial" w:cs="Times New Roman"/>
          <w:bCs w:val="0"/>
          <w:iCs/>
          <w:lang w:eastAsia="zh-CN"/>
        </w:rPr>
        <w:t>统计与口径控制</w:t>
      </w:r>
    </w:p>
    <w:p w14:paraId="2E51FCE9" w14:textId="36C94985" w:rsidR="00613D57" w:rsidRPr="000C07B0" w:rsidRDefault="000D7978">
      <w:pPr>
        <w:rPr>
          <w:iCs/>
          <w:lang w:eastAsia="zh-CN"/>
        </w:rPr>
      </w:pPr>
      <w:r w:rsidRPr="00A808D3">
        <w:rPr>
          <w:bCs/>
          <w:iCs/>
          <w:sz w:val="22"/>
          <w:lang w:eastAsia="zh-CN"/>
        </w:rPr>
        <w:t>除特别说明外，所有相关采用双侧</w:t>
      </w:r>
      <w:r w:rsidRPr="00A808D3">
        <w:rPr>
          <w:bCs/>
          <w:iCs/>
          <w:sz w:val="22"/>
          <w:lang w:eastAsia="zh-CN"/>
        </w:rPr>
        <w:t xml:space="preserve"> Spearman </w:t>
      </w:r>
      <w:r w:rsidRPr="00A808D3">
        <w:rPr>
          <w:bCs/>
          <w:iCs/>
          <w:sz w:val="22"/>
          <w:lang w:eastAsia="zh-CN"/>
        </w:rPr>
        <w:t>秩相关；阈值判别使用受试者工作特征曲线下面积。记录长度主分析要求至少</w:t>
      </w:r>
      <w:r w:rsidRPr="00A808D3">
        <w:rPr>
          <w:bCs/>
          <w:iCs/>
          <w:sz w:val="22"/>
          <w:lang w:eastAsia="zh-CN"/>
        </w:rPr>
        <w:t xml:space="preserve"> 5 </w:t>
      </w:r>
      <w:r w:rsidRPr="00A808D3">
        <w:rPr>
          <w:bCs/>
          <w:iCs/>
          <w:sz w:val="22"/>
          <w:lang w:eastAsia="zh-CN"/>
        </w:rPr>
        <w:t>年，</w:t>
      </w:r>
      <w:r w:rsidRPr="00A808D3">
        <w:rPr>
          <w:bCs/>
          <w:iCs/>
          <w:sz w:val="22"/>
          <w:lang w:eastAsia="zh-CN"/>
        </w:rPr>
        <w:t xml:space="preserve">3 </w:t>
      </w:r>
      <w:r w:rsidRPr="00A808D3">
        <w:rPr>
          <w:bCs/>
          <w:iCs/>
          <w:sz w:val="22"/>
          <w:lang w:eastAsia="zh-CN"/>
        </w:rPr>
        <w:t>年阈值仅作敏感性检验。空间模型的随机过程固定种子，地图全部采用海洋掩膜。全文严格区分三类量：</w:t>
      </w:r>
      <m:oMath>
        <m:r>
          <m:rPr>
            <m:sty m:val="p"/>
          </m:rPr>
          <w:rPr>
            <w:rFonts w:ascii="Cambria Math" w:hAnsi="Cambria Math"/>
            <w:lang w:eastAsia="zh-CN"/>
          </w:rPr>
          <m:t>G</m:t>
        </m:r>
      </m:oMath>
      <w:r w:rsidRPr="00A808D3">
        <w:rPr>
          <w:bCs/>
          <w:iCs/>
          <w:sz w:val="22"/>
          <w:lang w:eastAsia="zh-CN"/>
        </w:rPr>
        <w:t xml:space="preserve"> </w:t>
      </w:r>
      <w:r w:rsidRPr="00A808D3">
        <w:rPr>
          <w:bCs/>
          <w:iCs/>
          <w:sz w:val="22"/>
          <w:lang w:eastAsia="zh-CN"/>
        </w:rPr>
        <w:t>为建成朝向到最优朝向的模型化增益，</w:t>
      </w:r>
      <m:oMath>
        <m:r>
          <m:rPr>
            <m:sty m:val="p"/>
          </m:rPr>
          <w:rPr>
            <w:rFonts w:ascii="Cambria Math" w:hAnsi="Cambria Math"/>
            <w:lang w:eastAsia="zh-CN"/>
          </w:rPr>
          <m:t>A</m:t>
        </m:r>
      </m:oMath>
      <w:r w:rsidRPr="00A808D3">
        <w:rPr>
          <w:bCs/>
          <w:iCs/>
          <w:sz w:val="22"/>
          <w:lang w:eastAsia="zh-CN"/>
        </w:rPr>
        <w:t xml:space="preserve"> </w:t>
      </w:r>
      <w:r w:rsidRPr="00A808D3">
        <w:rPr>
          <w:bCs/>
          <w:iCs/>
          <w:sz w:val="22"/>
          <w:lang w:eastAsia="zh-CN"/>
        </w:rPr>
        <w:t>为终期排布在给定长期风况与功率曲线加权下的方向响应幅度，</w:t>
      </w:r>
      <w:r w:rsidRPr="00A808D3">
        <w:rPr>
          <w:bCs/>
          <w:iCs/>
          <w:sz w:val="22"/>
        </w:rPr>
        <w:t>Δ</w:t>
      </w:r>
      <w:r w:rsidRPr="00A808D3">
        <w:rPr>
          <w:bCs/>
          <w:iCs/>
          <w:sz w:val="22"/>
          <w:lang w:eastAsia="zh-CN"/>
        </w:rPr>
        <w:t xml:space="preserve">E </w:t>
      </w:r>
      <w:r w:rsidRPr="00A808D3">
        <w:rPr>
          <w:bCs/>
          <w:iCs/>
          <w:sz w:val="22"/>
          <w:lang w:eastAsia="zh-CN"/>
        </w:rPr>
        <w:t>为项目情景下的额外年发电量。固定风速方向端元、长期边际分布诊断与逐时联合气候回测之间不作同口径数值比较。</w:t>
      </w:r>
    </w:p>
    <w:p w14:paraId="1A604F10" w14:textId="77777777" w:rsidR="00613D57" w:rsidRDefault="000D7978">
      <w:pPr>
        <w:pStyle w:val="1"/>
        <w:rPr>
          <w:lang w:eastAsia="zh-CN"/>
        </w:rPr>
      </w:pPr>
      <w:r>
        <w:rPr>
          <w:rFonts w:ascii="Arial" w:eastAsia="黑体" w:hAnsi="Arial" w:cs="Times New Roman"/>
          <w:lang w:eastAsia="zh-CN"/>
        </w:rPr>
        <w:t>数据可用性</w:t>
      </w:r>
    </w:p>
    <w:p w14:paraId="7BC5D92C" w14:textId="77777777" w:rsidR="00613D57" w:rsidRDefault="000D7978">
      <w:pPr>
        <w:rPr>
          <w:lang w:eastAsia="zh-CN"/>
        </w:rPr>
      </w:pPr>
      <w:r>
        <w:rPr>
          <w:lang w:eastAsia="zh-CN"/>
        </w:rPr>
        <w:t>本研究使用的第三方输入包括公开海上风机机位[14]、100 m 高度再分析风速与风向[15]、全球海底地形以及参考机型的功率与推力曲线。支撑各图的场级与风场—年派生数据、方向响应曲线、整组留出预测及绘图输出已公开于 https://github.com/Lantern567/wind-direction-to-electricity-transition，并将在论文接收时存入 Zenodo 并获得持久标识符。第三方原始输入受各自许可条款约束，本文提供获取路径与版本信息，不重新分发受限数据。冻结文件清单与指纹见补充信息表 S8a。</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14:paraId="70296E4F" w14:textId="77777777" w:rsidR="00613D57" w:rsidRDefault="000D7978">
      <w:pPr>
        <w:pStyle w:val="1"/>
        <w:rPr>
          <w:lang w:eastAsia="zh-CN"/>
        </w:rPr>
      </w:pPr>
      <w:r>
        <w:rPr>
          <w:rFonts w:ascii="Arial" w:eastAsia="黑体" w:hAnsi="Arial" w:cs="Times New Roman"/>
          <w:lang w:eastAsia="zh-CN"/>
        </w:rPr>
        <w:t>代码可用性</w:t>
      </w:r>
    </w:p>
    <w:p w14:paraId="0079BA53" w14:textId="77777777" w:rsidR="00613D57" w:rsidRDefault="000D7978">
      <w:pPr>
        <w:rPr>
          <w:lang w:eastAsia="zh-CN"/>
        </w:rPr>
      </w:pPr>
      <w:r>
        <w:rPr>
          <w:lang w:eastAsia="zh-CN"/>
        </w:rPr>
        <w:t>分析代码覆盖真实风场构建、尾流模拟、历史期选角与样本外回测、四情景 Shapley 分解、方向响应扫描、二阶谐波相位重构、候选走廊投影、整组留出、项目级平行反事实与图件生成，以 Python 实现。完整代码与派生数据已公开于 https://github.com/Lantern567/wind-direction-to-electricity-transition，并将在论文接收时于 Zenodo 发布带版本标签的可复现快照；补充信息 S8 节与表 S8a 提供从正文数字到冻结派生数据与计算步骤的溯源表。</w:t>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r>
        <w:rPr>
          <w:lang w:eastAsia="zh-CN"/>
        </w:rPr>
      </w:r>
    </w:p>
    <w:p>
      <w:r>
        <w:rPr>
          <w:b/>
        </w:rPr>
        <w:t>Acknowledgements</w:t>
      </w:r>
    </w:p>
    <w:p>
      <w:r>
        <w:t>This work was supported by the XXX Research Project (Grant No. XXX). Computational resources were provided by the High‑performance Computing Platform of Peking University. The article processing charge for this open‑access publication was funded by the independent research fund of the Guangdong Provincial Key Laboratory of Risk Perception and Sustainable Governance in Energy Transition.</w:t>
      </w:r>
    </w:p>
    <w:p w14:paraId="58EDABBD" w14:textId="77777777" w:rsidR="00613D57" w:rsidRDefault="000D7978">
      <w:pPr>
        <w:pStyle w:val="1"/>
        <w:rPr>
          <w:lang w:eastAsia="zh-CN"/>
        </w:rPr>
      </w:pPr>
      <w:proofErr w:type="spellStart"/>
      <w:r>
        <w:rPr>
          <w:rFonts w:ascii="Arial" w:eastAsia="黑体" w:hAnsi="Arial"/>
          <w:b w:val="0"/>
        </w:rPr>
        <w:lastRenderedPageBreak/>
        <w:t>参考文献（</w:t>
      </w:r>
      <w:r>
        <w:rPr>
          <w:rFonts w:ascii="Arial" w:eastAsia="黑体" w:hAnsi="Arial"/>
          <w:b w:val="0"/>
        </w:rPr>
        <w:t>References</w:t>
      </w:r>
      <w:proofErr w:type="spellEnd"/>
      <w:r>
        <w:rPr>
          <w:rFonts w:ascii="Arial" w:eastAsia="黑体" w:hAnsi="Arial"/>
          <w:b w:val="0"/>
        </w:rPr>
        <w:t>）</w:t>
      </w:r>
    </w:p>
    <w:p w14:paraId="30E2443C" w14:textId="77777777" w:rsidR="00613D57" w:rsidRPr="00A808D3" w:rsidRDefault="000D7978" w:rsidP="00DF486F">
      <w:pPr>
        <w:keepLines/>
        <w:spacing w:after="60" w:line="240" w:lineRule="auto"/>
        <w:ind w:left="397" w:hanging="397"/>
        <w:rPr>
          <w:lang w:eastAsia="zh-CN"/>
        </w:rPr>
      </w:pPr>
      <w:r w:rsidRPr="00A808D3">
        <w:rPr>
          <w:sz w:val="18"/>
        </w:rPr>
        <w:t xml:space="preserve">[1] Soares PMM, Lima DCA, Nogueira M. Global offshore wind energy resources using the new ERA-5 reanalysis. Environ Res Lett. </w:t>
      </w:r>
      <w:proofErr w:type="gramStart"/>
      <w:r w:rsidRPr="00A808D3">
        <w:rPr>
          <w:sz w:val="18"/>
        </w:rPr>
        <w:t>2020;15:1040</w:t>
      </w:r>
      <w:proofErr w:type="gramEnd"/>
      <w:r w:rsidRPr="00A808D3">
        <w:rPr>
          <w:sz w:val="18"/>
        </w:rPr>
        <w:t>a2. https://doi.org/10.1088/1748-9326/abb10d</w:t>
      </w:r>
    </w:p>
    <w:p w14:paraId="7360772D" w14:textId="77777777" w:rsidR="00591CFE" w:rsidRPr="00A808D3" w:rsidRDefault="00000000">
      <w:pPr>
        <w:spacing w:after="60" w:line="240" w:lineRule="auto"/>
        <w:ind w:left="397" w:hanging="397"/>
      </w:pPr>
      <w:r w:rsidRPr="00A808D3">
        <w:rPr>
          <w:sz w:val="18"/>
        </w:rPr>
        <w:t xml:space="preserve">[2] West CG, Smith RB. Global patterns of offshore wind variability. Wind Energy. </w:t>
      </w:r>
      <w:proofErr w:type="gramStart"/>
      <w:r w:rsidRPr="00A808D3">
        <w:rPr>
          <w:sz w:val="18"/>
        </w:rPr>
        <w:t>2021;24:1466</w:t>
      </w:r>
      <w:proofErr w:type="gramEnd"/>
      <w:r w:rsidRPr="00A808D3">
        <w:rPr>
          <w:sz w:val="18"/>
        </w:rPr>
        <w:t>–1481. https://doi.org/10.1002/we.2641</w:t>
      </w:r>
    </w:p>
    <w:p w14:paraId="56C90131" w14:textId="77777777" w:rsidR="00591CFE" w:rsidRPr="00A808D3" w:rsidRDefault="00000000">
      <w:pPr>
        <w:spacing w:after="60" w:line="240" w:lineRule="auto"/>
        <w:ind w:left="397" w:hanging="397"/>
      </w:pPr>
      <w:r w:rsidRPr="00A808D3">
        <w:rPr>
          <w:sz w:val="18"/>
        </w:rPr>
        <w:t xml:space="preserve">[3] Stevens RJAM, </w:t>
      </w:r>
      <w:proofErr w:type="spellStart"/>
      <w:r w:rsidRPr="00A808D3">
        <w:rPr>
          <w:sz w:val="18"/>
        </w:rPr>
        <w:t>Meneveau</w:t>
      </w:r>
      <w:proofErr w:type="spellEnd"/>
      <w:r w:rsidRPr="00A808D3">
        <w:rPr>
          <w:sz w:val="18"/>
        </w:rPr>
        <w:t xml:space="preserve"> C. Flow structure and turbulence in wind farms. Annu Rev Fluid Mech. </w:t>
      </w:r>
      <w:proofErr w:type="gramStart"/>
      <w:r w:rsidRPr="00A808D3">
        <w:rPr>
          <w:sz w:val="18"/>
        </w:rPr>
        <w:t>2017;49:311</w:t>
      </w:r>
      <w:proofErr w:type="gramEnd"/>
      <w:r w:rsidRPr="00A808D3">
        <w:rPr>
          <w:sz w:val="18"/>
        </w:rPr>
        <w:t>–339. https://doi.org/10.1146/annurev-fluid-010816-060206</w:t>
      </w:r>
    </w:p>
    <w:p w14:paraId="783F9AC6" w14:textId="4CC1E4B8" w:rsidR="00591CFE" w:rsidRPr="00A808D3" w:rsidRDefault="00000000">
      <w:pPr>
        <w:spacing w:after="60" w:line="240" w:lineRule="auto"/>
        <w:ind w:left="397" w:hanging="397"/>
      </w:pPr>
      <w:r w:rsidRPr="00A808D3">
        <w:rPr>
          <w:i/>
          <w:sz w:val="22"/>
        </w:rPr>
        <w:t xml:space="preserve">[4] Porté-Agel F, Bastankhah M, Shamsoddin S. Wind-turbine and wind-farm flows: </w:t>
      </w:r>
      <m:oMath>
        <m:r>
          <w:rPr>
            <w:rFonts w:ascii="Cambria Math" w:hAnsi="Cambria Math"/>
          </w:rPr>
          <m:t>A</m:t>
        </m:r>
      </m:oMath>
      <w:r w:rsidRPr="00A808D3">
        <w:rPr>
          <w:i/>
          <w:sz w:val="22"/>
        </w:rPr>
        <w:t xml:space="preserve"> review. Boundary-Layer Meteorol. </w:t>
      </w:r>
      <w:proofErr w:type="gramStart"/>
      <w:r w:rsidRPr="00A808D3">
        <w:rPr>
          <w:i/>
          <w:sz w:val="22"/>
        </w:rPr>
        <w:t>2020;174:1</w:t>
      </w:r>
      <w:proofErr w:type="gramEnd"/>
      <w:r w:rsidRPr="00A808D3">
        <w:rPr>
          <w:i/>
          <w:sz w:val="22"/>
        </w:rPr>
        <w:t>–59. https://doi.org/10.1007/s10546-019-00473-0</w:t>
      </w:r>
    </w:p>
    <w:p w14:paraId="3B21A64D" w14:textId="77777777" w:rsidR="00591CFE" w:rsidRPr="00A808D3" w:rsidRDefault="00000000">
      <w:pPr>
        <w:spacing w:after="60" w:line="240" w:lineRule="auto"/>
        <w:ind w:left="397" w:hanging="397"/>
      </w:pPr>
      <w:r w:rsidRPr="00A808D3">
        <w:rPr>
          <w:sz w:val="18"/>
        </w:rPr>
        <w:t xml:space="preserve">[5] </w:t>
      </w:r>
      <w:proofErr w:type="spellStart"/>
      <w:r w:rsidRPr="00A808D3">
        <w:rPr>
          <w:sz w:val="18"/>
        </w:rPr>
        <w:t>Barthelmie</w:t>
      </w:r>
      <w:proofErr w:type="spellEnd"/>
      <w:r w:rsidRPr="00A808D3">
        <w:rPr>
          <w:sz w:val="18"/>
        </w:rPr>
        <w:t xml:space="preserve"> RJ, Pryor SC, Frandsen ST, Hansen KS, Schepers JG, Rados K, et al. Quantifying the impact of wind turbine wakes on power output at offshore wind farms. J Atmos Ocean Technol. </w:t>
      </w:r>
      <w:proofErr w:type="gramStart"/>
      <w:r w:rsidRPr="00A808D3">
        <w:rPr>
          <w:sz w:val="18"/>
        </w:rPr>
        <w:t>2010;27:1302</w:t>
      </w:r>
      <w:proofErr w:type="gramEnd"/>
      <w:r w:rsidRPr="00A808D3">
        <w:rPr>
          <w:sz w:val="18"/>
        </w:rPr>
        <w:t>–1317. https://doi.org/10.1175/2010JTECHA1398.1</w:t>
      </w:r>
    </w:p>
    <w:p w14:paraId="14F5A1EE" w14:textId="77777777" w:rsidR="00591CFE" w:rsidRPr="00A808D3" w:rsidRDefault="00000000">
      <w:pPr>
        <w:spacing w:after="60" w:line="240" w:lineRule="auto"/>
        <w:ind w:left="397" w:hanging="397"/>
      </w:pPr>
      <w:r w:rsidRPr="00A808D3">
        <w:rPr>
          <w:sz w:val="18"/>
        </w:rPr>
        <w:t xml:space="preserve">[6] Archer CL, </w:t>
      </w:r>
      <w:proofErr w:type="spellStart"/>
      <w:r w:rsidRPr="00A808D3">
        <w:rPr>
          <w:sz w:val="18"/>
        </w:rPr>
        <w:t>Mirzaeisefat</w:t>
      </w:r>
      <w:proofErr w:type="spellEnd"/>
      <w:r w:rsidRPr="00A808D3">
        <w:rPr>
          <w:sz w:val="18"/>
        </w:rPr>
        <w:t xml:space="preserve"> S, Lee S. Quantifying the sensitivity of wind farm performance to array layout options using large-eddy simulation. </w:t>
      </w:r>
      <w:proofErr w:type="spellStart"/>
      <w:r w:rsidRPr="00A808D3">
        <w:rPr>
          <w:sz w:val="18"/>
        </w:rPr>
        <w:t>Geophys</w:t>
      </w:r>
      <w:proofErr w:type="spellEnd"/>
      <w:r w:rsidRPr="00A808D3">
        <w:rPr>
          <w:sz w:val="18"/>
        </w:rPr>
        <w:t xml:space="preserve"> Res Lett. </w:t>
      </w:r>
      <w:proofErr w:type="gramStart"/>
      <w:r w:rsidRPr="00A808D3">
        <w:rPr>
          <w:sz w:val="18"/>
        </w:rPr>
        <w:t>2013;40:4963</w:t>
      </w:r>
      <w:proofErr w:type="gramEnd"/>
      <w:r w:rsidRPr="00A808D3">
        <w:rPr>
          <w:sz w:val="18"/>
        </w:rPr>
        <w:t>–4970. https://doi.org/10.1002/grl.50911</w:t>
      </w:r>
    </w:p>
    <w:p w14:paraId="2E51E5A7" w14:textId="00D28FB4" w:rsidR="00591CFE" w:rsidRPr="00A808D3" w:rsidRDefault="00000000">
      <w:pPr>
        <w:spacing w:after="60" w:line="240" w:lineRule="auto"/>
        <w:ind w:left="397" w:hanging="397"/>
      </w:pPr>
      <w:r w:rsidRPr="00A808D3">
        <w:rPr>
          <w:i/>
          <w:sz w:val="22"/>
        </w:rPr>
        <w:t xml:space="preserve">[7] Porté-Agel F, Wu Y-T, Chen C-H. </w:t>
      </w:r>
      <m:oMath>
        <m:r>
          <w:rPr>
            <w:rFonts w:ascii="Cambria Math" w:hAnsi="Cambria Math"/>
          </w:rPr>
          <m:t>A</m:t>
        </m:r>
      </m:oMath>
      <w:r w:rsidRPr="00A808D3">
        <w:rPr>
          <w:i/>
          <w:sz w:val="22"/>
        </w:rPr>
        <w:t xml:space="preserve"> numerical study of the effects of wind direction on turbine wakes and power losses in a large wind farm. Energies. </w:t>
      </w:r>
      <w:proofErr w:type="gramStart"/>
      <w:r w:rsidRPr="00A808D3">
        <w:rPr>
          <w:i/>
          <w:sz w:val="22"/>
        </w:rPr>
        <w:t>2013;6:5297</w:t>
      </w:r>
      <w:proofErr w:type="gramEnd"/>
      <w:r w:rsidRPr="00A808D3">
        <w:rPr>
          <w:i/>
          <w:sz w:val="22"/>
        </w:rPr>
        <w:t>–5313. https://doi.org/10.3390/en6105297</w:t>
      </w:r>
    </w:p>
    <w:p w14:paraId="16E4085E" w14:textId="3A89423D" w:rsidR="00591CFE" w:rsidRPr="00A808D3" w:rsidRDefault="00000000">
      <w:pPr>
        <w:spacing w:after="60" w:line="240" w:lineRule="auto"/>
        <w:ind w:left="397" w:hanging="397"/>
      </w:pPr>
      <w:r w:rsidRPr="00A808D3">
        <w:rPr>
          <w:i/>
          <w:sz w:val="22"/>
        </w:rPr>
        <w:t xml:space="preserve">[8] Gaumond M, Réthoré P-E, Ott S, Peña </w:t>
      </w:r>
      <m:oMath>
        <m:r>
          <w:rPr>
            <w:rFonts w:ascii="Cambria Math" w:hAnsi="Cambria Math"/>
          </w:rPr>
          <m:t>A</m:t>
        </m:r>
      </m:oMath>
      <w:r w:rsidRPr="00A808D3">
        <w:rPr>
          <w:i/>
          <w:sz w:val="22"/>
        </w:rPr>
        <w:t xml:space="preserve">, Bechmann </w:t>
      </w:r>
      <m:oMath>
        <m:r>
          <w:rPr>
            <w:rFonts w:ascii="Cambria Math" w:hAnsi="Cambria Math"/>
          </w:rPr>
          <m:t>A</m:t>
        </m:r>
      </m:oMath>
      <w:r w:rsidRPr="00A808D3">
        <w:rPr>
          <w:i/>
          <w:sz w:val="22"/>
        </w:rPr>
        <w:t xml:space="preserve">, Hansen KS. Evaluation of the wind direction uncertainty and its impact on wake modeling at the Horns Rev offshore wind farm. Wind Energy. </w:t>
      </w:r>
      <w:proofErr w:type="gramStart"/>
      <w:r w:rsidRPr="00A808D3">
        <w:rPr>
          <w:i/>
          <w:sz w:val="22"/>
        </w:rPr>
        <w:t>2014;17:1169</w:t>
      </w:r>
      <w:proofErr w:type="gramEnd"/>
      <w:r w:rsidRPr="00A808D3">
        <w:rPr>
          <w:i/>
          <w:sz w:val="22"/>
        </w:rPr>
        <w:t>–1178. https://doi.org/10.1002/we.1625</w:t>
      </w:r>
    </w:p>
    <w:p w14:paraId="4521C9AD" w14:textId="77777777" w:rsidR="00591CFE" w:rsidRPr="00A808D3" w:rsidRDefault="00000000">
      <w:pPr>
        <w:spacing w:after="60" w:line="240" w:lineRule="auto"/>
        <w:ind w:left="397" w:hanging="397"/>
      </w:pPr>
      <w:r w:rsidRPr="00A808D3">
        <w:rPr>
          <w:sz w:val="18"/>
        </w:rPr>
        <w:t xml:space="preserve">[9] Feng J, Shen WZ. Modelling wind for wind farm layout optimization using joint distribution of wind speed and wind direction. Energies. </w:t>
      </w:r>
      <w:proofErr w:type="gramStart"/>
      <w:r w:rsidRPr="00A808D3">
        <w:rPr>
          <w:sz w:val="18"/>
        </w:rPr>
        <w:t>2015;8:3075</w:t>
      </w:r>
      <w:proofErr w:type="gramEnd"/>
      <w:r w:rsidRPr="00A808D3">
        <w:rPr>
          <w:sz w:val="18"/>
        </w:rPr>
        <w:t>–3092. https://doi.org/10.3390/en8043075</w:t>
      </w:r>
    </w:p>
    <w:p w14:paraId="3C42CF49" w14:textId="7EF339A0" w:rsidR="00591CFE" w:rsidRPr="00A808D3" w:rsidRDefault="00000000">
      <w:pPr>
        <w:spacing w:after="60" w:line="240" w:lineRule="auto"/>
        <w:ind w:left="397" w:hanging="397"/>
      </w:pPr>
      <w:r w:rsidRPr="00A808D3">
        <w:rPr>
          <w:i/>
          <w:sz w:val="22"/>
        </w:rPr>
        <w:t xml:space="preserve">[10] </w:t>
      </w:r>
      <w:proofErr w:type="spellStart"/>
      <w:r w:rsidRPr="00A808D3">
        <w:rPr>
          <w:i/>
          <w:sz w:val="22"/>
        </w:rPr>
        <w:t>Padró</w:t>
      </w:r>
      <w:proofErr w:type="spellEnd"/>
      <m:oMath>
        <m:r>
          <w:rPr>
            <w:rFonts w:ascii="Cambria Math" w:hAnsi="Cambria Math"/>
          </w:rPr>
          <m:t>n</m:t>
        </m:r>
      </m:oMath>
      <w:r w:rsidRPr="00A808D3">
        <w:rPr>
          <w:i/>
          <w:sz w:val="22"/>
        </w:rPr>
        <w:t xml:space="preserve"> AS, Thomas J, Stanley APJ, Alonso JJ, Ning </w:t>
      </w:r>
      <m:oMath>
        <m:r>
          <w:rPr>
            <w:rFonts w:ascii="Cambria Math" w:hAnsi="Cambria Math"/>
          </w:rPr>
          <m:t>A</m:t>
        </m:r>
      </m:oMath>
      <w:r w:rsidRPr="00A808D3">
        <w:rPr>
          <w:i/>
          <w:sz w:val="22"/>
        </w:rPr>
        <w:t xml:space="preserve">. Polynomial chaos to efficiently compute the annual energy production in wind farm layout optimization. Wind Energ Sci. </w:t>
      </w:r>
      <w:proofErr w:type="gramStart"/>
      <w:r w:rsidRPr="00A808D3">
        <w:rPr>
          <w:i/>
          <w:sz w:val="22"/>
        </w:rPr>
        <w:t>2019;4:211</w:t>
      </w:r>
      <w:proofErr w:type="gramEnd"/>
      <w:r w:rsidRPr="00A808D3">
        <w:rPr>
          <w:i/>
          <w:sz w:val="22"/>
        </w:rPr>
        <w:t>–231. https://doi.org/10.5194/wes-4-211-2019</w:t>
      </w:r>
    </w:p>
    <w:p w14:paraId="6A16EA66" w14:textId="77777777" w:rsidR="00591CFE" w:rsidRPr="00A808D3" w:rsidRDefault="00000000">
      <w:pPr>
        <w:spacing w:after="60" w:line="240" w:lineRule="auto"/>
        <w:ind w:left="397" w:hanging="397"/>
      </w:pPr>
      <w:r w:rsidRPr="00A808D3">
        <w:rPr>
          <w:sz w:val="18"/>
        </w:rPr>
        <w:t xml:space="preserve">[11] Song M, Chen K, Zhang X, Wang J. Optimization of wind turbine micro-siting for reducing the sensitivity of power generation to wind direction. Renew Energy. </w:t>
      </w:r>
      <w:proofErr w:type="gramStart"/>
      <w:r w:rsidRPr="00A808D3">
        <w:rPr>
          <w:sz w:val="18"/>
        </w:rPr>
        <w:t>2016;85:57</w:t>
      </w:r>
      <w:proofErr w:type="gramEnd"/>
      <w:r w:rsidRPr="00A808D3">
        <w:rPr>
          <w:sz w:val="18"/>
        </w:rPr>
        <w:t>–65. https://doi.org/10.1016/j.renene.2015.06.033</w:t>
      </w:r>
    </w:p>
    <w:p w14:paraId="0C2B44D1" w14:textId="77777777" w:rsidR="00591CFE" w:rsidRPr="00A808D3" w:rsidRDefault="00000000">
      <w:pPr>
        <w:spacing w:after="60" w:line="240" w:lineRule="auto"/>
        <w:ind w:left="397" w:hanging="397"/>
      </w:pPr>
      <w:r w:rsidRPr="00A808D3">
        <w:rPr>
          <w:sz w:val="18"/>
        </w:rPr>
        <w:t xml:space="preserve">[12] </w:t>
      </w:r>
      <w:proofErr w:type="spellStart"/>
      <w:r w:rsidRPr="00A808D3">
        <w:rPr>
          <w:sz w:val="18"/>
        </w:rPr>
        <w:t>Malisani</w:t>
      </w:r>
      <w:proofErr w:type="spellEnd"/>
      <w:r w:rsidRPr="00A808D3">
        <w:rPr>
          <w:sz w:val="18"/>
        </w:rPr>
        <w:t xml:space="preserve"> P, </w:t>
      </w:r>
      <w:proofErr w:type="spellStart"/>
      <w:r w:rsidRPr="00A808D3">
        <w:rPr>
          <w:sz w:val="18"/>
        </w:rPr>
        <w:t>Bartement</w:t>
      </w:r>
      <w:proofErr w:type="spellEnd"/>
      <w:r w:rsidRPr="00A808D3">
        <w:rPr>
          <w:sz w:val="18"/>
        </w:rPr>
        <w:t xml:space="preserve"> T, </w:t>
      </w:r>
      <w:proofErr w:type="spellStart"/>
      <w:r w:rsidRPr="00A808D3">
        <w:rPr>
          <w:sz w:val="18"/>
        </w:rPr>
        <w:t>Bozonnet</w:t>
      </w:r>
      <w:proofErr w:type="spellEnd"/>
      <w:r w:rsidRPr="00A808D3">
        <w:rPr>
          <w:sz w:val="18"/>
        </w:rPr>
        <w:t xml:space="preserve"> P. Offshore wind farm layout optimization with alignment constraints. Wind </w:t>
      </w:r>
      <w:proofErr w:type="spellStart"/>
      <w:r w:rsidRPr="00A808D3">
        <w:rPr>
          <w:sz w:val="18"/>
        </w:rPr>
        <w:t>Energ</w:t>
      </w:r>
      <w:proofErr w:type="spellEnd"/>
      <w:r w:rsidRPr="00A808D3">
        <w:rPr>
          <w:sz w:val="18"/>
        </w:rPr>
        <w:t xml:space="preserve"> Sci. </w:t>
      </w:r>
      <w:proofErr w:type="gramStart"/>
      <w:r w:rsidRPr="00A808D3">
        <w:rPr>
          <w:sz w:val="18"/>
        </w:rPr>
        <w:t>2025;10:1611</w:t>
      </w:r>
      <w:proofErr w:type="gramEnd"/>
      <w:r w:rsidRPr="00A808D3">
        <w:rPr>
          <w:sz w:val="18"/>
        </w:rPr>
        <w:t>–1623. https://doi.org/10.5194/wes-10-1611-2025</w:t>
      </w:r>
    </w:p>
    <w:p w14:paraId="72FBBFC5" w14:textId="77777777" w:rsidR="00591CFE" w:rsidRPr="00A808D3" w:rsidRDefault="00000000">
      <w:pPr>
        <w:spacing w:after="60" w:line="240" w:lineRule="auto"/>
        <w:ind w:left="397" w:hanging="397"/>
      </w:pPr>
      <w:r w:rsidRPr="00A808D3">
        <w:rPr>
          <w:sz w:val="18"/>
        </w:rPr>
        <w:t xml:space="preserve">[13] Warder SC, Piggott MD. Mapping global offshore wind wake losses, layout </w:t>
      </w:r>
      <w:proofErr w:type="spellStart"/>
      <w:r w:rsidRPr="00A808D3">
        <w:rPr>
          <w:sz w:val="18"/>
        </w:rPr>
        <w:t>optimisation</w:t>
      </w:r>
      <w:proofErr w:type="spellEnd"/>
      <w:r w:rsidRPr="00A808D3">
        <w:rPr>
          <w:sz w:val="18"/>
        </w:rPr>
        <w:t xml:space="preserve"> potential, and climate change effects. Energy. </w:t>
      </w:r>
      <w:proofErr w:type="gramStart"/>
      <w:r w:rsidRPr="00A808D3">
        <w:rPr>
          <w:sz w:val="18"/>
        </w:rPr>
        <w:t>2025;331:136573</w:t>
      </w:r>
      <w:proofErr w:type="gramEnd"/>
      <w:r w:rsidRPr="00A808D3">
        <w:rPr>
          <w:sz w:val="18"/>
        </w:rPr>
        <w:t>. https://doi.org/10.1016/j.energy.2025.136573</w:t>
      </w:r>
    </w:p>
    <w:p w14:paraId="3EF8CB19" w14:textId="77777777" w:rsidR="00591CFE" w:rsidRPr="00A808D3" w:rsidRDefault="00000000">
      <w:pPr>
        <w:spacing w:after="60" w:line="240" w:lineRule="auto"/>
        <w:ind w:left="397" w:hanging="397"/>
      </w:pPr>
      <w:r w:rsidRPr="00A808D3">
        <w:rPr>
          <w:sz w:val="18"/>
        </w:rPr>
        <w:t xml:space="preserve">[14] Zhang T, Tian B, Sengupta D, Zhang L, Si Y. Global offshore wind turbine dataset. Sci Data. </w:t>
      </w:r>
      <w:proofErr w:type="gramStart"/>
      <w:r w:rsidRPr="00A808D3">
        <w:rPr>
          <w:sz w:val="18"/>
        </w:rPr>
        <w:t>2021;8:191</w:t>
      </w:r>
      <w:proofErr w:type="gramEnd"/>
      <w:r w:rsidRPr="00A808D3">
        <w:rPr>
          <w:sz w:val="18"/>
        </w:rPr>
        <w:t>. https://doi.org/10.1038/s41597-021-00982-z</w:t>
      </w:r>
    </w:p>
    <w:p w14:paraId="69945286" w14:textId="77777777" w:rsidR="00591CFE" w:rsidRPr="00A808D3" w:rsidRDefault="00000000">
      <w:pPr>
        <w:spacing w:after="60" w:line="240" w:lineRule="auto"/>
        <w:ind w:left="397" w:hanging="397"/>
      </w:pPr>
      <w:r w:rsidRPr="00A808D3">
        <w:rPr>
          <w:sz w:val="18"/>
        </w:rPr>
        <w:t xml:space="preserve">[15] </w:t>
      </w:r>
      <w:proofErr w:type="spellStart"/>
      <w:r w:rsidRPr="00A808D3">
        <w:rPr>
          <w:sz w:val="18"/>
        </w:rPr>
        <w:t>Hersbach</w:t>
      </w:r>
      <w:proofErr w:type="spellEnd"/>
      <w:r w:rsidRPr="00A808D3">
        <w:rPr>
          <w:sz w:val="18"/>
        </w:rPr>
        <w:t xml:space="preserve"> H, Bell B, Berrisford P, et al. The ERA5 global reanalysis. Q J R </w:t>
      </w:r>
      <w:proofErr w:type="spellStart"/>
      <w:r w:rsidRPr="00A808D3">
        <w:rPr>
          <w:sz w:val="18"/>
        </w:rPr>
        <w:t>Meteorol</w:t>
      </w:r>
      <w:proofErr w:type="spellEnd"/>
      <w:r w:rsidRPr="00A808D3">
        <w:rPr>
          <w:sz w:val="18"/>
        </w:rPr>
        <w:t xml:space="preserve"> Soc. </w:t>
      </w:r>
      <w:proofErr w:type="gramStart"/>
      <w:r w:rsidRPr="00A808D3">
        <w:rPr>
          <w:sz w:val="18"/>
        </w:rPr>
        <w:t>2020;146:1999</w:t>
      </w:r>
      <w:proofErr w:type="gramEnd"/>
      <w:r w:rsidRPr="00A808D3">
        <w:rPr>
          <w:sz w:val="18"/>
        </w:rPr>
        <w:t>–2049. https://doi.org/10.1002/qj.3803</w:t>
      </w:r>
    </w:p>
    <w:p w14:paraId="7A2ED3B7" w14:textId="379A5351" w:rsidR="00591CFE" w:rsidRPr="00A808D3" w:rsidRDefault="00000000">
      <w:pPr>
        <w:spacing w:after="60" w:line="240" w:lineRule="auto"/>
        <w:ind w:left="397" w:hanging="397"/>
      </w:pPr>
      <w:r w:rsidRPr="00A808D3">
        <w:rPr>
          <w:i/>
          <w:sz w:val="22"/>
        </w:rPr>
        <w:t xml:space="preserve">[16] Gruber K, Regner P, Wehrle S, Zeyringer M, Schmidt J. Towards global validation of wind power simulations: </w:t>
      </w:r>
      <m:oMath>
        <m:r>
          <w:rPr>
            <w:rFonts w:ascii="Cambria Math" w:hAnsi="Cambria Math"/>
          </w:rPr>
          <m:t>A</m:t>
        </m:r>
      </m:oMath>
      <w:r w:rsidRPr="00A808D3">
        <w:rPr>
          <w:i/>
          <w:sz w:val="22"/>
        </w:rPr>
        <w:t xml:space="preserve"> multi-country assessment of wind power simulation from MERRA-2 and ERA-5 reanalyses bias-corrected with the Global Wind Atlas. Energy. </w:t>
      </w:r>
      <w:proofErr w:type="gramStart"/>
      <w:r w:rsidRPr="00A808D3">
        <w:rPr>
          <w:i/>
          <w:sz w:val="22"/>
        </w:rPr>
        <w:t>2022;238:121520</w:t>
      </w:r>
      <w:proofErr w:type="gramEnd"/>
      <w:r w:rsidRPr="00A808D3">
        <w:rPr>
          <w:i/>
          <w:sz w:val="22"/>
        </w:rPr>
        <w:t>. https://doi.org/10.1016/j.energy.2021.121520</w:t>
      </w:r>
    </w:p>
    <w:p w14:paraId="717D090A" w14:textId="2E086C6B" w:rsidR="00591CFE" w:rsidRPr="00A808D3" w:rsidRDefault="00000000">
      <w:pPr>
        <w:spacing w:after="60" w:line="240" w:lineRule="auto"/>
        <w:ind w:left="397" w:hanging="397"/>
      </w:pPr>
      <w:r w:rsidRPr="00A808D3">
        <w:rPr>
          <w:i/>
          <w:sz w:val="22"/>
        </w:rPr>
        <w:t xml:space="preserve">[17] Bastankhah M, Porté-Agel F. </w:t>
      </w:r>
      <m:oMath>
        <m:r>
          <w:rPr>
            <w:rFonts w:ascii="Cambria Math" w:hAnsi="Cambria Math"/>
          </w:rPr>
          <m:t>A</m:t>
        </m:r>
      </m:oMath>
      <w:r w:rsidRPr="00A808D3">
        <w:rPr>
          <w:i/>
          <w:sz w:val="22"/>
        </w:rPr>
        <w:t xml:space="preserve"> new analytical model for wind-turbine wakes. Renew Energy. </w:t>
      </w:r>
      <w:proofErr w:type="gramStart"/>
      <w:r w:rsidRPr="00A808D3">
        <w:rPr>
          <w:i/>
          <w:sz w:val="22"/>
        </w:rPr>
        <w:t>2014;70:116</w:t>
      </w:r>
      <w:proofErr w:type="gramEnd"/>
      <w:r w:rsidRPr="00A808D3">
        <w:rPr>
          <w:i/>
          <w:sz w:val="22"/>
        </w:rPr>
        <w:t>–123. https://doi.org/10.1016/j.renene.2014.01.002</w:t>
      </w:r>
    </w:p>
    <w:sectPr w:rsidR="00591CFE" w:rsidRPr="00A808D3" w:rsidSect="00034616">
      <w:footerReference w:type="default" r:id="rId12"/>
      <w:pgSz w:w="11906" w:h="16838"/>
      <w:pgMar w:top="1361" w:right="1417" w:bottom="1361"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01EEEF" w14:textId="77777777" w:rsidR="00684C12" w:rsidRDefault="00684C12">
      <w:pPr>
        <w:spacing w:line="240" w:lineRule="auto"/>
      </w:pPr>
      <w:r>
        <w:separator/>
      </w:r>
    </w:p>
  </w:endnote>
  <w:endnote w:type="continuationSeparator" w:id="0">
    <w:p w14:paraId="2FF6BAB1" w14:textId="77777777" w:rsidR="00684C12" w:rsidRDefault="00684C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C999" w14:textId="77777777" w:rsidR="00591CFE" w:rsidRDefault="00000000">
    <w:pPr>
      <w:jc w:val="center"/>
    </w:pPr>
    <w:r>
      <w:fldChar w:fldCharType="begin"/>
    </w:r>
    <w:r>
      <w:instrText xml:space="preserve"> PAGE </w:instrText>
    </w:r>
    <w:r>
      <w:fldChar w:fldCharType="separate"/>
    </w:r>
    <w:r w:rsidR="002D1A3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4969C" w14:textId="77777777" w:rsidR="00684C12" w:rsidRDefault="00684C12">
      <w:pPr>
        <w:spacing w:line="240" w:lineRule="auto"/>
      </w:pPr>
      <w:r>
        <w:separator/>
      </w:r>
    </w:p>
  </w:footnote>
  <w:footnote w:type="continuationSeparator" w:id="0">
    <w:p w14:paraId="26C29F2E" w14:textId="77777777" w:rsidR="00684C12" w:rsidRDefault="00684C1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61777904">
    <w:abstractNumId w:val="8"/>
  </w:num>
  <w:num w:numId="2" w16cid:durableId="2029524163">
    <w:abstractNumId w:val="6"/>
  </w:num>
  <w:num w:numId="3" w16cid:durableId="655960734">
    <w:abstractNumId w:val="5"/>
  </w:num>
  <w:num w:numId="4" w16cid:durableId="491214475">
    <w:abstractNumId w:val="4"/>
  </w:num>
  <w:num w:numId="5" w16cid:durableId="418140202">
    <w:abstractNumId w:val="7"/>
  </w:num>
  <w:num w:numId="6" w16cid:durableId="1825927993">
    <w:abstractNumId w:val="3"/>
  </w:num>
  <w:num w:numId="7" w16cid:durableId="886643651">
    <w:abstractNumId w:val="2"/>
  </w:num>
  <w:num w:numId="8" w16cid:durableId="975333716">
    <w:abstractNumId w:val="1"/>
  </w:num>
  <w:num w:numId="9" w16cid:durableId="3752736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4B9"/>
    <w:rsid w:val="0006063C"/>
    <w:rsid w:val="0008149C"/>
    <w:rsid w:val="000946F5"/>
    <w:rsid w:val="000C07B0"/>
    <w:rsid w:val="000C1D00"/>
    <w:rsid w:val="000D7978"/>
    <w:rsid w:val="0015074B"/>
    <w:rsid w:val="0029639D"/>
    <w:rsid w:val="002D1A34"/>
    <w:rsid w:val="003115FE"/>
    <w:rsid w:val="00326F90"/>
    <w:rsid w:val="003D4562"/>
    <w:rsid w:val="003E6013"/>
    <w:rsid w:val="00591CFE"/>
    <w:rsid w:val="00613D57"/>
    <w:rsid w:val="006360AD"/>
    <w:rsid w:val="006510F6"/>
    <w:rsid w:val="00684C12"/>
    <w:rsid w:val="006E5465"/>
    <w:rsid w:val="007F1974"/>
    <w:rsid w:val="008153AA"/>
    <w:rsid w:val="008A5BBC"/>
    <w:rsid w:val="009871C7"/>
    <w:rsid w:val="009D0EB1"/>
    <w:rsid w:val="00A808D3"/>
    <w:rsid w:val="00AA1D8D"/>
    <w:rsid w:val="00B37BE8"/>
    <w:rsid w:val="00B47730"/>
    <w:rsid w:val="00C37074"/>
    <w:rsid w:val="00C6484C"/>
    <w:rsid w:val="00CB0664"/>
    <w:rsid w:val="00CE0175"/>
    <w:rsid w:val="00D902F5"/>
    <w:rsid w:val="00DA4BBF"/>
    <w:rsid w:val="00DB2E83"/>
    <w:rsid w:val="00DE035C"/>
    <w:rsid w:val="00DF486F"/>
    <w:rsid w:val="00E76346"/>
    <w:rsid w:val="00EA5492"/>
    <w:rsid w:val="00F25018"/>
    <w:rsid w:val="00FA09F8"/>
    <w:rsid w:val="00FC693F"/>
    <w:rsid w:val="00FF0F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F35B45"/>
  <w14:defaultImageDpi w14:val="300"/>
  <w15:docId w15:val="{0900FF80-CB53-400A-A31A-A560DB9B4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jc w:val="both"/>
    </w:pPr>
    <w:rPr>
      <w:rFonts w:ascii="Times New Roman" w:eastAsia="宋体" w:hAnsi="Times New Roman" w:cs="Times New Roman"/>
      <w:sz w:val="21"/>
    </w:rPr>
  </w:style>
  <w:style w:type="paragraph" w:styleId="1">
    <w:name w:val="heading 1"/>
    <w:basedOn w:val="a1"/>
    <w:next w:val="a1"/>
    <w:link w:val="10"/>
    <w:uiPriority w:val="9"/>
    <w:qFormat/>
    <w:rsid w:val="00FC693F"/>
    <w:pPr>
      <w:keepNext/>
      <w:keepLines/>
      <w:spacing w:before="200" w:after="80"/>
      <w:outlineLvl w:val="0"/>
    </w:pPr>
    <w:rPr>
      <w:rFonts w:asciiTheme="majorHAnsi" w:eastAsiaTheme="majorEastAsia" w:hAnsiTheme="majorHAnsi" w:cstheme="majorBidi"/>
      <w:b/>
      <w:bCs/>
      <w:sz w:val="26"/>
      <w:szCs w:val="28"/>
    </w:rPr>
  </w:style>
  <w:style w:type="paragraph" w:styleId="21">
    <w:name w:val="heading 2"/>
    <w:basedOn w:val="a1"/>
    <w:next w:val="a1"/>
    <w:link w:val="22"/>
    <w:uiPriority w:val="9"/>
    <w:unhideWhenUsed/>
    <w:qFormat/>
    <w:rsid w:val="00FC693F"/>
    <w:pPr>
      <w:keepNext/>
      <w:keepLines/>
      <w:spacing w:before="140" w:after="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140" w:after="8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before="80" w:line="240" w:lineRule="auto"/>
      <w:contextualSpacing/>
      <w:jc w:val="center"/>
    </w:pPr>
    <w:rPr>
      <w:rFonts w:asciiTheme="majorHAnsi" w:eastAsiaTheme="majorEastAsia" w:hAnsiTheme="majorHAnsi" w:cstheme="majorBidi"/>
      <w:b/>
      <w:spacing w:val="5"/>
      <w:kern w:val="28"/>
      <w:sz w:val="3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after="160" w:line="252" w:lineRule="auto"/>
    </w:pPr>
    <w:rPr>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120" w:after="120"/>
      <w:ind w:left="936" w:right="936"/>
    </w:pPr>
    <w:rPr>
      <w:b/>
      <w:bCs/>
      <w:i/>
      <w:iCs/>
      <w:color w:val="4F81BD"/>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FA09F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15</Pages>
  <Words>7602</Words>
  <Characters>9959</Characters>
  <Application>Microsoft Office Word</Application>
  <DocSecurity>0</DocSecurity>
  <Lines>242</Lines>
  <Paragraphs>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 layouts and axial wind climates jointly amplify the orientation sensitivity of offshore wind farms</dc:title>
  <dc:subject>Advances in Applied Energy manuscript</dc:subject>
  <dc:creator>python-docx</dc:creator>
  <cp:keywords>offshore wind; wind-farm orientation; wake losses; axial wind climate; layout optimization; interannual variability; directional corridors</cp:keywords>
  <dc:description>Result 1–3 已更新；Result 4 保留定量回填位。</dc:description>
  <cp:lastModifiedBy>塞西利亚 Yeung</cp:lastModifiedBy>
  <cp:revision>12</cp:revision>
  <dcterms:created xsi:type="dcterms:W3CDTF">2013-12-23T23:15:00Z</dcterms:created>
  <dcterms:modified xsi:type="dcterms:W3CDTF">2026-09-01T09:36:00Z</dcterms:modified>
  <cp:category>中文学术论文内部工作稿</cp:category>
</cp:coreProperties>
</file>