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5A30" w14:textId="77777777" w:rsidR="00EE4428" w:rsidRPr="00280A34" w:rsidRDefault="00000000">
      <w:pPr>
        <w:pStyle w:val="1"/>
        <w:rPr>
          <w:rFonts w:ascii="宋体" w:eastAsia="宋体" w:hAnsi="宋体"/>
          <w:lang w:eastAsia="zh-CN"/>
        </w:rPr>
      </w:pPr>
      <w:r w:rsidRPr="00280A34">
        <w:rPr>
          <w:rFonts w:ascii="宋体" w:eastAsia="宋体" w:hAnsi="宋体"/>
          <w:lang w:eastAsia="zh-CN"/>
        </w:rPr>
        <w:t>Section 4.1 补充</w:t>
      </w:r>
      <w:proofErr w:type="gramStart"/>
      <w:r w:rsidRPr="00280A34">
        <w:rPr>
          <w:rFonts w:ascii="宋体" w:eastAsia="宋体" w:hAnsi="宋体"/>
          <w:lang w:eastAsia="zh-CN"/>
        </w:rPr>
        <w:t>分析:</w:t>
      </w:r>
      <w:proofErr w:type="gramEnd"/>
      <w:r w:rsidRPr="00280A34">
        <w:rPr>
          <w:rFonts w:ascii="宋体" w:eastAsia="宋体" w:hAnsi="宋体"/>
          <w:lang w:eastAsia="zh-CN"/>
        </w:rPr>
        <w:t xml:space="preserve"> 朝向价值的长尾分布与地理归因</w:t>
      </w:r>
    </w:p>
    <w:p w14:paraId="1F9B6F39" w14:textId="77777777" w:rsidR="00EE4428" w:rsidRPr="00280A34" w:rsidRDefault="00000000">
      <w:pPr>
        <w:pStyle w:val="21"/>
        <w:rPr>
          <w:rFonts w:ascii="宋体" w:eastAsia="宋体" w:hAnsi="宋体"/>
          <w:lang w:eastAsia="zh-CN"/>
        </w:rPr>
      </w:pPr>
      <w:r w:rsidRPr="00280A34">
        <w:rPr>
          <w:rFonts w:ascii="宋体" w:eastAsia="宋体" w:hAnsi="宋体"/>
          <w:lang w:eastAsia="zh-CN"/>
        </w:rPr>
        <w:t>0. 数据与方法说明</w:t>
      </w:r>
    </w:p>
    <w:p w14:paraId="2906A3D7" w14:textId="77777777" w:rsidR="00EE4428" w:rsidRPr="00280A34" w:rsidRDefault="00000000">
      <w:pPr>
        <w:rPr>
          <w:rFonts w:ascii="宋体" w:eastAsia="宋体" w:hAnsi="宋体"/>
          <w:lang w:eastAsia="zh-CN"/>
        </w:rPr>
      </w:pPr>
      <w:r w:rsidRPr="00280A34">
        <w:rPr>
          <w:rFonts w:ascii="宋体" w:eastAsia="宋体" w:hAnsi="宋体"/>
          <w:lang w:eastAsia="zh-CN"/>
        </w:rPr>
        <w:t>本节所有定量结论基于以下</w:t>
      </w:r>
      <w:proofErr w:type="gramStart"/>
      <w:r w:rsidRPr="00280A34">
        <w:rPr>
          <w:rFonts w:ascii="宋体" w:eastAsia="宋体" w:hAnsi="宋体"/>
          <w:lang w:eastAsia="zh-CN"/>
        </w:rPr>
        <w:t>数据:</w:t>
      </w:r>
      <w:proofErr w:type="gramEnd"/>
    </w:p>
    <w:p w14:paraId="7EC8498A" w14:textId="77777777" w:rsidR="00EE4428" w:rsidRPr="00280A34" w:rsidRDefault="00000000">
      <w:pPr>
        <w:rPr>
          <w:rFonts w:ascii="宋体" w:eastAsia="宋体" w:hAnsi="宋体"/>
        </w:rPr>
      </w:pPr>
      <w:r w:rsidRPr="00280A34">
        <w:rPr>
          <w:rFonts w:ascii="宋体" w:eastAsia="宋体" w:hAnsi="宋体"/>
        </w:rPr>
        <w:t xml:space="preserve">(1) orientation_gain.csv (1,203 条): </w:t>
      </w:r>
      <w:proofErr w:type="spellStart"/>
      <w:r w:rsidRPr="00280A34">
        <w:rPr>
          <w:rFonts w:ascii="宋体" w:eastAsia="宋体" w:hAnsi="宋体"/>
        </w:rPr>
        <w:t>每个</w:t>
      </w:r>
      <w:proofErr w:type="spellEnd"/>
      <w:r w:rsidRPr="00280A34">
        <w:rPr>
          <w:rFonts w:ascii="宋体" w:eastAsia="宋体" w:hAnsi="宋体"/>
        </w:rPr>
        <w:t xml:space="preserve"> farm-year 的朝向优化 AEP 增益 = (S3_s1_opt_AEP - S3_real_AEP)/S3_real_AEP*100，由廷显的 task3_s3_comparison.csv 直接计算（FLORIS v4.6 Gauss，IEA 10MW，2014-2024 逐时风）。</w:t>
      </w:r>
    </w:p>
    <w:p w14:paraId="64BA3C8D" w14:textId="77777777" w:rsidR="00EE4428" w:rsidRPr="00280A34" w:rsidRDefault="00000000">
      <w:pPr>
        <w:rPr>
          <w:rFonts w:ascii="宋体" w:eastAsia="宋体" w:hAnsi="宋体"/>
        </w:rPr>
      </w:pPr>
      <w:r w:rsidRPr="00280A34">
        <w:rPr>
          <w:rFonts w:ascii="宋体" w:eastAsia="宋体" w:hAnsi="宋体"/>
        </w:rPr>
        <w:t>(2) farms_master.csv (171 场): 每场经纬度、台数、面积、国家、海域。</w:t>
      </w:r>
    </w:p>
    <w:p w14:paraId="57B1CC28" w14:textId="77777777" w:rsidR="00EE4428" w:rsidRPr="00280A34" w:rsidRDefault="00000000">
      <w:pPr>
        <w:rPr>
          <w:rFonts w:ascii="宋体" w:eastAsia="宋体" w:hAnsi="宋体"/>
          <w:lang w:eastAsia="zh-CN"/>
        </w:rPr>
      </w:pPr>
      <w:r w:rsidRPr="00280A34">
        <w:rPr>
          <w:rFonts w:ascii="宋体" w:eastAsia="宋体" w:hAnsi="宋体"/>
        </w:rPr>
        <w:t>(3) task1_wind_metrics.csv (171 场, 1,881 条): 琪明计算的逐场风向集中度指数 WCI_yearly（逐年）和 WCI_hist（历史气候态），以及历史风功率密度 WPD_hist 和风能主方向 theta_energy_hist。</w:t>
      </w:r>
      <w:r w:rsidRPr="00280A34">
        <w:rPr>
          <w:rFonts w:ascii="宋体" w:eastAsia="宋体" w:hAnsi="宋体"/>
          <w:lang w:eastAsia="zh-CN"/>
        </w:rPr>
        <w:t>WCI 定义为风向频率分布在风能主方向上的集中程度，取值范围 0-1，越高表示风玫瑰越窄。</w:t>
      </w:r>
    </w:p>
    <w:p w14:paraId="5AF1F9B0" w14:textId="77777777" w:rsidR="00EE4428" w:rsidRPr="00280A34" w:rsidRDefault="00000000">
      <w:pPr>
        <w:rPr>
          <w:rFonts w:ascii="宋体" w:eastAsia="宋体" w:hAnsi="宋体"/>
          <w:lang w:eastAsia="zh-CN"/>
        </w:rPr>
      </w:pPr>
      <w:r w:rsidRPr="00280A34">
        <w:rPr>
          <w:rFonts w:ascii="宋体" w:eastAsia="宋体" w:hAnsi="宋体"/>
          <w:lang w:eastAsia="zh-CN"/>
        </w:rPr>
        <w:t xml:space="preserve">(4) farm_ws_stats.csv </w:t>
      </w:r>
      <w:proofErr w:type="gramStart"/>
      <w:r w:rsidRPr="00280A34">
        <w:rPr>
          <w:rFonts w:ascii="宋体" w:eastAsia="宋体" w:hAnsi="宋体"/>
          <w:lang w:eastAsia="zh-CN"/>
        </w:rPr>
        <w:t>(1,203 条)</w:t>
      </w:r>
      <w:proofErr w:type="gramEnd"/>
      <w:r w:rsidRPr="00280A34">
        <w:rPr>
          <w:rFonts w:ascii="宋体" w:eastAsia="宋体" w:hAnsi="宋体"/>
          <w:lang w:eastAsia="zh-CN"/>
        </w:rPr>
        <w:t>: 逐场逐年轮毂高度真实风速统计。</w:t>
      </w:r>
    </w:p>
    <w:p w14:paraId="1004C901" w14:textId="77777777" w:rsidR="00EE4428" w:rsidRPr="00280A34" w:rsidRDefault="00000000">
      <w:pPr>
        <w:rPr>
          <w:rFonts w:ascii="宋体" w:eastAsia="宋体" w:hAnsi="宋体"/>
          <w:lang w:eastAsia="zh-CN"/>
        </w:rPr>
      </w:pPr>
      <w:r w:rsidRPr="00280A34">
        <w:rPr>
          <w:rFonts w:ascii="宋体" w:eastAsia="宋体" w:hAnsi="宋体"/>
          <w:lang w:eastAsia="zh-CN"/>
        </w:rPr>
        <w:t>理论</w:t>
      </w:r>
      <w:proofErr w:type="gramStart"/>
      <w:r w:rsidRPr="00280A34">
        <w:rPr>
          <w:rFonts w:ascii="宋体" w:eastAsia="宋体" w:hAnsi="宋体"/>
          <w:lang w:eastAsia="zh-CN"/>
        </w:rPr>
        <w:t>框架:</w:t>
      </w:r>
      <w:proofErr w:type="gramEnd"/>
      <w:r w:rsidRPr="00280A34">
        <w:rPr>
          <w:rFonts w:ascii="宋体" w:eastAsia="宋体" w:hAnsi="宋体"/>
          <w:lang w:eastAsia="zh-CN"/>
        </w:rPr>
        <w:t xml:space="preserve"> 朝向收益 = 排布主轴与风能主方向的正交程度 × 风玫瑰的集中程度 × 尾流空间的几何约束。其中第一项由真实的选址/审批决定，第二项由气候与地形决定，第三项由场规模（台数、面积）决定。</w:t>
      </w:r>
    </w:p>
    <w:p w14:paraId="229FECB4" w14:textId="77777777" w:rsidR="00EE4428" w:rsidRPr="00280A34" w:rsidRDefault="00000000">
      <w:pPr>
        <w:pStyle w:val="21"/>
        <w:rPr>
          <w:rFonts w:ascii="宋体" w:eastAsia="宋体" w:hAnsi="宋体"/>
          <w:lang w:eastAsia="zh-CN"/>
        </w:rPr>
      </w:pPr>
      <w:r w:rsidRPr="00280A34">
        <w:rPr>
          <w:rFonts w:ascii="宋体" w:eastAsia="宋体" w:hAnsi="宋体"/>
          <w:lang w:eastAsia="zh-CN"/>
        </w:rPr>
        <w:t>1. 朝向收益的统计分布</w:t>
      </w:r>
    </w:p>
    <w:p w14:paraId="6C4877DA" w14:textId="77777777" w:rsidR="00EE4428" w:rsidRPr="00280A34" w:rsidRDefault="00000000">
      <w:pPr>
        <w:rPr>
          <w:rFonts w:ascii="宋体" w:eastAsia="宋体" w:hAnsi="宋体"/>
          <w:lang w:eastAsia="zh-CN"/>
        </w:rPr>
      </w:pPr>
      <w:r w:rsidRPr="00280A34">
        <w:rPr>
          <w:rFonts w:ascii="宋体" w:eastAsia="宋体" w:hAnsi="宋体"/>
          <w:lang w:eastAsia="zh-CN"/>
        </w:rPr>
        <w:t xml:space="preserve">S3 三类排布对比（171 场 × 2014-2024 年）给出了朝向优化的完整分布图景。均值 +0.92%，但这是一个高度右偏的分布——中位数仅为 +0.28%，分布的主体集中在接近零的区域，而右尾被极少数高收益场扯高。具体而言，171 个风场中仅有 7 个 </w:t>
      </w:r>
      <w:proofErr w:type="gramStart"/>
      <w:r w:rsidRPr="00280A34">
        <w:rPr>
          <w:rFonts w:ascii="宋体" w:eastAsia="宋体" w:hAnsi="宋体"/>
          <w:lang w:eastAsia="zh-CN"/>
        </w:rPr>
        <w:t>(4.1%)</w:t>
      </w:r>
      <w:proofErr w:type="gramEnd"/>
      <w:r w:rsidRPr="00280A34">
        <w:rPr>
          <w:rFonts w:ascii="宋体" w:eastAsia="宋体" w:hAnsi="宋体"/>
          <w:lang w:eastAsia="zh-CN"/>
        </w:rPr>
        <w:t xml:space="preserve"> 的朝向优化收益超过 5%，仅 1 个 </w:t>
      </w:r>
      <w:proofErr w:type="gramStart"/>
      <w:r w:rsidRPr="00280A34">
        <w:rPr>
          <w:rFonts w:ascii="宋体" w:eastAsia="宋体" w:hAnsi="宋体"/>
          <w:lang w:eastAsia="zh-CN"/>
        </w:rPr>
        <w:t>(0.6%)</w:t>
      </w:r>
      <w:proofErr w:type="gramEnd"/>
      <w:r w:rsidRPr="00280A34">
        <w:rPr>
          <w:rFonts w:ascii="宋体" w:eastAsia="宋体" w:hAnsi="宋体"/>
          <w:lang w:eastAsia="zh-CN"/>
        </w:rPr>
        <w:t xml:space="preserve"> 超过 10%。P90=+2.5%，P95=+4.1%，P99=+17.8%。</w:t>
      </w:r>
    </w:p>
    <w:p w14:paraId="332AC475" w14:textId="77777777" w:rsidR="00EE4428" w:rsidRPr="00280A34" w:rsidRDefault="00000000">
      <w:pPr>
        <w:rPr>
          <w:rFonts w:ascii="宋体" w:eastAsia="宋体" w:hAnsi="宋体"/>
          <w:lang w:eastAsia="zh-CN"/>
        </w:rPr>
      </w:pPr>
      <w:r w:rsidRPr="00280A34">
        <w:rPr>
          <w:rFonts w:ascii="宋体" w:eastAsia="宋体" w:hAnsi="宋体"/>
          <w:lang w:eastAsia="zh-CN"/>
        </w:rPr>
        <w:t>这一分布形态有两种解读。从均值视角看，朝向确实在全球尺度上几乎无关紧要——对绝大多数风场而言，换一个角度带来的 AEP 变化在 1% 以内。但从分布视角看，朝向在少数特殊海域具有与密度优化同量级的第一阶重要性——在越南 F57、意大利 F155 等场址，朝向本身就是单次设计决策中收益最大的变量。</w:t>
      </w:r>
    </w:p>
    <w:p w14:paraId="0ABF8377" w14:textId="77777777" w:rsidR="00EE4428" w:rsidRPr="00280A34" w:rsidRDefault="00000000">
      <w:pPr>
        <w:rPr>
          <w:rFonts w:ascii="宋体" w:eastAsia="宋体" w:hAnsi="宋体"/>
        </w:rPr>
      </w:pPr>
      <w:proofErr w:type="spellStart"/>
      <w:r w:rsidRPr="00280A34">
        <w:rPr>
          <w:rFonts w:ascii="宋体" w:eastAsia="宋体" w:hAnsi="宋体"/>
        </w:rPr>
        <w:t>数据依据</w:t>
      </w:r>
      <w:proofErr w:type="spellEnd"/>
      <w:r w:rsidRPr="00280A34">
        <w:rPr>
          <w:rFonts w:ascii="宋体" w:eastAsia="宋体" w:hAnsi="宋体"/>
        </w:rPr>
        <w:t xml:space="preserve">: orientation_gain.csv (1203 个 farm-year </w:t>
      </w:r>
      <w:proofErr w:type="gramStart"/>
      <w:r w:rsidRPr="00280A34">
        <w:rPr>
          <w:rFonts w:ascii="宋体" w:eastAsia="宋体" w:hAnsi="宋体"/>
        </w:rPr>
        <w:t>的增益百分比分布)。</w:t>
      </w:r>
      <w:proofErr w:type="gramEnd"/>
    </w:p>
    <w:p w14:paraId="7023203A" w14:textId="77777777" w:rsidR="00EE4428" w:rsidRPr="00280A34" w:rsidRDefault="00000000">
      <w:pPr>
        <w:pStyle w:val="21"/>
        <w:rPr>
          <w:rFonts w:ascii="宋体" w:eastAsia="宋体" w:hAnsi="宋体"/>
        </w:rPr>
      </w:pPr>
      <w:r w:rsidRPr="00280A34">
        <w:rPr>
          <w:rFonts w:ascii="宋体" w:eastAsia="宋体" w:hAnsi="宋体"/>
        </w:rPr>
        <w:t>2. 高收益场的区域聚集与地理成因</w:t>
      </w:r>
    </w:p>
    <w:p w14:paraId="0E985386" w14:textId="77777777" w:rsidR="00EE4428" w:rsidRPr="00280A34" w:rsidRDefault="00000000">
      <w:pPr>
        <w:rPr>
          <w:rFonts w:ascii="宋体" w:eastAsia="宋体" w:hAnsi="宋体"/>
        </w:rPr>
      </w:pPr>
      <w:r w:rsidRPr="00280A34">
        <w:rPr>
          <w:rFonts w:ascii="宋体" w:eastAsia="宋体" w:hAnsi="宋体"/>
        </w:rPr>
        <w:t>7 个高收益场 (增益 &gt;5%) 呈现出清晰的区域聚集性:</w:t>
      </w:r>
    </w:p>
    <w:p w14:paraId="04C8F84D" w14:textId="77777777" w:rsidR="00EE4428" w:rsidRPr="00280A34" w:rsidRDefault="00000000">
      <w:pPr>
        <w:rPr>
          <w:rFonts w:ascii="宋体" w:eastAsia="宋体" w:hAnsi="宋体"/>
          <w:lang w:eastAsia="zh-CN"/>
        </w:rPr>
      </w:pPr>
      <w:r w:rsidRPr="00280A34">
        <w:rPr>
          <w:rFonts w:ascii="宋体" w:eastAsia="宋体" w:hAnsi="宋体"/>
        </w:rPr>
        <w:t xml:space="preserve">- 越南中南部近海 3 个: F57 (增益 +18.2%, 82 </w:t>
      </w:r>
      <w:proofErr w:type="gramStart"/>
      <w:r w:rsidRPr="00280A34">
        <w:rPr>
          <w:rFonts w:ascii="宋体" w:eastAsia="宋体" w:hAnsi="宋体"/>
        </w:rPr>
        <w:t>台)、</w:t>
      </w:r>
      <w:proofErr w:type="gramEnd"/>
      <w:r w:rsidRPr="00280A34">
        <w:rPr>
          <w:rFonts w:ascii="宋体" w:eastAsia="宋体" w:hAnsi="宋体"/>
        </w:rPr>
        <w:t xml:space="preserve">F126 (+5.2%, 28 </w:t>
      </w:r>
      <w:proofErr w:type="gramStart"/>
      <w:r w:rsidRPr="00280A34">
        <w:rPr>
          <w:rFonts w:ascii="宋体" w:eastAsia="宋体" w:hAnsi="宋体"/>
        </w:rPr>
        <w:t>台)、</w:t>
      </w:r>
      <w:proofErr w:type="gramEnd"/>
      <w:r w:rsidRPr="00280A34">
        <w:rPr>
          <w:rFonts w:ascii="宋体" w:eastAsia="宋体" w:hAnsi="宋体"/>
        </w:rPr>
        <w:t xml:space="preserve">F159 (+5.2%, 7 </w:t>
      </w:r>
      <w:proofErr w:type="gramStart"/>
      <w:r w:rsidRPr="00280A34">
        <w:rPr>
          <w:rFonts w:ascii="宋体" w:eastAsia="宋体" w:hAnsi="宋体"/>
        </w:rPr>
        <w:t>台)。</w:t>
      </w:r>
      <w:proofErr w:type="gramEnd"/>
      <w:r w:rsidRPr="00280A34">
        <w:rPr>
          <w:rFonts w:ascii="宋体" w:eastAsia="宋体" w:hAnsi="宋体"/>
          <w:lang w:eastAsia="zh-CN"/>
        </w:rPr>
        <w:t>均位于湄公河三角洲东南海域 (9.1-9.5°N, 105.6-106.5°</w:t>
      </w:r>
      <w:proofErr w:type="gramStart"/>
      <w:r w:rsidRPr="00280A34">
        <w:rPr>
          <w:rFonts w:ascii="宋体" w:eastAsia="宋体" w:hAnsi="宋体"/>
          <w:lang w:eastAsia="zh-CN"/>
        </w:rPr>
        <w:t>E)，</w:t>
      </w:r>
      <w:proofErr w:type="gramEnd"/>
      <w:r w:rsidRPr="00280A34">
        <w:rPr>
          <w:rFonts w:ascii="宋体" w:eastAsia="宋体" w:hAnsi="宋体"/>
          <w:lang w:eastAsia="zh-CN"/>
        </w:rPr>
        <w:t xml:space="preserve">受东亚冬季东北季风单向控制，ERA5 逐日数据 (1981-2010) 重建的风向分布在冬季呈极窄扇形。F57 以 +18.2% </w:t>
      </w:r>
      <w:r w:rsidRPr="00280A34">
        <w:rPr>
          <w:rFonts w:ascii="宋体" w:eastAsia="宋体" w:hAnsi="宋体"/>
          <w:lang w:eastAsia="zh-CN"/>
        </w:rPr>
        <w:lastRenderedPageBreak/>
        <w:t>位居全球首位——选择最优朝向可将其 AEP 较最差朝向提升近五分之一，这一量级已超过本研究的 POC 点阵优化中位收益 (+6.2</w:t>
      </w:r>
      <w:proofErr w:type="gramStart"/>
      <w:r w:rsidRPr="00280A34">
        <w:rPr>
          <w:rFonts w:ascii="宋体" w:eastAsia="宋体" w:hAnsi="宋体"/>
          <w:lang w:eastAsia="zh-CN"/>
        </w:rPr>
        <w:t>%)。</w:t>
      </w:r>
      <w:proofErr w:type="gramEnd"/>
    </w:p>
    <w:p w14:paraId="2CEA536D" w14:textId="77777777" w:rsidR="00EE4428" w:rsidRPr="00280A34" w:rsidRDefault="00000000">
      <w:pPr>
        <w:rPr>
          <w:rFonts w:ascii="宋体" w:eastAsia="宋体" w:hAnsi="宋体"/>
          <w:lang w:eastAsia="zh-CN"/>
        </w:rPr>
      </w:pPr>
      <w:r w:rsidRPr="00280A34">
        <w:rPr>
          <w:rFonts w:ascii="宋体" w:eastAsia="宋体" w:hAnsi="宋体"/>
          <w:lang w:eastAsia="zh-CN"/>
        </w:rPr>
        <w:t>- 中国东南沿海 2 个: F66 (杭州湾</w:t>
      </w:r>
      <w:proofErr w:type="gramStart"/>
      <w:r w:rsidRPr="00280A34">
        <w:rPr>
          <w:rFonts w:ascii="宋体" w:eastAsia="宋体" w:hAnsi="宋体"/>
          <w:lang w:eastAsia="zh-CN"/>
        </w:rPr>
        <w:t>口,</w:t>
      </w:r>
      <w:proofErr w:type="gramEnd"/>
      <w:r w:rsidRPr="00280A34">
        <w:rPr>
          <w:rFonts w:ascii="宋体" w:eastAsia="宋体" w:hAnsi="宋体"/>
          <w:lang w:eastAsia="zh-CN"/>
        </w:rPr>
        <w:t xml:space="preserve"> +7.8%, 74 </w:t>
      </w:r>
      <w:proofErr w:type="gramStart"/>
      <w:r w:rsidRPr="00280A34">
        <w:rPr>
          <w:rFonts w:ascii="宋体" w:eastAsia="宋体" w:hAnsi="宋体"/>
          <w:lang w:eastAsia="zh-CN"/>
        </w:rPr>
        <w:t>台)</w:t>
      </w:r>
      <w:proofErr w:type="gramEnd"/>
      <w:r w:rsidRPr="00280A34">
        <w:rPr>
          <w:rFonts w:ascii="宋体" w:eastAsia="宋体" w:hAnsi="宋体"/>
          <w:lang w:eastAsia="zh-CN"/>
        </w:rPr>
        <w:t>、F91 (珠江</w:t>
      </w:r>
      <w:proofErr w:type="gramStart"/>
      <w:r w:rsidRPr="00280A34">
        <w:rPr>
          <w:rFonts w:ascii="宋体" w:eastAsia="宋体" w:hAnsi="宋体"/>
          <w:lang w:eastAsia="zh-CN"/>
        </w:rPr>
        <w:t>口,</w:t>
      </w:r>
      <w:proofErr w:type="gramEnd"/>
      <w:r w:rsidRPr="00280A34">
        <w:rPr>
          <w:rFonts w:ascii="宋体" w:eastAsia="宋体" w:hAnsi="宋体"/>
          <w:lang w:eastAsia="zh-CN"/>
        </w:rPr>
        <w:t xml:space="preserve"> +6.6%, 55 </w:t>
      </w:r>
      <w:proofErr w:type="gramStart"/>
      <w:r w:rsidRPr="00280A34">
        <w:rPr>
          <w:rFonts w:ascii="宋体" w:eastAsia="宋体" w:hAnsi="宋体"/>
          <w:lang w:eastAsia="zh-CN"/>
        </w:rPr>
        <w:t>台)。</w:t>
      </w:r>
      <w:proofErr w:type="gramEnd"/>
      <w:r w:rsidRPr="00280A34">
        <w:rPr>
          <w:rFonts w:ascii="宋体" w:eastAsia="宋体" w:hAnsi="宋体"/>
          <w:lang w:eastAsia="zh-CN"/>
        </w:rPr>
        <w:t>均位于海峡/海湾出口的地形整流区——东北季风被台湾海峡和近岸山脉约束为近乎单向来流后，在海湾出口处恢复传播方向的高度一致性。</w:t>
      </w:r>
    </w:p>
    <w:p w14:paraId="348F51F1" w14:textId="77777777" w:rsidR="00EE4428" w:rsidRPr="00280A34" w:rsidRDefault="00000000">
      <w:pPr>
        <w:rPr>
          <w:rFonts w:ascii="宋体" w:eastAsia="宋体" w:hAnsi="宋体"/>
          <w:lang w:eastAsia="zh-CN"/>
        </w:rPr>
      </w:pPr>
      <w:r w:rsidRPr="00280A34">
        <w:rPr>
          <w:rFonts w:ascii="宋体" w:eastAsia="宋体" w:hAnsi="宋体"/>
          <w:lang w:eastAsia="zh-CN"/>
        </w:rPr>
        <w:t>- 地中海 1 个: F155 (意大利塔兰托</w:t>
      </w:r>
      <w:proofErr w:type="gramStart"/>
      <w:r w:rsidRPr="00280A34">
        <w:rPr>
          <w:rFonts w:ascii="宋体" w:eastAsia="宋体" w:hAnsi="宋体"/>
          <w:lang w:eastAsia="zh-CN"/>
        </w:rPr>
        <w:t>湾,</w:t>
      </w:r>
      <w:proofErr w:type="gramEnd"/>
      <w:r w:rsidRPr="00280A34">
        <w:rPr>
          <w:rFonts w:ascii="宋体" w:eastAsia="宋体" w:hAnsi="宋体"/>
          <w:lang w:eastAsia="zh-CN"/>
        </w:rPr>
        <w:t xml:space="preserve"> +9.6%, 9 </w:t>
      </w:r>
      <w:proofErr w:type="gramStart"/>
      <w:r w:rsidRPr="00280A34">
        <w:rPr>
          <w:rFonts w:ascii="宋体" w:eastAsia="宋体" w:hAnsi="宋体"/>
          <w:lang w:eastAsia="zh-CN"/>
        </w:rPr>
        <w:t>台)。</w:t>
      </w:r>
      <w:proofErr w:type="gramEnd"/>
      <w:r w:rsidRPr="00280A34">
        <w:rPr>
          <w:rFonts w:ascii="宋体" w:eastAsia="宋体" w:hAnsi="宋体"/>
          <w:lang w:eastAsia="zh-CN"/>
        </w:rPr>
        <w:t xml:space="preserve">位于亚得里亚海南端狭管风口，布拉风 </w:t>
      </w:r>
      <w:proofErr w:type="gramStart"/>
      <w:r w:rsidRPr="00280A34">
        <w:rPr>
          <w:rFonts w:ascii="宋体" w:eastAsia="宋体" w:hAnsi="宋体"/>
          <w:lang w:eastAsia="zh-CN"/>
        </w:rPr>
        <w:t>(Bora)</w:t>
      </w:r>
      <w:proofErr w:type="gramEnd"/>
      <w:r w:rsidRPr="00280A34">
        <w:rPr>
          <w:rFonts w:ascii="宋体" w:eastAsia="宋体" w:hAnsi="宋体"/>
          <w:lang w:eastAsia="zh-CN"/>
        </w:rPr>
        <w:t xml:space="preserve"> 和密史托拉风 </w:t>
      </w:r>
      <w:proofErr w:type="gramStart"/>
      <w:r w:rsidRPr="00280A34">
        <w:rPr>
          <w:rFonts w:ascii="宋体" w:eastAsia="宋体" w:hAnsi="宋体"/>
          <w:lang w:eastAsia="zh-CN"/>
        </w:rPr>
        <w:t>(Mistral)</w:t>
      </w:r>
      <w:proofErr w:type="gramEnd"/>
      <w:r w:rsidRPr="00280A34">
        <w:rPr>
          <w:rFonts w:ascii="宋体" w:eastAsia="宋体" w:hAnsi="宋体"/>
          <w:lang w:eastAsia="zh-CN"/>
        </w:rPr>
        <w:t xml:space="preserve"> 的通道效应使局部风况高度单向。但该场仅为 9 台微型场，</w:t>
      </w:r>
      <w:proofErr w:type="spellStart"/>
      <w:r w:rsidRPr="00280A34">
        <w:rPr>
          <w:rFonts w:ascii="宋体" w:eastAsia="宋体" w:hAnsi="宋体"/>
          <w:lang w:eastAsia="zh-CN"/>
        </w:rPr>
        <w:t>WCI_hist</w:t>
      </w:r>
      <w:proofErr w:type="spellEnd"/>
      <w:r w:rsidRPr="00280A34">
        <w:rPr>
          <w:rFonts w:ascii="宋体" w:eastAsia="宋体" w:hAnsi="宋体"/>
          <w:lang w:eastAsia="zh-CN"/>
        </w:rPr>
        <w:t>=0.15 并不高——其高朝向收益更多来自微型场的几何放大效应 (尾流域紧凑，微小朝向变化即导致上下游关系</w:t>
      </w:r>
      <w:proofErr w:type="gramStart"/>
      <w:r w:rsidRPr="00280A34">
        <w:rPr>
          <w:rFonts w:ascii="宋体" w:eastAsia="宋体" w:hAnsi="宋体"/>
          <w:lang w:eastAsia="zh-CN"/>
        </w:rPr>
        <w:t>重组)。</w:t>
      </w:r>
      <w:proofErr w:type="gramEnd"/>
    </w:p>
    <w:p w14:paraId="7947601E" w14:textId="77777777" w:rsidR="00EE4428" w:rsidRPr="00280A34" w:rsidRDefault="00000000">
      <w:pPr>
        <w:rPr>
          <w:rFonts w:ascii="宋体" w:eastAsia="宋体" w:hAnsi="宋体"/>
          <w:lang w:eastAsia="zh-CN"/>
        </w:rPr>
      </w:pPr>
      <w:r w:rsidRPr="00280A34">
        <w:rPr>
          <w:rFonts w:ascii="宋体" w:eastAsia="宋体" w:hAnsi="宋体"/>
          <w:lang w:eastAsia="zh-CN"/>
        </w:rPr>
        <w:t>- 波罗的海 1 个: F157 (丹麦</w:t>
      </w:r>
      <w:proofErr w:type="gramStart"/>
      <w:r w:rsidRPr="00280A34">
        <w:rPr>
          <w:rFonts w:ascii="宋体" w:eastAsia="宋体" w:hAnsi="宋体"/>
          <w:lang w:eastAsia="zh-CN"/>
        </w:rPr>
        <w:t>海峡,</w:t>
      </w:r>
      <w:proofErr w:type="gramEnd"/>
      <w:r w:rsidRPr="00280A34">
        <w:rPr>
          <w:rFonts w:ascii="宋体" w:eastAsia="宋体" w:hAnsi="宋体"/>
          <w:lang w:eastAsia="zh-CN"/>
        </w:rPr>
        <w:t xml:space="preserve"> +6.9%, 7 </w:t>
      </w:r>
      <w:proofErr w:type="gramStart"/>
      <w:r w:rsidRPr="00280A34">
        <w:rPr>
          <w:rFonts w:ascii="宋体" w:eastAsia="宋体" w:hAnsi="宋体"/>
          <w:lang w:eastAsia="zh-CN"/>
        </w:rPr>
        <w:t>台)。</w:t>
      </w:r>
      <w:proofErr w:type="gramEnd"/>
      <w:r w:rsidRPr="00280A34">
        <w:rPr>
          <w:rFonts w:ascii="宋体" w:eastAsia="宋体" w:hAnsi="宋体"/>
          <w:lang w:eastAsia="zh-CN"/>
        </w:rPr>
        <w:t>同属微型场 + 海峡地形整流，</w:t>
      </w:r>
      <w:proofErr w:type="spellStart"/>
      <w:r w:rsidRPr="00280A34">
        <w:rPr>
          <w:rFonts w:ascii="宋体" w:eastAsia="宋体" w:hAnsi="宋体"/>
          <w:lang w:eastAsia="zh-CN"/>
        </w:rPr>
        <w:t>WCI_yearly</w:t>
      </w:r>
      <w:proofErr w:type="spellEnd"/>
      <w:r w:rsidRPr="00280A34">
        <w:rPr>
          <w:rFonts w:ascii="宋体" w:eastAsia="宋体" w:hAnsi="宋体"/>
          <w:lang w:eastAsia="zh-CN"/>
        </w:rPr>
        <w:t>=0.23。</w:t>
      </w:r>
    </w:p>
    <w:p w14:paraId="423F495F" w14:textId="77777777" w:rsidR="00EE4428" w:rsidRPr="00280A34" w:rsidRDefault="00000000">
      <w:pPr>
        <w:rPr>
          <w:rFonts w:ascii="宋体" w:eastAsia="宋体" w:hAnsi="宋体"/>
          <w:lang w:eastAsia="zh-CN"/>
        </w:rPr>
      </w:pPr>
      <w:r w:rsidRPr="00280A34">
        <w:rPr>
          <w:rFonts w:ascii="宋体" w:eastAsia="宋体" w:hAnsi="宋体"/>
          <w:lang w:eastAsia="zh-CN"/>
        </w:rPr>
        <w:t xml:space="preserve">数据依据: orientation_gain.csv </w:t>
      </w:r>
      <w:proofErr w:type="gramStart"/>
      <w:r w:rsidRPr="00280A34">
        <w:rPr>
          <w:rFonts w:ascii="宋体" w:eastAsia="宋体" w:hAnsi="宋体"/>
          <w:lang w:eastAsia="zh-CN"/>
        </w:rPr>
        <w:t>(增益值)</w:t>
      </w:r>
      <w:proofErr w:type="gramEnd"/>
      <w:r w:rsidRPr="00280A34">
        <w:rPr>
          <w:rFonts w:ascii="宋体" w:eastAsia="宋体" w:hAnsi="宋体"/>
          <w:lang w:eastAsia="zh-CN"/>
        </w:rPr>
        <w:t xml:space="preserve"> + farms_master.csv (经纬度、台数、</w:t>
      </w:r>
      <w:proofErr w:type="gramStart"/>
      <w:r w:rsidRPr="00280A34">
        <w:rPr>
          <w:rFonts w:ascii="宋体" w:eastAsia="宋体" w:hAnsi="宋体"/>
          <w:lang w:eastAsia="zh-CN"/>
        </w:rPr>
        <w:t>面积)</w:t>
      </w:r>
      <w:proofErr w:type="gramEnd"/>
      <w:r w:rsidRPr="00280A34">
        <w:rPr>
          <w:rFonts w:ascii="宋体" w:eastAsia="宋体" w:hAnsi="宋体"/>
          <w:lang w:eastAsia="zh-CN"/>
        </w:rPr>
        <w:t xml:space="preserve"> + task1_wind_metrics.csv (</w:t>
      </w:r>
      <w:proofErr w:type="spellStart"/>
      <w:r w:rsidRPr="00280A34">
        <w:rPr>
          <w:rFonts w:ascii="宋体" w:eastAsia="宋体" w:hAnsi="宋体"/>
          <w:lang w:eastAsia="zh-CN"/>
        </w:rPr>
        <w:t>WCI_hist</w:t>
      </w:r>
      <w:proofErr w:type="spellEnd"/>
      <w:r w:rsidRPr="00280A34">
        <w:rPr>
          <w:rFonts w:ascii="宋体" w:eastAsia="宋体" w:hAnsi="宋体"/>
          <w:lang w:eastAsia="zh-CN"/>
        </w:rPr>
        <w:t>/</w:t>
      </w:r>
      <w:proofErr w:type="spellStart"/>
      <w:r w:rsidRPr="00280A34">
        <w:rPr>
          <w:rFonts w:ascii="宋体" w:eastAsia="宋体" w:hAnsi="宋体"/>
          <w:lang w:eastAsia="zh-CN"/>
        </w:rPr>
        <w:t>WCI_yearly</w:t>
      </w:r>
      <w:proofErr w:type="spellEnd"/>
      <w:r w:rsidRPr="00280A34">
        <w:rPr>
          <w:rFonts w:ascii="宋体" w:eastAsia="宋体" w:hAnsi="宋体"/>
          <w:lang w:eastAsia="zh-CN"/>
        </w:rPr>
        <w:t xml:space="preserve">, </w:t>
      </w:r>
      <w:proofErr w:type="spellStart"/>
      <w:r w:rsidRPr="00280A34">
        <w:rPr>
          <w:rFonts w:ascii="宋体" w:eastAsia="宋体" w:hAnsi="宋体"/>
          <w:lang w:eastAsia="zh-CN"/>
        </w:rPr>
        <w:t>theta_energy_hist</w:t>
      </w:r>
      <w:proofErr w:type="spellEnd"/>
      <w:r w:rsidRPr="00280A34">
        <w:rPr>
          <w:rFonts w:ascii="宋体" w:eastAsia="宋体" w:hAnsi="宋体"/>
          <w:lang w:eastAsia="zh-CN"/>
        </w:rPr>
        <w:t>) + ERA5 baseline daily 1981-2010 (风场逐日风向频率分布重建，用于验证风玫瑰窄扇</w:t>
      </w:r>
      <w:proofErr w:type="gramStart"/>
      <w:r w:rsidRPr="00280A34">
        <w:rPr>
          <w:rFonts w:ascii="宋体" w:eastAsia="宋体" w:hAnsi="宋体"/>
          <w:lang w:eastAsia="zh-CN"/>
        </w:rPr>
        <w:t>性)。</w:t>
      </w:r>
      <w:proofErr w:type="gramEnd"/>
    </w:p>
    <w:p w14:paraId="10EE9FB3" w14:textId="77777777" w:rsidR="00EE4428" w:rsidRPr="00280A34" w:rsidRDefault="00000000">
      <w:pPr>
        <w:pStyle w:val="21"/>
        <w:rPr>
          <w:rFonts w:ascii="宋体" w:eastAsia="宋体" w:hAnsi="宋体"/>
        </w:rPr>
      </w:pPr>
      <w:r w:rsidRPr="00280A34">
        <w:rPr>
          <w:rFonts w:ascii="宋体" w:eastAsia="宋体" w:hAnsi="宋体"/>
        </w:rPr>
        <w:t xml:space="preserve">3. WCI </w:t>
      </w:r>
      <w:proofErr w:type="spellStart"/>
      <w:r w:rsidRPr="00280A34">
        <w:rPr>
          <w:rFonts w:ascii="宋体" w:eastAsia="宋体" w:hAnsi="宋体"/>
        </w:rPr>
        <w:t>与朝向收益的定量关系</w:t>
      </w:r>
      <w:proofErr w:type="spellEnd"/>
    </w:p>
    <w:p w14:paraId="2D7155DE" w14:textId="77777777" w:rsidR="00EE4428" w:rsidRPr="00280A34" w:rsidRDefault="00000000">
      <w:pPr>
        <w:rPr>
          <w:rFonts w:ascii="宋体" w:eastAsia="宋体" w:hAnsi="宋体"/>
          <w:lang w:eastAsia="zh-CN"/>
        </w:rPr>
      </w:pPr>
      <w:r w:rsidRPr="00280A34">
        <w:rPr>
          <w:rFonts w:ascii="宋体" w:eastAsia="宋体" w:hAnsi="宋体"/>
        </w:rPr>
        <w:t>利用 task1_wind_metrics.csv 中 171 场全覆盖的 WCI_yearly 数据 (逐年风向集中度)，计算朝向收益 (gain) 与 WCI 的 Pearson 相关系数: r=0.12 (p&gt;0.05, n=</w:t>
      </w:r>
      <w:proofErr w:type="gramStart"/>
      <w:r w:rsidRPr="00280A34">
        <w:rPr>
          <w:rFonts w:ascii="宋体" w:eastAsia="宋体" w:hAnsi="宋体"/>
        </w:rPr>
        <w:t>171)。</w:t>
      </w:r>
      <w:proofErr w:type="gramEnd"/>
      <w:r w:rsidRPr="00280A34">
        <w:rPr>
          <w:rFonts w:ascii="宋体" w:eastAsia="宋体" w:hAnsi="宋体"/>
          <w:lang w:eastAsia="zh-CN"/>
        </w:rPr>
        <w:t>二者仅呈极弱的正相关——WCI 单独无法解释朝向收益的跨场差异。</w:t>
      </w:r>
    </w:p>
    <w:p w14:paraId="6FF7F632" w14:textId="77777777" w:rsidR="00EE4428" w:rsidRPr="00280A34" w:rsidRDefault="00000000">
      <w:pPr>
        <w:rPr>
          <w:rFonts w:ascii="宋体" w:eastAsia="宋体" w:hAnsi="宋体"/>
          <w:lang w:eastAsia="zh-CN"/>
        </w:rPr>
      </w:pPr>
      <w:r w:rsidRPr="00280A34">
        <w:rPr>
          <w:rFonts w:ascii="宋体" w:eastAsia="宋体" w:hAnsi="宋体"/>
          <w:lang w:eastAsia="zh-CN"/>
        </w:rPr>
        <w:t>但这并不否定风向集中度的作用。分区来</w:t>
      </w:r>
      <w:proofErr w:type="gramStart"/>
      <w:r w:rsidRPr="00280A34">
        <w:rPr>
          <w:rFonts w:ascii="宋体" w:eastAsia="宋体" w:hAnsi="宋体"/>
          <w:lang w:eastAsia="zh-CN"/>
        </w:rPr>
        <w:t>看:</w:t>
      </w:r>
      <w:proofErr w:type="gramEnd"/>
      <w:r w:rsidRPr="00280A34">
        <w:rPr>
          <w:rFonts w:ascii="宋体" w:eastAsia="宋体" w:hAnsi="宋体"/>
          <w:lang w:eastAsia="zh-CN"/>
        </w:rPr>
        <w:t xml:space="preserve"> 将 171 场按 WCI 四分位分组，WCI 最高四分之一 </w:t>
      </w:r>
      <w:proofErr w:type="gramStart"/>
      <w:r w:rsidRPr="00280A34">
        <w:rPr>
          <w:rFonts w:ascii="宋体" w:eastAsia="宋体" w:hAnsi="宋体"/>
          <w:lang w:eastAsia="zh-CN"/>
        </w:rPr>
        <w:t>(WCI&gt;0.25)</w:t>
      </w:r>
      <w:proofErr w:type="gramEnd"/>
      <w:r w:rsidRPr="00280A34">
        <w:rPr>
          <w:rFonts w:ascii="宋体" w:eastAsia="宋体" w:hAnsi="宋体"/>
          <w:lang w:eastAsia="zh-CN"/>
        </w:rPr>
        <w:t xml:space="preserve"> 的平均朝向收益为 +1.2%，而 WCI 最低四分之一 </w:t>
      </w:r>
      <w:proofErr w:type="gramStart"/>
      <w:r w:rsidRPr="00280A34">
        <w:rPr>
          <w:rFonts w:ascii="宋体" w:eastAsia="宋体" w:hAnsi="宋体"/>
          <w:lang w:eastAsia="zh-CN"/>
        </w:rPr>
        <w:t>(WCI&lt;0.12)</w:t>
      </w:r>
      <w:proofErr w:type="gramEnd"/>
      <w:r w:rsidRPr="00280A34">
        <w:rPr>
          <w:rFonts w:ascii="宋体" w:eastAsia="宋体" w:hAnsi="宋体"/>
          <w:lang w:eastAsia="zh-CN"/>
        </w:rPr>
        <w:t xml:space="preserve"> 为 +0.6%——差异仅为 0.6 个百分点。WCI 是必要条件 </w:t>
      </w:r>
      <w:proofErr w:type="gramStart"/>
      <w:r w:rsidRPr="00280A34">
        <w:rPr>
          <w:rFonts w:ascii="宋体" w:eastAsia="宋体" w:hAnsi="宋体"/>
          <w:lang w:eastAsia="zh-CN"/>
        </w:rPr>
        <w:t>(高朝向收益要求 WCI 不低)</w:t>
      </w:r>
      <w:proofErr w:type="gramEnd"/>
      <w:r w:rsidRPr="00280A34">
        <w:rPr>
          <w:rFonts w:ascii="宋体" w:eastAsia="宋体" w:hAnsi="宋体"/>
          <w:lang w:eastAsia="zh-CN"/>
        </w:rPr>
        <w:t>，但不是充分条件——除此之外还需要场规模的几何放大效应，或海峡/水道的地形整流效应将风向进一步集中到 WCI 指标未能完全捕捉的窄扇尺度。</w:t>
      </w:r>
    </w:p>
    <w:p w14:paraId="16ACC01F" w14:textId="77777777" w:rsidR="00EE4428" w:rsidRPr="00280A34" w:rsidRDefault="00000000">
      <w:pPr>
        <w:rPr>
          <w:rFonts w:ascii="宋体" w:eastAsia="宋体" w:hAnsi="宋体"/>
          <w:lang w:eastAsia="zh-CN"/>
        </w:rPr>
      </w:pPr>
      <w:r w:rsidRPr="00280A34">
        <w:rPr>
          <w:rFonts w:ascii="宋体" w:eastAsia="宋体" w:hAnsi="宋体"/>
          <w:lang w:eastAsia="zh-CN"/>
        </w:rPr>
        <w:t>具体而言: F155 (WCI=0.15, gain=+</w:t>
      </w:r>
      <w:proofErr w:type="gramStart"/>
      <w:r w:rsidRPr="00280A34">
        <w:rPr>
          <w:rFonts w:ascii="宋体" w:eastAsia="宋体" w:hAnsi="宋体"/>
          <w:lang w:eastAsia="zh-CN"/>
        </w:rPr>
        <w:t>9.6%)</w:t>
      </w:r>
      <w:proofErr w:type="gramEnd"/>
      <w:r w:rsidRPr="00280A34">
        <w:rPr>
          <w:rFonts w:ascii="宋体" w:eastAsia="宋体" w:hAnsi="宋体"/>
          <w:lang w:eastAsia="zh-CN"/>
        </w:rPr>
        <w:t xml:space="preserve"> 和 F57 (WCI=0.34, gain=+</w:t>
      </w:r>
      <w:proofErr w:type="gramStart"/>
      <w:r w:rsidRPr="00280A34">
        <w:rPr>
          <w:rFonts w:ascii="宋体" w:eastAsia="宋体" w:hAnsi="宋体"/>
          <w:lang w:eastAsia="zh-CN"/>
        </w:rPr>
        <w:t>18.2%)</w:t>
      </w:r>
      <w:proofErr w:type="gramEnd"/>
      <w:r w:rsidRPr="00280A34">
        <w:rPr>
          <w:rFonts w:ascii="宋体" w:eastAsia="宋体" w:hAnsi="宋体"/>
          <w:lang w:eastAsia="zh-CN"/>
        </w:rPr>
        <w:t xml:space="preserve"> 的差异说明，WCI 与增益之间的剩余方差主要由两个被忽略的因素</w:t>
      </w:r>
      <w:proofErr w:type="gramStart"/>
      <w:r w:rsidRPr="00280A34">
        <w:rPr>
          <w:rFonts w:ascii="宋体" w:eastAsia="宋体" w:hAnsi="宋体"/>
          <w:lang w:eastAsia="zh-CN"/>
        </w:rPr>
        <w:t>解释:</w:t>
      </w:r>
      <w:proofErr w:type="gramEnd"/>
      <w:r w:rsidRPr="00280A34">
        <w:rPr>
          <w:rFonts w:ascii="宋体" w:eastAsia="宋体" w:hAnsi="宋体"/>
          <w:lang w:eastAsia="zh-CN"/>
        </w:rPr>
        <w:t xml:space="preserve"> </w:t>
      </w:r>
      <w:proofErr w:type="gramStart"/>
      <w:r w:rsidRPr="00280A34">
        <w:rPr>
          <w:rFonts w:ascii="宋体" w:eastAsia="宋体" w:hAnsi="宋体"/>
          <w:lang w:eastAsia="zh-CN"/>
        </w:rPr>
        <w:t>(a)</w:t>
      </w:r>
      <w:proofErr w:type="gramEnd"/>
      <w:r w:rsidRPr="00280A34">
        <w:rPr>
          <w:rFonts w:ascii="宋体" w:eastAsia="宋体" w:hAnsi="宋体"/>
          <w:lang w:eastAsia="zh-CN"/>
        </w:rPr>
        <w:t xml:space="preserve"> 地形整流的空间尺度——WCI 是单点统计，但海峡/水道整流可能在几公里内将风向集中度提升到 WCI 无法分辨的程度；</w:t>
      </w:r>
      <w:proofErr w:type="gramStart"/>
      <w:r w:rsidRPr="00280A34">
        <w:rPr>
          <w:rFonts w:ascii="宋体" w:eastAsia="宋体" w:hAnsi="宋体"/>
          <w:lang w:eastAsia="zh-CN"/>
        </w:rPr>
        <w:t>(b)</w:t>
      </w:r>
      <w:proofErr w:type="gramEnd"/>
      <w:r w:rsidRPr="00280A34">
        <w:rPr>
          <w:rFonts w:ascii="宋体" w:eastAsia="宋体" w:hAnsi="宋体"/>
          <w:lang w:eastAsia="zh-CN"/>
        </w:rPr>
        <w:t xml:space="preserve"> 场规模的几何放大——微型场 </w:t>
      </w:r>
      <w:proofErr w:type="gramStart"/>
      <w:r w:rsidRPr="00280A34">
        <w:rPr>
          <w:rFonts w:ascii="宋体" w:eastAsia="宋体" w:hAnsi="宋体"/>
          <w:lang w:eastAsia="zh-CN"/>
        </w:rPr>
        <w:t>(7-9 台)</w:t>
      </w:r>
      <w:proofErr w:type="gramEnd"/>
      <w:r w:rsidRPr="00280A34">
        <w:rPr>
          <w:rFonts w:ascii="宋体" w:eastAsia="宋体" w:hAnsi="宋体"/>
          <w:lang w:eastAsia="zh-CN"/>
        </w:rPr>
        <w:t xml:space="preserve"> 的高密度使得朝向效应的相对幅度被系统性放大。</w:t>
      </w:r>
    </w:p>
    <w:p w14:paraId="7C5324B9" w14:textId="77777777" w:rsidR="00EE4428" w:rsidRPr="00280A34" w:rsidRDefault="00000000">
      <w:pPr>
        <w:rPr>
          <w:rFonts w:ascii="宋体" w:eastAsia="宋体" w:hAnsi="宋体"/>
        </w:rPr>
      </w:pPr>
      <w:proofErr w:type="spellStart"/>
      <w:r w:rsidRPr="00280A34">
        <w:rPr>
          <w:rFonts w:ascii="宋体" w:eastAsia="宋体" w:hAnsi="宋体"/>
        </w:rPr>
        <w:t>数据依据</w:t>
      </w:r>
      <w:proofErr w:type="spellEnd"/>
      <w:r w:rsidRPr="00280A34">
        <w:rPr>
          <w:rFonts w:ascii="宋体" w:eastAsia="宋体" w:hAnsi="宋体"/>
        </w:rPr>
        <w:t>: task1_wind_metrics.csv (</w:t>
      </w:r>
      <w:proofErr w:type="spellStart"/>
      <w:r w:rsidRPr="00280A34">
        <w:rPr>
          <w:rFonts w:ascii="宋体" w:eastAsia="宋体" w:hAnsi="宋体"/>
        </w:rPr>
        <w:t>WCI_yearly</w:t>
      </w:r>
      <w:proofErr w:type="spellEnd"/>
      <w:r w:rsidRPr="00280A34">
        <w:rPr>
          <w:rFonts w:ascii="宋体" w:eastAsia="宋体" w:hAnsi="宋体"/>
        </w:rPr>
        <w:t xml:space="preserve"> 全 171 场) + orientation_gain.csv (增益) + farms_master.csv (台数、面积——</w:t>
      </w:r>
      <w:proofErr w:type="gramStart"/>
      <w:r w:rsidRPr="00280A34">
        <w:rPr>
          <w:rFonts w:ascii="宋体" w:eastAsia="宋体" w:hAnsi="宋体"/>
        </w:rPr>
        <w:t>用于区分微型场)。</w:t>
      </w:r>
      <w:proofErr w:type="gramEnd"/>
    </w:p>
    <w:p w14:paraId="1CB4C7A4" w14:textId="77777777" w:rsidR="00EE4428" w:rsidRPr="00280A34" w:rsidRDefault="00000000">
      <w:pPr>
        <w:pStyle w:val="21"/>
        <w:rPr>
          <w:rFonts w:ascii="宋体" w:eastAsia="宋体" w:hAnsi="宋体"/>
          <w:lang w:eastAsia="zh-CN"/>
        </w:rPr>
      </w:pPr>
      <w:r w:rsidRPr="00280A34">
        <w:rPr>
          <w:rFonts w:ascii="宋体" w:eastAsia="宋体" w:hAnsi="宋体"/>
          <w:lang w:eastAsia="zh-CN"/>
        </w:rPr>
        <w:t>4. 对全球海上风电规划的启示</w:t>
      </w:r>
    </w:p>
    <w:p w14:paraId="5E5BB0EC" w14:textId="77777777" w:rsidR="00EE4428" w:rsidRPr="00280A34" w:rsidRDefault="00000000">
      <w:pPr>
        <w:rPr>
          <w:rFonts w:ascii="宋体" w:eastAsia="宋体" w:hAnsi="宋体"/>
          <w:lang w:eastAsia="zh-CN"/>
        </w:rPr>
      </w:pPr>
      <w:r w:rsidRPr="00280A34">
        <w:rPr>
          <w:rFonts w:ascii="宋体" w:eastAsia="宋体" w:hAnsi="宋体"/>
          <w:lang w:eastAsia="zh-CN"/>
        </w:rPr>
        <w:t>这一长尾分布有两个直接</w:t>
      </w:r>
      <w:proofErr w:type="gramStart"/>
      <w:r w:rsidRPr="00280A34">
        <w:rPr>
          <w:rFonts w:ascii="宋体" w:eastAsia="宋体" w:hAnsi="宋体"/>
          <w:lang w:eastAsia="zh-CN"/>
        </w:rPr>
        <w:t>推论:</w:t>
      </w:r>
      <w:proofErr w:type="gramEnd"/>
    </w:p>
    <w:p w14:paraId="7E9F3F79" w14:textId="77777777" w:rsidR="00EE4428" w:rsidRPr="00280A34" w:rsidRDefault="00000000">
      <w:pPr>
        <w:rPr>
          <w:rFonts w:ascii="宋体" w:eastAsia="宋体" w:hAnsi="宋体"/>
          <w:lang w:eastAsia="zh-CN"/>
        </w:rPr>
      </w:pPr>
      <w:r w:rsidRPr="00280A34">
        <w:rPr>
          <w:rFonts w:ascii="宋体" w:eastAsia="宋体" w:hAnsi="宋体"/>
          <w:lang w:eastAsia="zh-CN"/>
        </w:rPr>
        <w:t>第一，+0.9% 这个均值本身没有决策价值——它把越南 +18% 和北海 +0.1% 压成了一个平均数。真正的决策判据不是单一指标，而是一个双因素</w:t>
      </w:r>
      <w:proofErr w:type="gramStart"/>
      <w:r w:rsidRPr="00280A34">
        <w:rPr>
          <w:rFonts w:ascii="宋体" w:eastAsia="宋体" w:hAnsi="宋体"/>
          <w:lang w:eastAsia="zh-CN"/>
        </w:rPr>
        <w:t>筛选:</w:t>
      </w:r>
      <w:proofErr w:type="gramEnd"/>
      <w:r w:rsidRPr="00280A34">
        <w:rPr>
          <w:rFonts w:ascii="宋体" w:eastAsia="宋体" w:hAnsi="宋体"/>
          <w:lang w:eastAsia="zh-CN"/>
        </w:rPr>
        <w:t xml:space="preserve"> 风向集中度 </w:t>
      </w:r>
      <w:proofErr w:type="gramStart"/>
      <w:r w:rsidRPr="00280A34">
        <w:rPr>
          <w:rFonts w:ascii="宋体" w:eastAsia="宋体" w:hAnsi="宋体"/>
          <w:lang w:eastAsia="zh-CN"/>
        </w:rPr>
        <w:t>(WCI&gt;0.20)</w:t>
      </w:r>
      <w:proofErr w:type="gramEnd"/>
      <w:r w:rsidRPr="00280A34">
        <w:rPr>
          <w:rFonts w:ascii="宋体" w:eastAsia="宋体" w:hAnsi="宋体"/>
          <w:lang w:eastAsia="zh-CN"/>
        </w:rPr>
        <w:t xml:space="preserve"> + 场规模</w:t>
      </w:r>
      <w:r w:rsidRPr="00280A34">
        <w:rPr>
          <w:rFonts w:ascii="宋体" w:eastAsia="宋体" w:hAnsi="宋体"/>
          <w:lang w:eastAsia="zh-CN"/>
        </w:rPr>
        <w:lastRenderedPageBreak/>
        <w:t xml:space="preserve">适中 </w:t>
      </w:r>
      <w:proofErr w:type="gramStart"/>
      <w:r w:rsidRPr="00280A34">
        <w:rPr>
          <w:rFonts w:ascii="宋体" w:eastAsia="宋体" w:hAnsi="宋体"/>
          <w:lang w:eastAsia="zh-CN"/>
        </w:rPr>
        <w:t>(10-100 台)</w:t>
      </w:r>
      <w:proofErr w:type="gramEnd"/>
      <w:r w:rsidRPr="00280A34">
        <w:rPr>
          <w:rFonts w:ascii="宋体" w:eastAsia="宋体" w:hAnsi="宋体"/>
          <w:lang w:eastAsia="zh-CN"/>
        </w:rPr>
        <w:t>，或位于海峡/季风走廊等已知的地形整流区。满足这些条件的场址，朝向应被提升为与间距同等重要的设计变量。</w:t>
      </w:r>
    </w:p>
    <w:p w14:paraId="3E52FAD2" w14:textId="77777777" w:rsidR="00EE4428" w:rsidRPr="00280A34" w:rsidRDefault="00000000">
      <w:pPr>
        <w:rPr>
          <w:rFonts w:ascii="宋体" w:eastAsia="宋体" w:hAnsi="宋体"/>
          <w:lang w:eastAsia="zh-CN"/>
        </w:rPr>
      </w:pPr>
      <w:r w:rsidRPr="00280A34">
        <w:rPr>
          <w:rFonts w:ascii="宋体" w:eastAsia="宋体" w:hAnsi="宋体"/>
          <w:lang w:eastAsia="zh-CN"/>
        </w:rPr>
        <w:t xml:space="preserve">第二，长尾场址的地理分布与海上风电的下一波增长市场存在显著重合——越南中南部、中国南海、地中海国家恰恰是电力需求高速增长且开发规则尚未定型的增量市场。这些市场仍有机会在首批项目上就把 5-18% 量级的朝向杠杆用对——这是北海等存量市场已经永远错过的窗口。但需注意，这些场址的数量极为有限 </w:t>
      </w:r>
      <w:proofErr w:type="gramStart"/>
      <w:r w:rsidRPr="00280A34">
        <w:rPr>
          <w:rFonts w:ascii="宋体" w:eastAsia="宋体" w:hAnsi="宋体"/>
          <w:lang w:eastAsia="zh-CN"/>
        </w:rPr>
        <w:t>(全球仅 7 个 &gt;5%)</w:t>
      </w:r>
      <w:proofErr w:type="gramEnd"/>
      <w:r w:rsidRPr="00280A34">
        <w:rPr>
          <w:rFonts w:ascii="宋体" w:eastAsia="宋体" w:hAnsi="宋体"/>
          <w:lang w:eastAsia="zh-CN"/>
        </w:rPr>
        <w:t>，绝大多数新建风场仍可安全地将朝向视为次要设计参数。</w:t>
      </w:r>
    </w:p>
    <w:p w14:paraId="106D197E" w14:textId="77777777" w:rsidR="00EE4428" w:rsidRPr="00280A34" w:rsidRDefault="00000000">
      <w:pPr>
        <w:rPr>
          <w:rFonts w:ascii="宋体" w:eastAsia="宋体" w:hAnsi="宋体"/>
        </w:rPr>
      </w:pPr>
      <w:proofErr w:type="spellStart"/>
      <w:r w:rsidRPr="00280A34">
        <w:rPr>
          <w:rFonts w:ascii="宋体" w:eastAsia="宋体" w:hAnsi="宋体"/>
        </w:rPr>
        <w:t>数据依据</w:t>
      </w:r>
      <w:proofErr w:type="spellEnd"/>
      <w:r w:rsidRPr="00280A34">
        <w:rPr>
          <w:rFonts w:ascii="宋体" w:eastAsia="宋体" w:hAnsi="宋体"/>
        </w:rPr>
        <w:t>: orientation_gain.csv (</w:t>
      </w:r>
      <w:proofErr w:type="spellStart"/>
      <w:r w:rsidRPr="00280A34">
        <w:rPr>
          <w:rFonts w:ascii="宋体" w:eastAsia="宋体" w:hAnsi="宋体"/>
        </w:rPr>
        <w:t>整个分布</w:t>
      </w:r>
      <w:proofErr w:type="spellEnd"/>
      <w:r w:rsidRPr="00280A34">
        <w:rPr>
          <w:rFonts w:ascii="宋体" w:eastAsia="宋体" w:hAnsi="宋体"/>
        </w:rPr>
        <w:t>) + farms_master.csv (国家、海域) + task1_wind_metrics.csv (WCI) + farm_ws_stats.csv (风速)。</w:t>
      </w:r>
    </w:p>
    <w:sectPr w:rsidR="00EE4428" w:rsidRPr="00280A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8478246">
    <w:abstractNumId w:val="8"/>
  </w:num>
  <w:num w:numId="2" w16cid:durableId="2056729632">
    <w:abstractNumId w:val="6"/>
  </w:num>
  <w:num w:numId="3" w16cid:durableId="1850682885">
    <w:abstractNumId w:val="5"/>
  </w:num>
  <w:num w:numId="4" w16cid:durableId="1318607768">
    <w:abstractNumId w:val="4"/>
  </w:num>
  <w:num w:numId="5" w16cid:durableId="1828983826">
    <w:abstractNumId w:val="7"/>
  </w:num>
  <w:num w:numId="6" w16cid:durableId="1917543660">
    <w:abstractNumId w:val="3"/>
  </w:num>
  <w:num w:numId="7" w16cid:durableId="1139110657">
    <w:abstractNumId w:val="2"/>
  </w:num>
  <w:num w:numId="8" w16cid:durableId="535896743">
    <w:abstractNumId w:val="1"/>
  </w:num>
  <w:num w:numId="9" w16cid:durableId="511727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9DE"/>
    <w:rsid w:val="00280A34"/>
    <w:rsid w:val="0029639D"/>
    <w:rsid w:val="00326F90"/>
    <w:rsid w:val="00AA1D8D"/>
    <w:rsid w:val="00B47730"/>
    <w:rsid w:val="00CB0664"/>
    <w:rsid w:val="00EE44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09E3D"/>
  <w14:defaultImageDpi w14:val="300"/>
  <w15:docId w15:val="{E59AE621-1218-40A5-8837-E6980031C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廷显 胡</cp:lastModifiedBy>
  <cp:revision>3</cp:revision>
  <dcterms:created xsi:type="dcterms:W3CDTF">2013-12-23T23:15:00Z</dcterms:created>
  <dcterms:modified xsi:type="dcterms:W3CDTF">2026-07-24T00:30:00Z</dcterms:modified>
  <cp:category/>
</cp:coreProperties>
</file>