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40" w:lineRule="auto"/>
      </w:pPr>
      <w:r>
        <w:rPr>
          <w:rFonts w:ascii="Noto Sans CJK SC" w:hAnsi="Noto Sans CJK SC" w:eastAsia="Noto Sans CJK SC"/>
          <w:b/>
          <w:sz w:val="26"/>
        </w:rPr>
        <w:t>Wind-direction-to-electricity transition</w:t>
      </w:r>
    </w:p>
    <w:p>
      <w:pPr>
        <w:pStyle w:val="Heading1"/>
        <w:spacing w:after="80" w:line="240" w:lineRule="auto"/>
      </w:pPr>
      <w:r>
        <w:rPr>
          <w:rFonts w:ascii="Noto Sans CJK SC" w:hAnsi="Noto Sans CJK SC" w:eastAsia="Noto Sans CJK SC"/>
          <w:b/>
          <w:sz w:val="26"/>
        </w:rPr>
        <w:t>气候变化下风向格局演变对风电出力的影响研究</w:t>
      </w:r>
    </w:p>
    <w:p>
      <w:pPr>
        <w:pStyle w:val="Heading1"/>
        <w:spacing w:after="80" w:line="240" w:lineRule="auto"/>
      </w:pPr>
      <w:r>
        <w:rPr>
          <w:rFonts w:ascii="Noto Sans CJK SC" w:hAnsi="Noto Sans CJK SC" w:eastAsia="Noto Sans CJK SC"/>
          <w:b/>
          <w:sz w:val="24"/>
        </w:rPr>
        <w:t>廖君腾</w:t>
      </w:r>
    </w:p>
    <w:p>
      <w:pPr>
        <w:pStyle w:val="Heading2"/>
        <w:spacing w:after="60" w:line="240" w:lineRule="auto"/>
      </w:pPr>
      <w:r>
        <w:rPr>
          <w:rFonts w:ascii="Noto Sans CJK SC" w:hAnsi="Noto Sans CJK SC" w:eastAsia="Noto Sans CJK SC"/>
          <w:b/>
          <w:sz w:val="22"/>
        </w:rPr>
        <w:t>研究背景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8"/>
        </w:rPr>
        <w:t>完成时间：2026.6.2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20"/>
        </w:rPr>
        <w:t>风向不是一个只描述天气的气象变量，而是风电系统中决定有效入流方向、风机排布效率、尾流损失和出力稳定性的关键设计参数。过去风电资源评估更多关注平均风速、风速分布和极端风，而较少把长期主导风向偏移、风向集中度下降和季节风玫瑰重构纳入发电量核算。若气候变化改变东亚季风、西风带、冷空气路径和沿海海陆风结构，原本基于历史风玫瑰建设的风电场可能出现“风速仍有资源，但风向结构已改变”的问题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20"/>
        </w:rPr>
        <w:t>本研究不再只问“风速是否下降”，而是把风向变化视为气候变化对风电系统的外生冲击。研究将基于1950—2025年全国2421个气象站风速风向观测，首先识别风向变化是否会显著影响风电出力及影响大小；其次用近20年风场数据构造逐年反事实，检验如果每一年都按当年最优风向方案建设，后续出力会出现什么问题；最后进一步讨论非平稳气候条件下，风电规划从“历史最优”转向“动态鲁棒最优”的必要性。</w:t>
      </w:r>
    </w:p>
    <w:p>
      <w:pPr>
        <w:pStyle w:val="Heading2"/>
        <w:spacing w:after="60" w:line="240" w:lineRule="auto"/>
      </w:pPr>
      <w:r>
        <w:rPr>
          <w:rFonts w:ascii="Noto Sans CJK SC" w:hAnsi="Noto Sans CJK SC" w:eastAsia="Noto Sans CJK SC"/>
          <w:b/>
          <w:sz w:val="22"/>
        </w:rPr>
        <w:t>Result 1 风向变化会显著影响风电出力，且影响不仅来自风速变化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8"/>
        </w:rPr>
        <w:t>完成时间：2026.6.30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20"/>
        </w:rPr>
        <w:t>1.1 先证明“显著性”：主导风向偏移和风向离散度变化会显著改变风电场小时出力、年发电量和出力波动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论据1（构建站点和风电场尺度的风向漂移指数WDI、风向集中度WCI和风向非平稳性指数WNS，将1950—2025年2421站逐日/逐时风速风向转换为季节风玫瑰、主导风向角、风向圆形方差和有效风能密度；用双向固定效应、事件研究和分布滞后模型识别风向变化对风电出力的影响）（完成时间：6.12）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论据2（以现有风电装机密集区为高暴露组，以低装机或低风向集中度地区为对照组，检验相同风速条件下，风向偏移是否仍会显著降低利用小时、提高尾流损失并增加出力波动；同时控制装机规模、机型、弃风率、电网消纳和检修等因素）（完成时间：6.18）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20"/>
        </w:rPr>
        <w:t>1.2 再测量“效果大小”：把风向影响从风速影响中分离出来，给出风向单独造成的发电量损失比例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论据1（构建“固定风向—实际风向”对照：固定风向情景保持1981—2010年基准风玫瑰不变，只输入逐年风速变化；实际风向情景同时输入逐年风速和风向变化；两者AEP差值即为风向变化的边际影响）（完成时间：6.24）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论据2（把影响分解为三部分：风速变化效应、风向频率重分配效应、风向导致的尾流/排布失配效应；输出全国、分省、分季节、分风电类型的发电量损失率、置信区间和显著性水平）（完成时间：6.30）</w:t>
      </w:r>
    </w:p>
    <w:p>
      <w:pPr>
        <w:pStyle w:val="Heading2"/>
        <w:spacing w:after="60" w:line="240" w:lineRule="auto"/>
      </w:pPr>
      <w:r>
        <w:rPr>
          <w:rFonts w:ascii="Noto Sans CJK SC" w:hAnsi="Noto Sans CJK SC" w:eastAsia="Noto Sans CJK SC"/>
          <w:b/>
          <w:sz w:val="22"/>
        </w:rPr>
        <w:t>Result 2 基于近20年数据的反事实推断：每一年按当年最优方案建设，后续都会面临“最优方案快速过时”的问题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8"/>
        </w:rPr>
        <w:t>完成时间：2026.7.21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20"/>
        </w:rPr>
        <w:t>2.1 逐年构造“当年最优建设方案”：用2005—2025年风速风向数据，反事实模拟每一年如果按当年最优风玫瑰建设风电场会怎样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论据1（以每一年t及其前若干年滚动窗口估计当年最优主轴方向、机组间距、排布方案和预期AEP，形成“t年建设方案”；再把该方案放到t+1至2025年的真实风速风向序列中运行，检验其后续发电表现）（完成时间：7.6）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论据2（比较三类方案：A按多年历史平均风玫瑰建设，B按当年最新20年数据最优建设，C按鲁棒风向区间建设。若B在短期最优但随后快速失效，说明风电规划存在“以当前最优替代未来最优”的系统性偏差）（完成时间：7.12）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20"/>
        </w:rPr>
        <w:t>2.2 识别“每年最优建设”的问题：非平稳气候下，最优风向、最优间距和最优装机位置会发生漂移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论据1（计算每个建设年份方案在后续年份的AEP衰减率、尾流损失增加率、出力波动增加率和预测误差扩大率，识别“建设即过时”的时间尺度：例如建成后3年、5年或10年损失是否显著扩大）（完成时间：7.17）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论据2（按三北基地、东北冬季风区、华北平原、东南沿海和南方山地分区，比较哪类区域的当年最优方案最容易失效，并判断失效来自主风向偏移、风向集中度下降、风速分布变化还是电网消纳约束）（完成时间：7.21）</w:t>
      </w:r>
    </w:p>
    <w:p>
      <w:pPr>
        <w:pStyle w:val="Heading2"/>
        <w:spacing w:after="60" w:line="240" w:lineRule="auto"/>
      </w:pPr>
      <w:r>
        <w:rPr>
          <w:rFonts w:ascii="Noto Sans CJK SC" w:hAnsi="Noto Sans CJK SC" w:eastAsia="Noto Sans CJK SC"/>
          <w:b/>
          <w:sz w:val="22"/>
        </w:rPr>
        <w:t>Result 3 更深层结论：风电规划需要从“历史最优”转向“动态鲁棒最优”，把风向不确定性纳入建设和改造规则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8"/>
        </w:rPr>
        <w:t>完成时间：2026.8.18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20"/>
        </w:rPr>
        <w:t>3.1 如果气候风场持续非平稳，传统按固定风玫瑰设计的风电场会产生长期锁定风险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论据1（识别风电建设中的路径依赖：机组位置、道路、集电线路、升压站和土地/海域审批一旦确定，后续难以低成本改变；因此风向变化带来的排布失配会在20—25年生命周期内持续影响发电量，而不是单年气象波动）（完成时间：8.1）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论据2（把风向非平稳性转化为规划风险指标：风玫瑰漂移速度、最优主轴变化率、方案半衰期、生命周期AEP折损和改造触发阈值，用于判断哪些存量风场应优先技改，哪些新增风场必须采用鲁棒设计）（完成时间：8.6）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20"/>
        </w:rPr>
        <w:t>3.2 建立“动态鲁棒风电规划”框架：在新建、改造、储能和电网协同之间寻找气候适应性最优组合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论据1（建立两阶段随机优化模型，第一阶段决定新建风场的方向冗余角、机组间距、排布主轴、偏航控制和储能配置；第二阶段在不同未来风向路径下调度出力、储能和跨区消纳，目标是最小化生命周期度电成本、AEP损失和出力波动风险）（完成时间：8.12）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论据2（比较传统方案、当年最优方案和动态鲁棒方案，输出分省、分风资源区的最低风向冗余、最优技改窗口、智能偏航收益、储能补偿需求和跨区协同价值，形成面向风电规划的适应性规则）（完成时间：8.18）</w:t>
      </w:r>
    </w:p>
    <w:p>
      <w:pPr>
        <w:pStyle w:val="Heading2"/>
        <w:spacing w:after="60" w:line="240" w:lineRule="auto"/>
      </w:pPr>
      <w:r>
        <w:rPr>
          <w:rFonts w:ascii="Noto Sans CJK SC" w:hAnsi="Noto Sans CJK SC" w:eastAsia="Noto Sans CJK SC"/>
          <w:b/>
          <w:sz w:val="22"/>
        </w:rPr>
        <w:t>讨论：把风向稳定性作为风电系统的一项“气候敏感型设计服务”进行定价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8"/>
        </w:rPr>
        <w:t>完成时间：2026.8.31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20"/>
        </w:rPr>
        <w:t>本研究的核心贡献不是简单判断未来风速升降，而是把风向变化纳入风电出力识别、反事实建设评估和长期规划优化。第一层证明风向确实会影响风电出力，并量化其显著性和效果大小；第二层证明即使用最新20年数据逐年追求当年最优，也可能因为气候非平稳而出现方案快速过时；第三层进一步提出动态鲁棒规划，把风向不确定性转化为风场排布、智能偏航、储能和跨区协同的工程设计规则。</w:t>
      </w:r>
    </w:p>
    <w:p>
      <w:pPr>
        <w:pStyle w:val="Heading2"/>
        <w:spacing w:after="60" w:line="240" w:lineRule="auto"/>
      </w:pPr>
      <w:r>
        <w:rPr>
          <w:rFonts w:ascii="Noto Sans CJK SC" w:hAnsi="Noto Sans CJK SC" w:eastAsia="Noto Sans CJK SC"/>
          <w:b/>
          <w:sz w:val="22"/>
        </w:rPr>
        <w:t>具体研究方案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sz w:val="20"/>
        </w:rPr>
        <w:t>一、数据体系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气象风场数据：全国2421个国家级气象站1950—2025年逐日/逐时风速、风向、气温、气压、湿度、降水、日照/辐射；必要时补充ERA5、CMFD等再分析数据，用于空间插值、轮毂高度修正和缺测补齐。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风电场数据：全国风电场位置、装机容量、投运年份、机型、轮毂高度、功率曲线、风机排布、场内间距、历史发电量、利用小时和弃风率；不足部分用环评、招标文件、遥感识别和典型项目参数校准。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地形与下垫面数据：DEM、坡度坡向、土地利用、粗糙度、海陆分布、城市化强度和植被覆盖，用于控制局地粗糙度变化对风速风向的干扰。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环流与气候数据：全球平均温度、东亚季风指数、AO、NAO、PDO、ENSO、西风急流、海平面气压场和CMIP6风场情景，用于解释风向变化的气候驱动。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电力系统数据：分省装机、利用小时、弃风率、电网消纳能力、储能规模、跨区输电通道和负荷曲线，用于区分气象发电潜力和实际并网发电量。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sz w:val="20"/>
        </w:rPr>
        <w:t>二、核心变量设计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变量</w:t>
            </w:r>
          </w:p>
        </w:tc>
        <w:tc>
          <w:tcPr>
            <w:tcW w:type="dxa" w:w="246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246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构造方法</w:t>
            </w:r>
          </w:p>
        </w:tc>
        <w:tc>
          <w:tcPr>
            <w:tcW w:type="dxa" w:w="246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用途/预期方向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WDI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风向漂移指数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当期主导风向角与基准期主导风向角的圆形差值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衡量主风向偏移程度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WCI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风向集中度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主导扇区风频占比或1减圆形方差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越低表示风向更分散、出力更不稳定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WNS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风向非平稳性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滚动窗口内最优主风向和风玫瑰结构变化率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衡量最优建设方案过时速度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ΔAEP_wd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风向导致的AEP损失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固定风向情景AEP减实际风向情景AEP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识别风向的边际影响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T_fail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方案失效时间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反事实建设方案首次低于设计AEP阈值的年份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衡量当年最优方案生命周期风险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Rθ*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最低方向冗余角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满足未来风向路径下可靠性约束的最小设计扇区</w:t>
            </w:r>
          </w:p>
        </w:tc>
        <w:tc>
          <w:tcPr>
            <w:tcW w:type="dxa" w:w="246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用于动态鲁棒规划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sz w:val="20"/>
        </w:rPr>
        <w:t>三、Result 1的效应识别模型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>基础模型：Y_{i,p,t} = β1 · WDI_{p,t} + β2 · WCI_{p,t} + β3 · WindSpeed_{p,t} + γX_{i,p,t} + α_i + δ_{p,t} + λ_{s,t} + ε_{i,p,t}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Y包括风电场小时出力、年发电量、利用小时、尾流损失率、出力波动率和预测误差；WDI和WCI用于识别风向影响，WindSpeed用于分离风速影响。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α_i控制风电场固定差异，δ_{p,t}控制省份年份冲击，λ_{s,t}控制风资源区年份冲击，X控制机型、装机、检修、弃风、电价和政策。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关键识别是同一风速条件下，风向偏移和风向分散是否仍显著影响出力；若显著，说明风向不是风速的附属变量，而是独立影响发电量的气候风险。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sz w:val="20"/>
        </w:rPr>
        <w:t>四、Result 2的反事实推断设计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>反事实步骤：对每一年t，使用t年前20年的风速风向数据估计“当年最优建设方案”；然后将该方案放入t至2025年的真实风场中运行，计算后续每年的AEP、尾流损失和出力波动。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方案A：历史平均方案，固定使用1981—2010年风玫瑰；方案B：当年20年数据最优方案；方案C：考虑未来风向不确定性的鲁棒方案。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重点输出：当年最优方案在后续年份的AEP衰减曲线、失效年份、累计发电损失、重新设计收益，以及不同区域方案过时速度。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识别问题：如果B优于A但显著劣于C，说明单纯用最新历史数据优化仍不足以应对气候非平稳，风电建设需要面向未来不确定性而非只面向过去最优。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sz w:val="20"/>
        </w:rPr>
        <w:t>五、Result 3的动态鲁棒优化模型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>模型类型：两阶段随机优化或鲁棒优化。第一阶段决定新建风场排布方向、机组间距、方向冗余角、智能偏航、储能和跨区消纳配置；第二阶段在不同未来风向路径中运行调度。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目标函数：最小化生命周期度电成本、AEP损失、尾流损失、储能/电网补偿成本和设计失效风险。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约束条件：风资源可得性、土地/海域边界、尾流损失上限、风机载荷安全、电网消纳、储能爬坡、投资预算和可靠性约束。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输出规则：最低方向冗余角、最优技改窗口、智能偏航投资阈值、储能补偿比例和跨区协同价值。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sz w:val="20"/>
        </w:rPr>
        <w:t>六、预期图表与论文卖点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图1：1950—2025年中国主导风向偏移和风向集中度变化地图。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图2：风向变化对风电出力影响的显著性和效果大小估计。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图3：固定风向、实际风向和鲁棒方案下的AEP差异分解。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图4：2005—2025逐年当年最优建设方案的反事实失效曲线。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图5：分省最低风向冗余角、技改优先级和动态鲁棒规划建议。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核心卖点：从“风向是否影响出力”推进到“当前最优建设是否会在未来失效”，再推进到“风电规划如何适应非平稳气候”，形成显著性识别、反事实评估和工程优化一体化框架。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sz w:val="20"/>
        </w:rPr>
        <w:t>七、数据难点与备选方案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风电场排布和机型数据不完整：用遥感识别机组位置、公开环评和典型风场参数校准，并做低/中/高尾流敏感性情景。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早期逐时风向资料不足：优先用逐时数据；缺失时使用逐日主风向、16方位频率和再分析资料交叉校验，并对1950—1980年单独报告不确定性。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实际发电量受弃风和检修影响：同时报告气象可发电量损失和实际并网发电损失，并在模型中控制弃风率、电网消纳和设备可用率。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“每年最优方案”需要工程参数：用典型风机功率曲线、标准尾流模型和代表性风场布局构造基准，并通过真实风场样本校验。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>参考数据源（正式写作时再统一格式化）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中国气象局国家气象信息中心地面气象站风速风向资料；ERA5、CMFD和CMIP6风场数据。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国家能源局、国家统计局、中国电力企业联合会风电装机、利用小时、弃风率和发电量数据。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sz w:val="19"/>
        </w:rPr>
        <w:t xml:space="preserve"> - 风电项目环评、招标文件、上市公司年报、风机功率曲线、遥感识别机组位置数据和尾流模型文献。</w:t>
      </w:r>
    </w:p>
    <w:sectPr w:rsidR="00FC693F" w:rsidRPr="0006063C" w:rsidSect="00034616">
      <w:pgSz w:w="12240" w:h="15840"/>
      <w:pgMar w:top="965" w:right="1195" w:bottom="965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