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游戏研发排期计算工具-产品需求文档（PRD）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65"/>
        <w:gridCol w:w="5670"/>
      </w:tblGrid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文档版本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创建日期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2026-03-27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文档状态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初版发布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产品类型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纯前端 Web 应用（SPA）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部署地址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https://dashing-moonbeam-e88821.netlify.app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245bdb"/>
          <w:sz w:val="36"/>
        </w:rPr>
        <w:t>修订历史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1650"/>
        <w:gridCol w:w="3870"/>
        <w:gridCol w:w="165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版本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日期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修订内容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作者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2026-03-27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初版创建，包含完整功能说明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产品团队</w:t>
            </w:r>
          </w:p>
        </w:tc>
      </w:tr>
      <w:tr>
        <w:tc>
          <w:tcPr>
            <w:tcW w:type="dxa" w:w="1110"/>
          </w:tcPr>
          <w:p>
            <w:r>
              <w:t>V1.1</w:t>
            </w:r>
          </w:p>
        </w:tc>
        <w:tc>
          <w:tcPr>
            <w:tcW w:type="dxa" w:w="1650"/>
          </w:tcPr>
          <w:p>
            <w:r>
              <w:t>2026-04-29</w:t>
            </w:r>
          </w:p>
        </w:tc>
        <w:tc>
          <w:tcPr>
            <w:tcW w:type="dxa" w:w="3870"/>
          </w:tcPr>
          <w:p>
            <w:r>
              <w:t>补充响应式设计优化；新手引导改为底部步骤卡片 + 目标区域轻量描边；同步移动端布局细化说明</w:t>
            </w:r>
          </w:p>
        </w:tc>
        <w:tc>
          <w:tcPr>
            <w:tcW w:type="dxa" w:w="1650"/>
          </w:tcPr>
          <w:p>
            <w:r>
              <w:t>Codex</w:t>
            </w:r>
          </w:p>
        </w:tc>
      </w:tr>
      <w:tr>
        <w:tc>
          <w:tcPr>
            <w:tcW w:type="dxa" w:w="1110"/>
          </w:tcPr>
          <w:p>
            <w:r>
              <w:t>V1.2</w:t>
            </w:r>
          </w:p>
        </w:tc>
        <w:tc>
          <w:tcPr>
            <w:tcW w:type="dxa" w:w="1650"/>
          </w:tcPr>
          <w:p>
            <w:r>
              <w:t>2026-04-29</w:t>
            </w:r>
          </w:p>
        </w:tc>
        <w:tc>
          <w:tcPr>
            <w:tcW w:type="dxa" w:w="3870"/>
          </w:tcPr>
          <w:p>
            <w:r>
              <w:t>明确响应式适配优先级：优先保障 PC/Mac 多分辨率与浏览器窗口，手机端保持基础可用</w:t>
            </w:r>
          </w:p>
        </w:tc>
        <w:tc>
          <w:tcPr>
            <w:tcW w:type="dxa" w:w="1650"/>
          </w:tcPr>
          <w:p>
            <w:r>
              <w:t>Codex</w:t>
            </w:r>
          </w:p>
        </w:tc>
      </w:tr>
      <w:tr>
        <w:tc>
          <w:tcPr>
            <w:tcW w:type="dxa" w:w="1110"/>
          </w:tcPr>
          <w:p>
            <w:r>
              <w:t>V1.3</w:t>
            </w:r>
          </w:p>
        </w:tc>
        <w:tc>
          <w:tcPr>
            <w:tcW w:type="dxa" w:w="1650"/>
          </w:tcPr>
          <w:p>
            <w:r>
              <w:t>2026-04-29</w:t>
            </w:r>
          </w:p>
        </w:tc>
        <w:tc>
          <w:tcPr>
            <w:tcW w:type="dxa" w:w="3870"/>
          </w:tcPr>
          <w:p>
            <w:r>
              <w:t>缩小流程环节列表字体和控件尺寸，降低视觉密度，提升桌面端长列表浏览舒适度</w:t>
            </w:r>
          </w:p>
        </w:tc>
        <w:tc>
          <w:tcPr>
            <w:tcW w:type="dxa" w:w="1650"/>
          </w:tcPr>
          <w:p>
            <w:r>
              <w:t>Codex</w:t>
            </w:r>
          </w:p>
        </w:tc>
      </w:tr>
      <w:tr>
        <w:tc>
          <w:tcPr>
            <w:tcW w:type="dxa" w:w="1110"/>
          </w:tcPr>
          <w:p>
            <w:r>
              <w:t>V1.4</w:t>
            </w:r>
          </w:p>
        </w:tc>
        <w:tc>
          <w:tcPr>
            <w:tcW w:type="dxa" w:w="1650"/>
          </w:tcPr>
          <w:p>
            <w:r>
              <w:t>2026-04-29</w:t>
            </w:r>
          </w:p>
        </w:tc>
        <w:tc>
          <w:tcPr>
            <w:tcW w:type="dxa" w:w="3870"/>
          </w:tcPr>
          <w:p>
            <w:r>
              <w:t>优化 PC/Mac 桌面布局策略：左右栏统一视口高度并各自滚动，解决倒排对比展开后左侧留白问题</w:t>
            </w:r>
          </w:p>
        </w:tc>
        <w:tc>
          <w:tcPr>
            <w:tcW w:type="dxa" w:w="1650"/>
          </w:tcPr>
          <w:p>
            <w:r>
              <w:t>Codex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245bdb"/>
          <w:sz w:val="36"/>
        </w:rPr>
        <w:t>目录</w:t>
      </w:r>
      <w:bookmarkEnd w:id="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color w:val="245bdb"/>
          <w:sz w:val="36"/>
        </w:rPr>
        <w:t>产品概述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color w:val="245bdb"/>
          <w:sz w:val="32"/>
        </w:rPr>
        <w:t>1.1 产品简介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游戏研发排期计算工具是一款面向游戏开发团队的纯前端 Web 应用，旨在帮助项目经理和开发负责人快速、准确地制定和管理项目里程碑排期计划。工具支持正推/倒推两种排期方式，内置中国法定节假日日历，提供甘特图可视化、多种导入导出格式，以及工作区和模板管理等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color w:val="245bdb"/>
          <w:sz w:val="32"/>
        </w:rPr>
        <w:t>1.2 产品定位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产品类型：纯前端单页应用（SPA），无需后端服务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技术栈：HTML5 + CSS3 + 原生 JavaScript，无第三方框架依赖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部署方式：静态站点托管（Netlify / EdgeOne Pages / 任意 CDN）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数据存储：浏览器 localStorage 本地持久化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color w:val="245bdb"/>
          <w:sz w:val="32"/>
        </w:rPr>
        <w:t>1.3 产品目标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降低游戏项目排期计算的复杂度，替代 Excel 手动计算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支持多阶段、多依赖关系的自动化排期推算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通过甘特图直观展示项目时间线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支持团队间的排期方案共享与导出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提供新手引导，降低学习成本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245bdb"/>
          <w:sz w:val="32"/>
        </w:rPr>
        <w:t>1.4 目标用户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35"/>
        <w:gridCol w:w="2760"/>
        <w:gridCol w:w="3585"/>
      </w:tblGrid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用户角色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核心场景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关键需求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项目经理/制作人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制定和调整项目里程碑排期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正推倒推计算、甘特图展示、方案对比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开发负责人/主程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评估各阶段工期和依赖关系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阶段管理、依赖链配置、工作日计算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策划/美术负责人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查看和确认相关阶段时间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排期结果查看、Excel/图片导出分享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PMO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管理多项目排期模板和历史记录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模板管理、记录存档、方案对比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color w:val="245bdb"/>
          <w:sz w:val="36"/>
        </w:rPr>
        <w:t>功能架构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245bdb"/>
          <w:sz w:val="32"/>
        </w:rPr>
        <w:t>2.1 功能模块总览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系统共包含以下核心功能模块：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2490"/>
        <w:gridCol w:w="414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模块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子功能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排期计算引擎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正向推算 / 逆向推算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基于拓扑排序的核心计算逻辑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阶段管理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添加 / 编辑 / 删除 / 排序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支持自定义阶段名、工期、人数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依赖关系管理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四种链接类型 + 延迟天数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FS/SS/FF/SF 四种依赖关系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日历系统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工作日计算 + 节假日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2026年中国法定节假日完整日历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甘特图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 + 拖拽 + 缩放 + 全屏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多层表头、冻结列、拖拽调整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导入功能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OCR 图片识别 / Excel 导入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从截图或表格快速导入排期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导出功能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 / PNG 图片导出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一键导出为可分享的文件格式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模板管理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保存 / 加载 / 删除模板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可复用的排期配置方案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记录管理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自动保存 / 手动存档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最多5条历史记录存档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方案对比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多方案并排对比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对比不同排期方案的差异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新手引导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7步交互式引导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首次使用时的功能介绍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撤销系统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80步历史记录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Ctrl+Z 撤销操作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color w:val="245bdb"/>
          <w:sz w:val="36"/>
        </w:rPr>
        <w:t>详细功能说明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color w:val="245bdb"/>
          <w:sz w:val="32"/>
        </w:rPr>
        <w:t>3.1 排期计算引擎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color w:val="245bdb"/>
          <w:sz w:val="30"/>
        </w:rPr>
        <w:t>3.1.1 计算方向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系统支持两种排期推算方向：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正向推算（Forward）：给定项目开始日期，按依赖关系逐步推算各阶段的开始和结束日期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逆向推算（Backward）：给定项目截止日期，倒推各阶段的最晚开始和结束日期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245bdb"/>
          <w:sz w:val="30"/>
        </w:rPr>
        <w:t>3.1.2 依赖关系类型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支持项目管理标准的四种任务依赖链接类型：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1650"/>
        <w:gridCol w:w="2490"/>
        <w:gridCol w:w="303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链接类型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全称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含义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计算逻辑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Finish-to-Start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前置任务完成后，后续任务才能开始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后续开始 = 前置结束 + 延迟   + 1个工作日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SS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Start-to-Start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前置任务开始后，后续任务可同时开始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后续开始 = 前置开始 + 延迟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Finish-to-Finish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前置任务完成时，后续任务同时完成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后续结束 = 前置结束 + 延迟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SF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Start-to-Finish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前置任务开始时，后续任务才能完成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后续结束 = 前置开始 + 延迟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color w:val="245bdb"/>
          <w:sz w:val="30"/>
        </w:rPr>
        <w:t>3.1.3 拓扑排序算法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系统使用 Kahn 算法进行拓扑排序，确保依赖关系的正确处理：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构建有向无环图（DAG），每个阶段为节点，依赖关系为有向边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检测循环依赖，若存在环则弹出错误提示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按拓扑序逐个计算各阶段的日期区间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当存在多个前置依赖时，取最晚的约束日期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color w:val="245bdb"/>
          <w:sz w:val="30"/>
        </w:rPr>
        <w:t>3.1.4 工作日计算规则</w:t>
      </w:r>
      <w:bookmarkEnd w:id="14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默认周一至周五为工作日，周六日为休息日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 2026 年中国法定节假日（元旦、春节、清明、劳动节、端午、中秋、国庆）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 2026 年调休上班日（补班日视为工作日）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日期计算时自动跳过非工作日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如果计算结果落在非工作日，自动调整到最近的工作日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color w:val="245bdb"/>
          <w:sz w:val="32"/>
        </w:rPr>
        <w:t>3.2 阶段管理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阶段（Stage）是排期计算的基本单元，每个阶段代表项目中的一个开发里程碑。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color w:val="245bdb"/>
          <w:sz w:val="30"/>
        </w:rPr>
        <w:t>3.2.1 阶段属性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110"/>
        <w:gridCol w:w="2760"/>
        <w:gridCol w:w="276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属性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阶段名称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阶段的显示名称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必填，支持从预设列表选择或手动输入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工期天数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正整数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该阶段所需的工作日天数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必填，最小值为 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参与人数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正整数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该阶段参与的人员数量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可选，用于信息展示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color w:val="245bdb"/>
          <w:sz w:val="30"/>
        </w:rPr>
        <w:t>3.2.2 默认阶段配置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系统预设 6 个常用游戏开发阶段：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2265"/>
        <w:gridCol w:w="1980"/>
        <w:gridCol w:w="198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序号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阶段名称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默认工期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默认人数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需求评审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3天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5人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2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技术方案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5天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3人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开发实现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15天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5人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4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联调测试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5天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4人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体验优化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3天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3人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6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发布上线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2天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2人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color w:val="245bdb"/>
          <w:sz w:val="30"/>
        </w:rPr>
        <w:t>3.2.3 阶段名称管理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系统提供分类管理的阶段名称预设库，支持 5 个类别：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通用阶段：需求评审、技术方案、UI设计、开发实现、联调测试等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策划阶段：立项评审、概念设计、系统策划、数值策划、关卡设计等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美术阶段：美术概念、角色设计、场景设计、动画制作、特效制作等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程序阶段：架构设计、前端开发、后端开发、性能优化、安全审计等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测试阶段：冒烟测试、功能测试、集成测试、压力测试、回归测试等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用户可在每个类别中新增自定义名称，自定义名称保存在 localStorage 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color w:val="245bdb"/>
          <w:sz w:val="30"/>
        </w:rPr>
        <w:t>3.2.4 操作功能</w:t>
      </w:r>
      <w:bookmarkEnd w:id="19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添加阶段：通过弹窗选择名称并输入工期/人数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编辑阶段：直接在表格中内联编辑各属性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删除阶段：删除阶段时同时清除相关依赖关系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拖拽排序：支持拖拽调整阶段顺序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全选/批量删除：支持勾选多个阶段批量操作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color w:val="245bdb"/>
          <w:sz w:val="32"/>
        </w:rPr>
        <w:t>3.3 依赖关系管理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依赖关系定义了阶段之间的先后约束，是排期计算的核心输入之一。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color w:val="245bdb"/>
          <w:sz w:val="30"/>
        </w:rPr>
        <w:t>3.3.1 依赖属性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498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类型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下拉选择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选择已定义的阶段作为前置任务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后续阶段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下拉选择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选择已定义的阶段作为后续任务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下拉选择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FS / SS / FF /   SF 四种类型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延迟天数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整数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依赖间的额外等待工作日数（可为负数）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color w:val="245bdb"/>
          <w:sz w:val="30"/>
        </w:rPr>
        <w:t>3.3.2 默认依赖配置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系统预设 5 条默认依赖关系（均为 FS 类型，延迟 0 天）：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需求评审 → 技术方案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技术方案 → 开发实现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开发实现 → 联调测试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联调测试 → 体验优化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体验优化 → 发布上线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color w:val="245bdb"/>
          <w:sz w:val="30"/>
        </w:rPr>
        <w:t>3.3.3 循环依赖检测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系统在计算前会自动检测是否存在循环依赖。若检测到环，将弹出错误提示并阻止计算，提示用户修正依赖关系。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color w:val="245bdb"/>
          <w:sz w:val="32"/>
        </w:rPr>
        <w:t>3.4 甘特图可视化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甘特图是排期结果的核心展示方式，提供直观的时间线视图。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color w:val="245bdb"/>
          <w:sz w:val="30"/>
        </w:rPr>
        <w:t>3.4.1 基础功能</w:t>
      </w:r>
      <w:bookmarkEnd w:id="25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三层时间表头：年份 → 月份 → 日期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冻结列：左侧固定显示阶段名称和日期范围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8色调色板：自动为不同阶段分配不同颜色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今日线：高亮显示当前日期的竖线标记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非工作日标记：周末和节假日列以灰色背景区分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color w:val="245bdb"/>
          <w:sz w:val="30"/>
        </w:rPr>
        <w:t>3.4.2 交互功能</w:t>
      </w:r>
      <w:bookmarkEnd w:id="26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拖拽调整工期：拖拽甘特条左右边缘可调整阶段工期天数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框选操作：按住鼠标拖拽可框选多个阶段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缩放控制：支持放大/缩小甘特图显示比例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全屏模式：点击全屏按钮可将甘特图展开为全屏查看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横向滚动：支持鼠标滚轮横向滚动查看更长时间线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color w:val="245bdb"/>
          <w:sz w:val="32"/>
        </w:rPr>
        <w:t>3.5 数据导入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color w:val="245bdb"/>
          <w:sz w:val="30"/>
        </w:rPr>
        <w:t>3.5.1 OCR 图片导入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Tesseract.js 实现客户端 OCR 识别，可从排期截图中提取数据：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支持上传 PNG/JPG/BMP 等常见图片格式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自动识别阶段名称和工期天数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识别结果可在预览界面手动修正后再导入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支持中英文混合识别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color w:val="245bdb"/>
          <w:sz w:val="30"/>
        </w:rPr>
        <w:t>3.5.2 Excel 导入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SheetJS (xlsx) 实现 Excel 文件解析：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.xlsx 和 .xls 格式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自动匹配列头映射阶段名、工期、人数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导入前提供预览和修正界面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color w:val="245bdb"/>
          <w:sz w:val="32"/>
        </w:rPr>
        <w:t>3.6 数据导出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color w:val="245bdb"/>
          <w:sz w:val="30"/>
        </w:rPr>
        <w:t>3.6.1 Excel 导出</w:t>
      </w:r>
      <w:bookmarkEnd w:id="31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导出包含完整排期结果的 .xlsx 文件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包含阶段名称、开始日期、结束日期、工期、人数等字段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自动设置列宽和格式化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color w:val="245bdb"/>
          <w:sz w:val="30"/>
        </w:rPr>
        <w:t>3.6.2 PNG 图片导出</w:t>
      </w:r>
      <w:bookmarkEnd w:id="32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html2canvas 将甘特图渲染为 PNG 图片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导出高清晰度图片，适合嵌入文档或聊天分享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color w:val="245bdb"/>
          <w:sz w:val="32"/>
        </w:rPr>
        <w:t>3.7 模板与记录管理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color w:val="245bdb"/>
          <w:sz w:val="30"/>
        </w:rPr>
        <w:t>3.7.1 模板管理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模板保存当前工作区的完整配置（阶段、依赖、计算方向、起始日期），方便复用：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保存模板：输入模板名称，保存当前配置为模板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加载模板：从模板列表中选择，一键恢复配置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删除模板：删除不再需要的模板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存储位置：localStorage，键名 schedule_templates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color w:val="245bdb"/>
          <w:sz w:val="30"/>
        </w:rPr>
        <w:t>3.7.2 记录管理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记录保存特定时间点的排期计算结果快照：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手动保存：输入记录名称和可选备注，保存当前状态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最大存储 5 条记录，超出时提示用户删除旧记录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支持查看和删除已保存的记录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存储位置：localStorage，键名 schedule_records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color w:val="245bdb"/>
          <w:sz w:val="30"/>
        </w:rPr>
        <w:t>3.7.3 工作区自动保存</w:t>
      </w:r>
      <w:bookmarkEnd w:id="36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每次计算完成后自动保存当前工作区状态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下次打开页面时自动恢复上次的工作区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存储位置：localStorage，键名 schedule_workspace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color w:val="245bdb"/>
          <w:sz w:val="32"/>
        </w:rPr>
        <w:t>3.8 方案对比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支持从已保存的记录中选择多个方案进行并排对比，帮助决策者比较不同排期方案的差异。对比结果以表格形式展示各方案的阶段日期和工期差异。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color w:val="245bdb"/>
          <w:sz w:val="32"/>
        </w:rPr>
        <w:t>3.9 撤销系统</w:t>
      </w:r>
      <w:bookmarkEnd w:id="38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支持最多 80 步操作历史回退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快捷键 Ctrl+Z 触发撤销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撤销范围覆盖阶段增删改、依赖关系调整、参数变更等所有操作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color w:val="245bdb"/>
          <w:sz w:val="32"/>
        </w:rPr>
        <w:t>3.10 新手引导系统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系统提供 7 步交互式引导，在用户首次使用时自动触发：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欢迎介绍：工具功能概述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阶段列表：如何添加和编辑阶段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依赖关系：如何配置阶段间的依赖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计算参数：如何设置日期和计算方向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开始计算：一键生成排期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甘特图：如何查看和交互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导入导出：如何共享排期方案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引导状态通过 localStorage 记录，用户可在工具栏中重新触发引导。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color w:val="245bdb"/>
          <w:sz w:val="36"/>
        </w:rPr>
        <w:t>页面结构与交互设计</w:t>
      </w:r>
      <w:bookmarkEnd w:id="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color w:val="245bdb"/>
          <w:sz w:val="32"/>
        </w:rPr>
        <w:t>4.1 整体布局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页面采用经典的双面板布局设计：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顶部导航栏：产品标题 + 工具按钮（导入、导出、对比、模板、记录、引导）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左侧输入面板（Sticky 固定）：阶段列表 + 依赖关系 + 计算参数 + 计算按钮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中间分隔条：可视化分隔左右面板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右侧输出面板：排期汇总 + 详细结果表格 + 甘特图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color w:val="245bdb"/>
          <w:sz w:val="32"/>
        </w:rPr>
        <w:t>4.2 弹窗组件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系统共有 6 个弹窗（Modal）组件：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2490"/>
        <w:gridCol w:w="414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弹窗名称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触发方式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功能说明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添加阶段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点击"+ 添加阶段"按钮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选择阶段名称，输入工期和人数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阶段名管理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点击弹窗中"管理名称"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按分类管理阶段名称预设库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保存模板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点击工具栏"模板"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输入模板名称保存当前配置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OCR 导入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点击工具栏"导入" → OCR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上传图片进行 OCR 识别导入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 导入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点击工具栏"导入"   → Excel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 Excel 文件解析导入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保存记录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点击工具栏"记录" → 保存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输入名称和备注保存排期快照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color w:val="245bdb"/>
          <w:sz w:val="32"/>
        </w:rPr>
        <w:t>4.3 响应式设计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页面支持三个响应式断点：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2205"/>
        <w:gridCol w:w="442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断点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宽度范围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布局调整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桌面端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1180px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双面板并排显示，完整功能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平板端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720px - 1180px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面板堆叠，简化布局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720px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单列布局，优先展示核心功能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color w:val="245bdb"/>
          <w:sz w:val="36"/>
        </w:rPr>
        <w:t>数据模型</w:t>
      </w:r>
      <w:bookmarkEnd w:id="4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color w:val="245bdb"/>
          <w:sz w:val="32"/>
        </w:rPr>
        <w:t>5.1 阶段对象 (Stage)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380"/>
        <w:gridCol w:w="2760"/>
        <w:gridCol w:w="249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字段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说明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示例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阶段名称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"需求评审"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days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工期（工作日天数）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people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参与人数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color w:val="245bdb"/>
          <w:sz w:val="32"/>
        </w:rPr>
        <w:t>5.2 依赖关系对象 (Dependency)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380"/>
        <w:gridCol w:w="2760"/>
        <w:gridCol w:w="249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字段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说明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示例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前置阶段索引（0-based）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to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后续阶段索引（0-based）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链接类型（FS/SS/FF/SF）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"FS"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延迟天数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color w:val="245bdb"/>
          <w:sz w:val="32"/>
        </w:rPr>
        <w:t>5.3 localStorage 存储键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90"/>
        <w:gridCol w:w="1650"/>
        <w:gridCol w:w="4140"/>
      </w:tblGrid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键名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数据类型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说明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schedule_workspace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Object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当前工作区自动保存快照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schedule_templates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JSON Array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模板列表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schedule_records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Array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记录列表（最多5条）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schedule_stageNames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JSON Object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用户自定义的阶段名称（按分类）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schedule_newUserGuide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新手引导是否已完成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color w:val="245bdb"/>
          <w:sz w:val="36"/>
        </w:rPr>
        <w:t>技术依赖与外部库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35"/>
        <w:gridCol w:w="1110"/>
        <w:gridCol w:w="2760"/>
        <w:gridCol w:w="2490"/>
      </w:tblGrid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依赖库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用途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引入方式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SheetJS (xlsx)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latest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 文件解析与生成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CDN script 标签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Tesseract.js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v5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客户端 OCR 图片文字识别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CDN script 标签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html2canvas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1.4.1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 HTML 元素渲染为   Canvas 图片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CDN script 标签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说明：所有依赖均通过 CDN 引入，无需构建工具。项目为纯前端应用，不依赖任何后端服务或 Node.js 运行时。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color w:val="245bdb"/>
          <w:sz w:val="36"/>
        </w:rPr>
        <w:t>非功能需求</w:t>
      </w:r>
      <w:bookmarkEnd w:id="4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color w:val="245bdb"/>
          <w:sz w:val="32"/>
        </w:rPr>
        <w:t>7.1 性能要求</w:t>
      </w:r>
      <w:bookmarkEnd w:id="50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排期计算响应时间：&lt; 100ms（20个阶段以内）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甘特图渲染时间：&lt; 500ms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页面首次加载时间：&lt; 3s（不含 CDN 资源）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localStorage 数据读写：&lt; 50ms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color w:val="245bdb"/>
          <w:sz w:val="32"/>
        </w:rPr>
        <w:t>7.2 兼容性要求</w:t>
      </w:r>
      <w:bookmarkEnd w:id="51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浏览器支持：Chrome 80+、Edge 80+、Firefox 75+、Safari 13+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屏幕分辨率：最低支持 320px 宽度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操作系统：Windows / macOS / Linux / iOS / Android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color w:val="245bdb"/>
          <w:sz w:val="32"/>
        </w:rPr>
        <w:t>7.3 可用性要求</w:t>
      </w:r>
      <w:bookmarkEnd w:id="52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纯前端应用，无需登录即可使用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离线可用（CDN 资源缓存后）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数据存储在用户浏览器本地，无隐私风险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提供新手引导降低学习成本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color w:val="245bdb"/>
          <w:sz w:val="32"/>
        </w:rPr>
        <w:t>7.4 可维护性</w:t>
      </w:r>
      <w:bookmarkEnd w:id="53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代码结构清晰，单文件模块化组织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关键函数有明确的职责划分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CSS 变量统一管理设计主题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节假日数据按年份独立配置，便于年度更新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color w:val="245bdb"/>
          <w:sz w:val="36"/>
        </w:rPr>
        <w:t>UI 设计规范</w:t>
      </w:r>
      <w:bookmarkEnd w:id="5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color w:val="245bdb"/>
          <w:sz w:val="32"/>
        </w:rPr>
        <w:t>8.1 主题色彩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1650"/>
        <w:gridCol w:w="442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变量名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色值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用途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--primary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#6366f1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主色调（蓝紫色）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--primary-light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#818cf8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主色浅色变体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--primary-dark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#4f46e5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主色深色变体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--bg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#f0f2f5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页面背景色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--card-bg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#ffffff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卡片背景色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--text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#1e293b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主要文字色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--text-secondary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#64748b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次要文字色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--border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#e2e8f0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边框颜色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--success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#22c55e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成功状态色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--warning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#f59e0b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警告状态色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--danger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#ef4444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危险/错误状态色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color w:val="245bdb"/>
          <w:sz w:val="32"/>
        </w:rPr>
        <w:t>8.2 甘特图调色板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甘特图为不同阶段分配 8 种颜色，循环使用：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2760"/>
        <w:gridCol w:w="1650"/>
        <w:gridCol w:w="276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序号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背景色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文字色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视觉效果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#dbeafe /   #3b82f6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#1e40af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蓝色系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#dcfce7 / #22c55e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#166534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绿色系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#fef9c3 /   #eab308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#854d0e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黄色系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#fce7f3 / #ec4899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#9d174d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粉色系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#e0e7ff /   #6366f1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#3730a3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靛蓝色系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#ffedd5 / #f97316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#9a3412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橙色系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#f0fdf4 /   #14b8a6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#115e59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青绿色系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#faf5ff / #a855f7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#6b21a8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紫色系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color w:val="245bdb"/>
          <w:sz w:val="32"/>
        </w:rPr>
        <w:t>8.3 动画效果</w:t>
      </w:r>
      <w:bookmarkEnd w:id="57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pulse：计算按钮待机脉冲动画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shakeX：输入错误时水平抖动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fadeIn：元素淡入动画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slideUp：弹窗从下方滑入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flipIn：甘特图条目翻转进入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8" w:id="58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color w:val="245bdb"/>
          <w:sz w:val="36"/>
        </w:rPr>
        <w:t>项目文件结构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380"/>
        <w:gridCol w:w="1380"/>
        <w:gridCol w:w="387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文件名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大小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行数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index.html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~16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325 行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页面结构、弹窗组件、CDN 依赖引入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app.js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~116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2247 行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完整应用逻辑（计算引擎、渲染、交互、数据管理）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style.css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~48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2235 行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样式定义（主题、布局、组件、响应式、动画）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color w:val="245bdb"/>
          <w:sz w:val="36"/>
        </w:rPr>
        <w:t>后续规划与优化方向</w:t>
      </w:r>
      <w:bookmarkEnd w:id="5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color w:val="245bdb"/>
          <w:sz w:val="32"/>
        </w:rPr>
        <w:t>10.1 功能扩展</w:t>
      </w:r>
      <w:bookmarkEnd w:id="60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多年份节假日支持：扩展日历数据至 2027 年及更多年份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关键路径分析：高亮显示关键路径，识别项目瓶颈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资源冲突检测：当同一人员被分配到时间重叠的阶段时提醒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自定义工作日规则：支持用户配置每周工作日（如大小周）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多项目管理：在同一界面管理多个项目的排期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里程碑标记：支持在甘特图中添加关键里程碑节点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color w:val="245bdb"/>
          <w:sz w:val="32"/>
        </w:rPr>
        <w:t>10.2 技术优化</w:t>
      </w:r>
      <w:bookmarkEnd w:id="61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云端同步：可选接入云存储（如 Firebase），实现跨设备数据同步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协作编辑：支持多人同时编辑同一排期方案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导出：新增 PDF 格式导出选项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PWA 支持：添加 Service Worker 实现完全离线可用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性能优化：对大量阶段（50+）的甘特图渲染进行虚拟滚动优化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国际化：支持中英文语言切换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0" w:after="0"/>
      </w:pPr>
      <w:r>
        <w:rPr>
          <w:b w:val="0"/>
          <w:sz w:val="20"/>
        </w:rPr>
      </w:r>
    </w:p>
    <w:p>
      <w:pPr>
        <w:spacing w:before="240" w:after="160"/>
      </w:pPr>
      <w:r>
        <w:rPr>
          <w:b/>
          <w:color w:val="1F2937"/>
          <w:sz w:val="30"/>
        </w:rPr>
        <w:t>11. 本次打磨补充（2026-04-29）</w:t>
      </w:r>
    </w:p>
    <w:p>
      <w:pPr>
        <w:spacing w:before="120" w:after="80"/>
      </w:pPr>
      <w:r>
        <w:rPr>
          <w:b/>
          <w:color w:val="4F6EF7"/>
          <w:sz w:val="25"/>
        </w:rPr>
        <w:t>11.1 响应式设计补充</w:t>
      </w:r>
    </w:p>
    <w:p>
      <w:pPr/>
      <w:r>
        <w:t>• 适配优先级调整为 PC/Mac 桌面环境优先，重点覆盖 1280px、1366px、1440px 及以上宽度和浏览器窗口缩放场景；手机端保持基础单列可用，不作为主要重度使用场景。</w:t>
      </w:r>
    </w:p>
    <w:p>
      <w:pPr>
        <w:spacing w:before="0" w:after="60"/>
        <w:ind w:left="360" w:hanging="180"/>
      </w:pPr>
      <w:r>
        <w:rPr>
          <w:b w:val="0"/>
          <w:sz w:val="21"/>
        </w:rPr>
        <w:t>• 响应式断点补充为 1180px、720px、480px 三档：1180px 以下切换为上下单列，720px 以下压缩卡片间距并重排关键表单，480px 以下进一步简化按钮组和依赖行。</w:t>
      </w:r>
    </w:p>
    <w:p>
      <w:pPr>
        <w:spacing w:before="0" w:after="60"/>
        <w:ind w:left="360" w:hanging="180"/>
      </w:pPr>
      <w:r>
        <w:rPr>
          <w:b w:val="0"/>
          <w:sz w:val="21"/>
        </w:rPr>
        <w:t>• 流程环节在手机端改为两到三行网格布局，环节名称、工期、启停用和删除操作分别占位，避免单行挤压导致文字或控件溢出。</w:t>
      </w:r>
    </w:p>
    <w:p>
      <w:pPr>
        <w:spacing w:before="0" w:after="60"/>
        <w:ind w:left="360" w:hanging="180"/>
      </w:pPr>
      <w:r>
        <w:rPr>
          <w:b w:val="0"/>
          <w:sz w:val="21"/>
        </w:rPr>
        <w:t>• 依赖关系在窄屏下允许选择框、箭头、连接类型和间隔字段分行显示；手机端按单列栅格展示，优先保证可读性和可点按面积。</w:t>
      </w:r>
    </w:p>
    <w:p>
      <w:pPr>
        <w:spacing w:before="0" w:after="60"/>
        <w:ind w:left="360" w:hanging="180"/>
      </w:pPr>
      <w:r>
        <w:rPr>
          <w:b w:val="0"/>
          <w:sz w:val="21"/>
        </w:rPr>
        <w:t>• 时间明细表和甘特图保留横向滚动，不强行压缩列宽；甘特图固定列在手机端缩小为 112px，降低横向占用。</w:t>
      </w:r>
    </w:p>
    <w:p>
      <w:pPr>
        <w:spacing w:before="0" w:after="60"/>
        <w:ind w:left="360" w:hanging="180"/>
      </w:pPr>
      <w:r>
        <w:rPr>
          <w:b w:val="0"/>
          <w:sz w:val="21"/>
        </w:rPr>
        <w:t>• 弹窗在移动端改为底部抽屉式呈现，操作按钮纵向排列，避免按钮贴边或被虚拟键盘区域遮挡。</w:t>
      </w:r>
    </w:p>
    <w:p>
      <w:pPr>
        <w:spacing w:before="160" w:after="80"/>
      </w:pPr>
      <w:r>
        <w:rPr>
          <w:b/>
          <w:color w:val="4F6EF7"/>
          <w:sz w:val="25"/>
        </w:rPr>
        <w:t>11.2 新手引导调整</w:t>
      </w:r>
    </w:p>
    <w:p>
      <w:pPr>
        <w:spacing w:before="0" w:after="60"/>
        <w:ind w:left="360" w:hanging="180"/>
      </w:pPr>
      <w:r>
        <w:rPr>
          <w:b w:val="0"/>
          <w:sz w:val="21"/>
        </w:rPr>
        <w:t>• 新手引导取消独立蒙层框选方案，改为固定底部/右下角步骤卡片，点击“下一步”自动滚动到对应区域。</w:t>
      </w:r>
    </w:p>
    <w:p>
      <w:pPr>
        <w:spacing w:before="0" w:after="60"/>
        <w:ind w:left="360" w:hanging="180"/>
      </w:pPr>
      <w:r>
        <w:rPr>
          <w:b w:val="0"/>
          <w:sz w:val="21"/>
        </w:rPr>
        <w:t>• 对应区域使用真实 DOM 节点的轻量描边强调，不再绘制额外的绝对定位高亮框，降低 sticky、滚动和响应式布局下的错位风险。</w:t>
      </w:r>
    </w:p>
    <w:p>
      <w:pPr>
        <w:spacing w:before="0" w:after="60"/>
        <w:ind w:left="360" w:hanging="180"/>
      </w:pPr>
      <w:r>
        <w:rPr>
          <w:b w:val="0"/>
          <w:sz w:val="21"/>
        </w:rPr>
        <w:t>• 引导版本键更新为 schedule_tool_guide_shown_v2，已完成旧版引导的用户会重新看到新版引导，便于感知交互变化。</w:t>
      </w:r>
    </w:p>
    <w:p>
      <w:r>
        <w:t>11.3 流程环节列表视觉密度调整</w:t>
      </w:r>
    </w:p>
    <w:p>
      <w:r>
        <w:t>• 流程环节列表整体缩小一个视觉号：环节名称输入框、工期输入组、启停用开关、排序圆点、拖拽把手和删除按钮均下调字号或控件尺寸。</w:t>
      </w:r>
    </w:p>
    <w:p>
      <w:r>
        <w:t>• 该调整优先面向 PC/Mac 桌面端，目标是在保留可点按性的前提下，让单屏可浏览的流程阶段更多，减少偏大的表单控件带来的压迫感。</w:t>
      </w:r>
    </w:p>
    <w:p>
      <w:r>
        <w:t>• CSS 缓存版本更新为 style.css?v=11，确保线上部署后浏览器能拉取最新样式。</w:t>
      </w:r>
    </w:p>
    <w:p>
      <w:r>
        <w:t>11.4 PC/Mac 桌面布局对齐策略</w:t>
      </w:r>
    </w:p>
    <w:p>
      <w:r>
        <w:t>• 桌面端改为固定视口高度的双栏应用壳：顶部标题独立占位，主工作区占满剩余可视高度。</w:t>
      </w:r>
    </w:p>
    <w:p>
      <w:r>
        <w:t>• 左侧输入配置与右侧排期结果保持同高，并分别使用内部滚动，避免右侧结果增加时左侧底部出现大面积空白。</w:t>
      </w:r>
    </w:p>
    <w:p>
      <w:r>
        <w:t>• 勾选“显示倒排对比结果”后，新增的对比汇总、明细和甘特图在右侧结果栏内部滚动，不再撑高整页。</w:t>
      </w:r>
    </w:p>
    <w:p>
      <w:r>
        <w:t>• 1180px 以下继续使用上下堆叠布局和页面级滚动，保留此前的窄屏适配策略。</w:t>
      </w:r>
    </w:p>
    <w:p>
      <w:r>
        <w:t>• 本次回归测试覆盖正推、倒推、额外预留、节假日顺延和 SS 高级依赖，结果均符合预期。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— 文档结束 —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62762">
    <w:lvl>
      <w:numFmt w:val="bullet"/>
      <w:suff w:val="tab"/>
      <w:lvlText w:val="•"/>
      <w:rPr>
        <w:color w:val="3370ff"/>
      </w:rPr>
    </w:lvl>
  </w:abstractNum>
  <w:abstractNum w:abstractNumId="962763">
    <w:lvl>
      <w:numFmt w:val="bullet"/>
      <w:suff w:val="tab"/>
      <w:lvlText w:val="•"/>
      <w:rPr>
        <w:color w:val="3370ff"/>
      </w:rPr>
    </w:lvl>
  </w:abstractNum>
  <w:abstractNum w:abstractNumId="962764">
    <w:lvl>
      <w:numFmt w:val="bullet"/>
      <w:suff w:val="tab"/>
      <w:lvlText w:val="•"/>
      <w:rPr>
        <w:color w:val="3370ff"/>
      </w:rPr>
    </w:lvl>
  </w:abstractNum>
  <w:abstractNum w:abstractNumId="962765">
    <w:lvl>
      <w:numFmt w:val="bullet"/>
      <w:suff w:val="tab"/>
      <w:lvlText w:val="•"/>
      <w:rPr>
        <w:color w:val="3370ff"/>
      </w:rPr>
    </w:lvl>
  </w:abstractNum>
  <w:abstractNum w:abstractNumId="962766">
    <w:lvl>
      <w:start w:val="1"/>
      <w:numFmt w:val="decimal"/>
      <w:suff w:val="tab"/>
      <w:lvlText w:val="%1."/>
      <w:rPr>
        <w:color w:val="3370ff"/>
      </w:rPr>
    </w:lvl>
  </w:abstractNum>
  <w:abstractNum w:abstractNumId="962767">
    <w:lvl>
      <w:start w:val="2"/>
      <w:numFmt w:val="decimal"/>
      <w:suff w:val="tab"/>
      <w:lvlText w:val="%1."/>
      <w:rPr>
        <w:color w:val="3370ff"/>
      </w:rPr>
    </w:lvl>
  </w:abstractNum>
  <w:abstractNum w:abstractNumId="962768">
    <w:lvl>
      <w:start w:val="3"/>
      <w:numFmt w:val="decimal"/>
      <w:suff w:val="tab"/>
      <w:lvlText w:val="%1."/>
      <w:rPr>
        <w:color w:val="3370ff"/>
      </w:rPr>
    </w:lvl>
  </w:abstractNum>
  <w:abstractNum w:abstractNumId="962769">
    <w:lvl>
      <w:start w:val="4"/>
      <w:numFmt w:val="decimal"/>
      <w:suff w:val="tab"/>
      <w:lvlText w:val="%1."/>
      <w:rPr>
        <w:color w:val="3370ff"/>
      </w:rPr>
    </w:lvl>
  </w:abstractNum>
  <w:abstractNum w:abstractNumId="962770">
    <w:lvl>
      <w:start w:val="5"/>
      <w:numFmt w:val="decimal"/>
      <w:suff w:val="tab"/>
      <w:lvlText w:val="%1."/>
      <w:rPr>
        <w:color w:val="3370ff"/>
      </w:rPr>
    </w:lvl>
  </w:abstractNum>
  <w:abstractNum w:abstractNumId="962771">
    <w:lvl>
      <w:numFmt w:val="bullet"/>
      <w:suff w:val="tab"/>
      <w:lvlText w:val="•"/>
      <w:rPr>
        <w:color w:val="3370ff"/>
      </w:rPr>
    </w:lvl>
  </w:abstractNum>
  <w:abstractNum w:abstractNumId="962772">
    <w:lvl>
      <w:numFmt w:val="bullet"/>
      <w:suff w:val="tab"/>
      <w:lvlText w:val="•"/>
      <w:rPr>
        <w:color w:val="3370ff"/>
      </w:rPr>
    </w:lvl>
  </w:abstractNum>
  <w:abstractNum w:abstractNumId="962773">
    <w:lvl>
      <w:numFmt w:val="bullet"/>
      <w:suff w:val="tab"/>
      <w:lvlText w:val="•"/>
      <w:rPr>
        <w:color w:val="3370ff"/>
      </w:rPr>
    </w:lvl>
  </w:abstractNum>
  <w:abstractNum w:abstractNumId="962774">
    <w:lvl>
      <w:numFmt w:val="bullet"/>
      <w:suff w:val="tab"/>
      <w:lvlText w:val="•"/>
      <w:rPr>
        <w:color w:val="3370ff"/>
      </w:rPr>
    </w:lvl>
  </w:abstractNum>
  <w:abstractNum w:abstractNumId="962775">
    <w:lvl>
      <w:numFmt w:val="bullet"/>
      <w:suff w:val="tab"/>
      <w:lvlText w:val="•"/>
      <w:rPr>
        <w:color w:val="3370ff"/>
      </w:rPr>
    </w:lvl>
  </w:abstractNum>
  <w:abstractNum w:abstractNumId="962776">
    <w:lvl>
      <w:numFmt w:val="bullet"/>
      <w:suff w:val="tab"/>
      <w:lvlText w:val="•"/>
      <w:rPr>
        <w:color w:val="3370ff"/>
      </w:rPr>
    </w:lvl>
  </w:abstractNum>
  <w:abstractNum w:abstractNumId="962777">
    <w:lvl>
      <w:numFmt w:val="bullet"/>
      <w:suff w:val="tab"/>
      <w:lvlText w:val="•"/>
      <w:rPr>
        <w:color w:val="3370ff"/>
      </w:rPr>
    </w:lvl>
  </w:abstractNum>
  <w:abstractNum w:abstractNumId="962778">
    <w:lvl>
      <w:numFmt w:val="bullet"/>
      <w:suff w:val="tab"/>
      <w:lvlText w:val="•"/>
      <w:rPr>
        <w:color w:val="3370ff"/>
      </w:rPr>
    </w:lvl>
  </w:abstractNum>
  <w:abstractNum w:abstractNumId="962779">
    <w:lvl>
      <w:numFmt w:val="bullet"/>
      <w:suff w:val="tab"/>
      <w:lvlText w:val="•"/>
      <w:rPr>
        <w:color w:val="3370ff"/>
      </w:rPr>
    </w:lvl>
  </w:abstractNum>
  <w:abstractNum w:abstractNumId="962780">
    <w:lvl>
      <w:numFmt w:val="bullet"/>
      <w:suff w:val="tab"/>
      <w:lvlText w:val="•"/>
      <w:rPr>
        <w:color w:val="3370ff"/>
      </w:rPr>
    </w:lvl>
  </w:abstractNum>
  <w:abstractNum w:abstractNumId="962781">
    <w:lvl>
      <w:numFmt w:val="bullet"/>
      <w:suff w:val="tab"/>
      <w:lvlText w:val="•"/>
      <w:rPr>
        <w:color w:val="3370ff"/>
      </w:rPr>
    </w:lvl>
  </w:abstractNum>
  <w:abstractNum w:abstractNumId="962782">
    <w:lvl>
      <w:numFmt w:val="bullet"/>
      <w:suff w:val="tab"/>
      <w:lvlText w:val="•"/>
      <w:rPr>
        <w:color w:val="3370ff"/>
      </w:rPr>
    </w:lvl>
  </w:abstractNum>
  <w:abstractNum w:abstractNumId="962783">
    <w:lvl>
      <w:numFmt w:val="bullet"/>
      <w:suff w:val="tab"/>
      <w:lvlText w:val="•"/>
      <w:rPr>
        <w:color w:val="3370ff"/>
      </w:rPr>
    </w:lvl>
  </w:abstractNum>
  <w:abstractNum w:abstractNumId="962784">
    <w:lvl>
      <w:numFmt w:val="bullet"/>
      <w:suff w:val="tab"/>
      <w:lvlText w:val="•"/>
      <w:rPr>
        <w:color w:val="3370ff"/>
      </w:rPr>
    </w:lvl>
  </w:abstractNum>
  <w:abstractNum w:abstractNumId="962785">
    <w:lvl>
      <w:numFmt w:val="bullet"/>
      <w:suff w:val="tab"/>
      <w:lvlText w:val="•"/>
      <w:rPr>
        <w:color w:val="3370ff"/>
      </w:rPr>
    </w:lvl>
  </w:abstractNum>
  <w:abstractNum w:abstractNumId="962786">
    <w:lvl>
      <w:numFmt w:val="bullet"/>
      <w:suff w:val="tab"/>
      <w:lvlText w:val="•"/>
      <w:rPr>
        <w:color w:val="3370ff"/>
      </w:rPr>
    </w:lvl>
  </w:abstractNum>
  <w:abstractNum w:abstractNumId="962787">
    <w:lvl>
      <w:numFmt w:val="bullet"/>
      <w:suff w:val="tab"/>
      <w:lvlText w:val="•"/>
      <w:rPr>
        <w:color w:val="3370ff"/>
      </w:rPr>
    </w:lvl>
  </w:abstractNum>
  <w:abstractNum w:abstractNumId="962788">
    <w:lvl>
      <w:numFmt w:val="bullet"/>
      <w:suff w:val="tab"/>
      <w:lvlText w:val="•"/>
      <w:rPr>
        <w:color w:val="3370ff"/>
      </w:rPr>
    </w:lvl>
  </w:abstractNum>
  <w:abstractNum w:abstractNumId="962789">
    <w:lvl>
      <w:numFmt w:val="bullet"/>
      <w:suff w:val="tab"/>
      <w:lvlText w:val="•"/>
      <w:rPr>
        <w:color w:val="3370ff"/>
      </w:rPr>
    </w:lvl>
  </w:abstractNum>
  <w:abstractNum w:abstractNumId="962790">
    <w:lvl>
      <w:numFmt w:val="bullet"/>
      <w:suff w:val="tab"/>
      <w:lvlText w:val="•"/>
      <w:rPr>
        <w:color w:val="3370ff"/>
      </w:rPr>
    </w:lvl>
  </w:abstractNum>
  <w:abstractNum w:abstractNumId="962791">
    <w:lvl>
      <w:numFmt w:val="bullet"/>
      <w:suff w:val="tab"/>
      <w:lvlText w:val="•"/>
      <w:rPr>
        <w:color w:val="3370ff"/>
      </w:rPr>
    </w:lvl>
  </w:abstractNum>
  <w:abstractNum w:abstractNumId="962792">
    <w:lvl>
      <w:numFmt w:val="bullet"/>
      <w:suff w:val="tab"/>
      <w:lvlText w:val="•"/>
      <w:rPr>
        <w:color w:val="3370ff"/>
      </w:rPr>
    </w:lvl>
  </w:abstractNum>
  <w:abstractNum w:abstractNumId="962793">
    <w:lvl>
      <w:numFmt w:val="bullet"/>
      <w:suff w:val="tab"/>
      <w:lvlText w:val="•"/>
      <w:rPr>
        <w:color w:val="3370ff"/>
      </w:rPr>
    </w:lvl>
  </w:abstractNum>
  <w:abstractNum w:abstractNumId="962794">
    <w:lvl>
      <w:numFmt w:val="bullet"/>
      <w:suff w:val="tab"/>
      <w:lvlText w:val="•"/>
      <w:rPr>
        <w:color w:val="3370ff"/>
      </w:rPr>
    </w:lvl>
  </w:abstractNum>
  <w:abstractNum w:abstractNumId="962795">
    <w:lvl>
      <w:numFmt w:val="bullet"/>
      <w:suff w:val="tab"/>
      <w:lvlText w:val="•"/>
      <w:rPr>
        <w:color w:val="3370ff"/>
      </w:rPr>
    </w:lvl>
  </w:abstractNum>
  <w:abstractNum w:abstractNumId="962796">
    <w:lvl>
      <w:numFmt w:val="bullet"/>
      <w:suff w:val="tab"/>
      <w:lvlText w:val="•"/>
      <w:rPr>
        <w:color w:val="3370ff"/>
      </w:rPr>
    </w:lvl>
  </w:abstractNum>
  <w:abstractNum w:abstractNumId="962797">
    <w:lvl>
      <w:numFmt w:val="bullet"/>
      <w:suff w:val="tab"/>
      <w:lvlText w:val="•"/>
      <w:rPr>
        <w:color w:val="3370ff"/>
      </w:rPr>
    </w:lvl>
  </w:abstractNum>
  <w:abstractNum w:abstractNumId="962798">
    <w:lvl>
      <w:numFmt w:val="bullet"/>
      <w:suff w:val="tab"/>
      <w:lvlText w:val="•"/>
      <w:rPr>
        <w:color w:val="3370ff"/>
      </w:rPr>
    </w:lvl>
  </w:abstractNum>
  <w:abstractNum w:abstractNumId="962799">
    <w:lvl>
      <w:numFmt w:val="bullet"/>
      <w:suff w:val="tab"/>
      <w:lvlText w:val="•"/>
      <w:rPr>
        <w:color w:val="3370ff"/>
      </w:rPr>
    </w:lvl>
  </w:abstractNum>
  <w:abstractNum w:abstractNumId="962800">
    <w:lvl>
      <w:numFmt w:val="bullet"/>
      <w:suff w:val="tab"/>
      <w:lvlText w:val="•"/>
      <w:rPr>
        <w:color w:val="3370ff"/>
      </w:rPr>
    </w:lvl>
  </w:abstractNum>
  <w:abstractNum w:abstractNumId="962801">
    <w:lvl>
      <w:numFmt w:val="bullet"/>
      <w:suff w:val="tab"/>
      <w:lvlText w:val="•"/>
      <w:rPr>
        <w:color w:val="3370ff"/>
      </w:rPr>
    </w:lvl>
  </w:abstractNum>
  <w:abstractNum w:abstractNumId="962802">
    <w:lvl>
      <w:numFmt w:val="bullet"/>
      <w:suff w:val="tab"/>
      <w:lvlText w:val="•"/>
      <w:rPr>
        <w:color w:val="3370ff"/>
      </w:rPr>
    </w:lvl>
  </w:abstractNum>
  <w:abstractNum w:abstractNumId="962803">
    <w:lvl>
      <w:numFmt w:val="bullet"/>
      <w:suff w:val="tab"/>
      <w:lvlText w:val="•"/>
      <w:rPr>
        <w:color w:val="3370ff"/>
      </w:rPr>
    </w:lvl>
  </w:abstractNum>
  <w:abstractNum w:abstractNumId="962804">
    <w:lvl>
      <w:numFmt w:val="bullet"/>
      <w:suff w:val="tab"/>
      <w:lvlText w:val="•"/>
      <w:rPr>
        <w:color w:val="3370ff"/>
      </w:rPr>
    </w:lvl>
  </w:abstractNum>
  <w:abstractNum w:abstractNumId="962805">
    <w:lvl>
      <w:numFmt w:val="bullet"/>
      <w:suff w:val="tab"/>
      <w:lvlText w:val="•"/>
      <w:rPr>
        <w:color w:val="3370ff"/>
      </w:rPr>
    </w:lvl>
  </w:abstractNum>
  <w:abstractNum w:abstractNumId="962806">
    <w:lvl>
      <w:numFmt w:val="bullet"/>
      <w:suff w:val="tab"/>
      <w:lvlText w:val="•"/>
      <w:rPr>
        <w:color w:val="3370ff"/>
      </w:rPr>
    </w:lvl>
  </w:abstractNum>
  <w:abstractNum w:abstractNumId="962807">
    <w:lvl>
      <w:numFmt w:val="bullet"/>
      <w:suff w:val="tab"/>
      <w:lvlText w:val="•"/>
      <w:rPr>
        <w:color w:val="3370ff"/>
      </w:rPr>
    </w:lvl>
  </w:abstractNum>
  <w:abstractNum w:abstractNumId="962808">
    <w:lvl>
      <w:numFmt w:val="bullet"/>
      <w:suff w:val="tab"/>
      <w:lvlText w:val="•"/>
      <w:rPr>
        <w:color w:val="3370ff"/>
      </w:rPr>
    </w:lvl>
  </w:abstractNum>
  <w:abstractNum w:abstractNumId="962809">
    <w:lvl>
      <w:numFmt w:val="bullet"/>
      <w:suff w:val="tab"/>
      <w:lvlText w:val="•"/>
      <w:rPr>
        <w:color w:val="3370ff"/>
      </w:rPr>
    </w:lvl>
  </w:abstractNum>
  <w:abstractNum w:abstractNumId="962810">
    <w:lvl>
      <w:numFmt w:val="bullet"/>
      <w:suff w:val="tab"/>
      <w:lvlText w:val="•"/>
      <w:rPr>
        <w:color w:val="3370ff"/>
      </w:rPr>
    </w:lvl>
  </w:abstractNum>
  <w:abstractNum w:abstractNumId="962811">
    <w:lvl>
      <w:numFmt w:val="bullet"/>
      <w:suff w:val="tab"/>
      <w:lvlText w:val="•"/>
      <w:rPr>
        <w:color w:val="3370ff"/>
      </w:rPr>
    </w:lvl>
  </w:abstractNum>
  <w:abstractNum w:abstractNumId="962812">
    <w:lvl>
      <w:numFmt w:val="bullet"/>
      <w:suff w:val="tab"/>
      <w:lvlText w:val="•"/>
      <w:rPr>
        <w:color w:val="3370ff"/>
      </w:rPr>
    </w:lvl>
  </w:abstractNum>
  <w:abstractNum w:abstractNumId="962813">
    <w:lvl>
      <w:numFmt w:val="bullet"/>
      <w:suff w:val="tab"/>
      <w:lvlText w:val="•"/>
      <w:rPr>
        <w:color w:val="3370ff"/>
      </w:rPr>
    </w:lvl>
  </w:abstractNum>
  <w:abstractNum w:abstractNumId="962814">
    <w:lvl>
      <w:numFmt w:val="bullet"/>
      <w:suff w:val="tab"/>
      <w:lvlText w:val="•"/>
      <w:rPr>
        <w:color w:val="3370ff"/>
      </w:rPr>
    </w:lvl>
  </w:abstractNum>
  <w:abstractNum w:abstractNumId="962815">
    <w:lvl>
      <w:numFmt w:val="bullet"/>
      <w:suff w:val="tab"/>
      <w:lvlText w:val="•"/>
      <w:rPr>
        <w:color w:val="3370ff"/>
      </w:rPr>
    </w:lvl>
  </w:abstractNum>
  <w:abstractNum w:abstractNumId="962816">
    <w:lvl>
      <w:numFmt w:val="bullet"/>
      <w:suff w:val="tab"/>
      <w:lvlText w:val="•"/>
      <w:rPr>
        <w:color w:val="3370ff"/>
      </w:rPr>
    </w:lvl>
  </w:abstractNum>
  <w:abstractNum w:abstractNumId="962817">
    <w:lvl>
      <w:numFmt w:val="bullet"/>
      <w:suff w:val="tab"/>
      <w:lvlText w:val="•"/>
      <w:rPr>
        <w:color w:val="3370ff"/>
      </w:rPr>
    </w:lvl>
  </w:abstractNum>
  <w:abstractNum w:abstractNumId="962818">
    <w:lvl>
      <w:numFmt w:val="bullet"/>
      <w:suff w:val="tab"/>
      <w:lvlText w:val="•"/>
      <w:rPr>
        <w:color w:val="3370ff"/>
      </w:rPr>
    </w:lvl>
  </w:abstractNum>
  <w:abstractNum w:abstractNumId="962819">
    <w:lvl>
      <w:numFmt w:val="bullet"/>
      <w:suff w:val="tab"/>
      <w:lvlText w:val="•"/>
      <w:rPr>
        <w:color w:val="3370ff"/>
      </w:rPr>
    </w:lvl>
  </w:abstractNum>
  <w:abstractNum w:abstractNumId="962820">
    <w:lvl>
      <w:numFmt w:val="bullet"/>
      <w:suff w:val="tab"/>
      <w:lvlText w:val="•"/>
      <w:rPr>
        <w:color w:val="3370ff"/>
      </w:rPr>
    </w:lvl>
  </w:abstractNum>
  <w:abstractNum w:abstractNumId="962821">
    <w:lvl>
      <w:numFmt w:val="bullet"/>
      <w:suff w:val="tab"/>
      <w:lvlText w:val="•"/>
      <w:rPr>
        <w:color w:val="3370ff"/>
      </w:rPr>
    </w:lvl>
  </w:abstractNum>
  <w:abstractNum w:abstractNumId="962822">
    <w:lvl>
      <w:numFmt w:val="bullet"/>
      <w:suff w:val="tab"/>
      <w:lvlText w:val="•"/>
      <w:rPr>
        <w:color w:val="3370ff"/>
      </w:rPr>
    </w:lvl>
  </w:abstractNum>
  <w:abstractNum w:abstractNumId="962823">
    <w:lvl>
      <w:numFmt w:val="bullet"/>
      <w:suff w:val="tab"/>
      <w:lvlText w:val="•"/>
      <w:rPr>
        <w:color w:val="3370ff"/>
      </w:rPr>
    </w:lvl>
  </w:abstractNum>
  <w:abstractNum w:abstractNumId="962824">
    <w:lvl>
      <w:numFmt w:val="bullet"/>
      <w:suff w:val="tab"/>
      <w:lvlText w:val="•"/>
      <w:rPr>
        <w:color w:val="3370ff"/>
      </w:rPr>
    </w:lvl>
  </w:abstractNum>
  <w:abstractNum w:abstractNumId="962825">
    <w:lvl>
      <w:numFmt w:val="bullet"/>
      <w:suff w:val="tab"/>
      <w:lvlText w:val="•"/>
      <w:rPr>
        <w:color w:val="3370ff"/>
      </w:rPr>
    </w:lvl>
  </w:abstractNum>
  <w:abstractNum w:abstractNumId="962826">
    <w:lvl>
      <w:numFmt w:val="bullet"/>
      <w:suff w:val="tab"/>
      <w:lvlText w:val="•"/>
      <w:rPr>
        <w:color w:val="3370ff"/>
      </w:rPr>
    </w:lvl>
  </w:abstractNum>
  <w:abstractNum w:abstractNumId="962827">
    <w:lvl>
      <w:numFmt w:val="bullet"/>
      <w:suff w:val="tab"/>
      <w:lvlText w:val="•"/>
      <w:rPr>
        <w:color w:val="3370ff"/>
      </w:rPr>
    </w:lvl>
  </w:abstractNum>
  <w:abstractNum w:abstractNumId="962828">
    <w:lvl>
      <w:numFmt w:val="bullet"/>
      <w:suff w:val="tab"/>
      <w:lvlText w:val="•"/>
      <w:rPr>
        <w:color w:val="3370ff"/>
      </w:rPr>
    </w:lvl>
  </w:abstractNum>
  <w:abstractNum w:abstractNumId="962829">
    <w:lvl>
      <w:numFmt w:val="bullet"/>
      <w:suff w:val="tab"/>
      <w:lvlText w:val="•"/>
      <w:rPr>
        <w:color w:val="3370ff"/>
      </w:rPr>
    </w:lvl>
  </w:abstractNum>
  <w:abstractNum w:abstractNumId="962830">
    <w:lvl>
      <w:numFmt w:val="bullet"/>
      <w:suff w:val="tab"/>
      <w:lvlText w:val="•"/>
      <w:rPr>
        <w:color w:val="3370ff"/>
      </w:rPr>
    </w:lvl>
  </w:abstractNum>
  <w:abstractNum w:abstractNumId="962831">
    <w:lvl>
      <w:numFmt w:val="bullet"/>
      <w:suff w:val="tab"/>
      <w:lvlText w:val="•"/>
      <w:rPr>
        <w:color w:val="3370ff"/>
      </w:rPr>
    </w:lvl>
  </w:abstractNum>
  <w:abstractNum w:abstractNumId="962832">
    <w:lvl>
      <w:numFmt w:val="bullet"/>
      <w:suff w:val="tab"/>
      <w:lvlText w:val="•"/>
      <w:rPr>
        <w:color w:val="3370ff"/>
      </w:rPr>
    </w:lvl>
  </w:abstractNum>
  <w:abstractNum w:abstractNumId="962833">
    <w:lvl>
      <w:start w:val="6"/>
      <w:numFmt w:val="decimal"/>
      <w:suff w:val="tab"/>
      <w:lvlText w:val="%1."/>
      <w:rPr>
        <w:color w:val="3370ff"/>
      </w:rPr>
    </w:lvl>
  </w:abstractNum>
  <w:abstractNum w:abstractNumId="962834">
    <w:lvl>
      <w:start w:val="7"/>
      <w:numFmt w:val="decimal"/>
      <w:suff w:val="tab"/>
      <w:lvlText w:val="%1."/>
      <w:rPr>
        <w:color w:val="3370ff"/>
      </w:rPr>
    </w:lvl>
  </w:abstractNum>
  <w:abstractNum w:abstractNumId="962835">
    <w:lvl>
      <w:start w:val="8"/>
      <w:numFmt w:val="decimal"/>
      <w:suff w:val="tab"/>
      <w:lvlText w:val="%1."/>
      <w:rPr>
        <w:color w:val="3370ff"/>
      </w:rPr>
    </w:lvl>
  </w:abstractNum>
  <w:abstractNum w:abstractNumId="962836">
    <w:lvl>
      <w:start w:val="9"/>
      <w:numFmt w:val="decimal"/>
      <w:suff w:val="tab"/>
      <w:lvlText w:val="%1."/>
      <w:rPr>
        <w:color w:val="3370ff"/>
      </w:rPr>
    </w:lvl>
  </w:abstractNum>
  <w:abstractNum w:abstractNumId="962837">
    <w:lvl>
      <w:start w:val="10"/>
      <w:numFmt w:val="decimal"/>
      <w:suff w:val="tab"/>
      <w:lvlText w:val="%1."/>
      <w:rPr>
        <w:color w:val="3370ff"/>
      </w:rPr>
    </w:lvl>
  </w:abstractNum>
  <w:abstractNum w:abstractNumId="962838">
    <w:lvl>
      <w:start w:val="11"/>
      <w:numFmt w:val="decimal"/>
      <w:suff w:val="tab"/>
      <w:lvlText w:val="%1."/>
      <w:rPr>
        <w:color w:val="3370ff"/>
      </w:rPr>
    </w:lvl>
  </w:abstractNum>
  <w:abstractNum w:abstractNumId="962839">
    <w:lvl>
      <w:start w:val="12"/>
      <w:numFmt w:val="decimal"/>
      <w:suff w:val="tab"/>
      <w:lvlText w:val="%1."/>
      <w:rPr>
        <w:color w:val="3370ff"/>
      </w:rPr>
    </w:lvl>
  </w:abstractNum>
  <w:abstractNum w:abstractNumId="962840">
    <w:lvl>
      <w:numFmt w:val="bullet"/>
      <w:suff w:val="tab"/>
      <w:lvlText w:val="•"/>
      <w:rPr>
        <w:color w:val="3370ff"/>
      </w:rPr>
    </w:lvl>
  </w:abstractNum>
  <w:abstractNum w:abstractNumId="962841">
    <w:lvl>
      <w:numFmt w:val="bullet"/>
      <w:suff w:val="tab"/>
      <w:lvlText w:val="•"/>
      <w:rPr>
        <w:color w:val="3370ff"/>
      </w:rPr>
    </w:lvl>
  </w:abstractNum>
  <w:abstractNum w:abstractNumId="962842">
    <w:lvl>
      <w:numFmt w:val="bullet"/>
      <w:suff w:val="tab"/>
      <w:lvlText w:val="•"/>
      <w:rPr>
        <w:color w:val="3370ff"/>
      </w:rPr>
    </w:lvl>
  </w:abstractNum>
  <w:abstractNum w:abstractNumId="962843">
    <w:lvl>
      <w:numFmt w:val="bullet"/>
      <w:suff w:val="tab"/>
      <w:lvlText w:val="•"/>
      <w:rPr>
        <w:color w:val="3370ff"/>
      </w:rPr>
    </w:lvl>
  </w:abstractNum>
  <w:abstractNum w:abstractNumId="962844">
    <w:lvl>
      <w:numFmt w:val="bullet"/>
      <w:suff w:val="tab"/>
      <w:lvlText w:val="•"/>
      <w:rPr>
        <w:color w:val="3370ff"/>
      </w:rPr>
    </w:lvl>
  </w:abstractNum>
  <w:abstractNum w:abstractNumId="962845">
    <w:lvl>
      <w:numFmt w:val="bullet"/>
      <w:suff w:val="tab"/>
      <w:lvlText w:val="•"/>
      <w:rPr>
        <w:color w:val="3370ff"/>
      </w:rPr>
    </w:lvl>
  </w:abstractNum>
  <w:abstractNum w:abstractNumId="962846">
    <w:lvl>
      <w:numFmt w:val="bullet"/>
      <w:suff w:val="tab"/>
      <w:lvlText w:val="•"/>
      <w:rPr>
        <w:color w:val="3370ff"/>
      </w:rPr>
    </w:lvl>
  </w:abstractNum>
  <w:abstractNum w:abstractNumId="962847">
    <w:lvl>
      <w:numFmt w:val="bullet"/>
      <w:suff w:val="tab"/>
      <w:lvlText w:val="•"/>
      <w:rPr>
        <w:color w:val="3370ff"/>
      </w:rPr>
    </w:lvl>
  </w:abstractNum>
  <w:abstractNum w:abstractNumId="962848">
    <w:lvl>
      <w:numFmt w:val="bullet"/>
      <w:suff w:val="tab"/>
      <w:lvlText w:val="•"/>
      <w:rPr>
        <w:color w:val="3370ff"/>
      </w:rPr>
    </w:lvl>
  </w:abstractNum>
  <w:abstractNum w:abstractNumId="962849">
    <w:lvl>
      <w:numFmt w:val="bullet"/>
      <w:suff w:val="tab"/>
      <w:lvlText w:val="•"/>
      <w:rPr>
        <w:color w:val="3370ff"/>
      </w:rPr>
    </w:lvl>
  </w:abstractNum>
  <w:abstractNum w:abstractNumId="962850">
    <w:lvl>
      <w:numFmt w:val="bullet"/>
      <w:suff w:val="tab"/>
      <w:lvlText w:val="•"/>
      <w:rPr>
        <w:color w:val="3370ff"/>
      </w:rPr>
    </w:lvl>
  </w:abstractNum>
  <w:abstractNum w:abstractNumId="962851">
    <w:lvl>
      <w:numFmt w:val="bullet"/>
      <w:suff w:val="tab"/>
      <w:lvlText w:val="•"/>
      <w:rPr>
        <w:color w:val="3370ff"/>
      </w:rPr>
    </w:lvl>
  </w:abstractNum>
  <w:abstractNum w:abstractNumId="962852">
    <w:lvl>
      <w:numFmt w:val="bullet"/>
      <w:suff w:val="tab"/>
      <w:lvlText w:val="•"/>
      <w:rPr>
        <w:color w:val="3370ff"/>
      </w:rPr>
    </w:lvl>
  </w:abstractNum>
  <w:abstractNum w:abstractNumId="962853">
    <w:lvl>
      <w:numFmt w:val="bullet"/>
      <w:suff w:val="tab"/>
      <w:lvlText w:val="•"/>
      <w:rPr>
        <w:color w:val="3370ff"/>
      </w:rPr>
    </w:lvl>
  </w:abstractNum>
  <w:abstractNum w:abstractNumId="962854">
    <w:lvl>
      <w:numFmt w:val="bullet"/>
      <w:suff w:val="tab"/>
      <w:lvlText w:val="•"/>
      <w:rPr>
        <w:color w:val="3370ff"/>
      </w:rPr>
    </w:lvl>
  </w:abstractNum>
  <w:abstractNum w:abstractNumId="962855">
    <w:lvl>
      <w:numFmt w:val="bullet"/>
      <w:suff w:val="tab"/>
      <w:lvlText w:val="•"/>
      <w:rPr>
        <w:color w:val="3370ff"/>
      </w:rPr>
    </w:lvl>
  </w:abstractNum>
  <w:abstractNum w:abstractNumId="962856">
    <w:lvl>
      <w:numFmt w:val="bullet"/>
      <w:suff w:val="tab"/>
      <w:lvlText w:val="•"/>
      <w:rPr>
        <w:color w:val="3370ff"/>
      </w:rPr>
    </w:lvl>
  </w:abstractNum>
  <w:abstractNum w:abstractNumId="962857">
    <w:lvl>
      <w:numFmt w:val="bullet"/>
      <w:suff w:val="tab"/>
      <w:lvlText w:val="•"/>
      <w:rPr>
        <w:color w:val="3370ff"/>
      </w:rPr>
    </w:lvl>
  </w:abstractNum>
  <w:abstractNum w:abstractNumId="962858">
    <w:lvl>
      <w:numFmt w:val="bullet"/>
      <w:suff w:val="tab"/>
      <w:lvlText w:val="•"/>
      <w:rPr>
        <w:color w:val="3370ff"/>
      </w:rPr>
    </w:lvl>
  </w:abstractNum>
  <w:abstractNum w:abstractNumId="962859">
    <w:lvl>
      <w:numFmt w:val="bullet"/>
      <w:suff w:val="tab"/>
      <w:lvlText w:val="•"/>
      <w:rPr>
        <w:color w:val="3370ff"/>
      </w:rPr>
    </w:lvl>
  </w:abstractNum>
  <w:abstractNum w:abstractNumId="962860">
    <w:lvl>
      <w:numFmt w:val="bullet"/>
      <w:suff w:val="tab"/>
      <w:lvlText w:val="•"/>
      <w:rPr>
        <w:color w:val="3370ff"/>
      </w:rPr>
    </w:lvl>
  </w:abstractNum>
  <w:abstractNum w:abstractNumId="962861">
    <w:lvl>
      <w:numFmt w:val="bullet"/>
      <w:suff w:val="tab"/>
      <w:lvlText w:val="•"/>
      <w:rPr>
        <w:color w:val="3370ff"/>
      </w:rPr>
    </w:lvl>
  </w:abstractNum>
  <w:abstractNum w:abstractNumId="962862">
    <w:lvl>
      <w:numFmt w:val="bullet"/>
      <w:suff w:val="tab"/>
      <w:lvlText w:val="•"/>
      <w:rPr>
        <w:color w:val="3370ff"/>
      </w:rPr>
    </w:lvl>
  </w:abstractNum>
  <w:abstractNum w:abstractNumId="962863">
    <w:lvl>
      <w:numFmt w:val="bullet"/>
      <w:suff w:val="tab"/>
      <w:lvlText w:val="•"/>
      <w:rPr>
        <w:color w:val="3370ff"/>
      </w:rPr>
    </w:lvl>
  </w:abstractNum>
  <w:abstractNum w:abstractNumId="962864">
    <w:lvl>
      <w:numFmt w:val="bullet"/>
      <w:suff w:val="tab"/>
      <w:lvlText w:val="•"/>
      <w:rPr>
        <w:color w:val="3370ff"/>
      </w:rPr>
    </w:lvl>
  </w:abstractNum>
  <w:abstractNum w:abstractNumId="962865">
    <w:lvl>
      <w:numFmt w:val="bullet"/>
      <w:suff w:val="tab"/>
      <w:lvlText w:val="•"/>
      <w:rPr>
        <w:color w:val="3370ff"/>
      </w:rPr>
    </w:lvl>
  </w:abstractNum>
  <w:abstractNum w:abstractNumId="962866">
    <w:lvl>
      <w:numFmt w:val="bullet"/>
      <w:suff w:val="tab"/>
      <w:lvlText w:val="•"/>
      <w:rPr>
        <w:color w:val="3370ff"/>
      </w:rPr>
    </w:lvl>
  </w:abstractNum>
  <w:abstractNum w:abstractNumId="962867">
    <w:lvl>
      <w:numFmt w:val="bullet"/>
      <w:suff w:val="tab"/>
      <w:lvlText w:val="•"/>
      <w:rPr>
        <w:color w:val="3370ff"/>
      </w:rPr>
    </w:lvl>
  </w:abstractNum>
  <w:abstractNum w:abstractNumId="962868">
    <w:lvl>
      <w:numFmt w:val="bullet"/>
      <w:suff w:val="tab"/>
      <w:lvlText w:val="•"/>
      <w:rPr>
        <w:color w:val="3370ff"/>
      </w:rPr>
    </w:lvl>
  </w:abstractNum>
  <w:abstractNum w:abstractNumId="962869">
    <w:lvl>
      <w:numFmt w:val="bullet"/>
      <w:suff w:val="tab"/>
      <w:lvlText w:val="•"/>
      <w:rPr>
        <w:color w:val="3370ff"/>
      </w:rPr>
    </w:lvl>
  </w:abstractNum>
  <w:abstractNum w:abstractNumId="962870">
    <w:lvl>
      <w:numFmt w:val="bullet"/>
      <w:suff w:val="tab"/>
      <w:lvlText w:val="•"/>
      <w:rPr>
        <w:color w:val="3370ff"/>
      </w:rPr>
    </w:lvl>
  </w:abstractNum>
  <w:abstractNum w:abstractNumId="962871">
    <w:lvl>
      <w:numFmt w:val="bullet"/>
      <w:suff w:val="tab"/>
      <w:lvlText w:val="•"/>
      <w:rPr>
        <w:color w:val="3370ff"/>
      </w:rPr>
    </w:lvl>
  </w:abstractNum>
  <w:abstractNum w:abstractNumId="962872">
    <w:lvl>
      <w:numFmt w:val="bullet"/>
      <w:suff w:val="tab"/>
      <w:lvlText w:val="•"/>
      <w:rPr>
        <w:color w:val="3370ff"/>
      </w:rPr>
    </w:lvl>
  </w:abstractNum>
  <w:abstractNum w:abstractNumId="962873">
    <w:lvl>
      <w:numFmt w:val="bullet"/>
      <w:suff w:val="tab"/>
      <w:lvlText w:val="•"/>
      <w:rPr>
        <w:color w:val="3370ff"/>
      </w:rPr>
    </w:lvl>
  </w:abstractNum>
  <w:abstractNum w:abstractNumId="962874">
    <w:lvl>
      <w:numFmt w:val="bullet"/>
      <w:suff w:val="tab"/>
      <w:lvlText w:val="•"/>
      <w:rPr>
        <w:color w:val="3370ff"/>
      </w:rPr>
    </w:lvl>
  </w:abstractNum>
  <w:abstractNum w:abstractNumId="962875">
    <w:lvl>
      <w:numFmt w:val="bullet"/>
      <w:suff w:val="tab"/>
      <w:lvlText w:val="•"/>
      <w:rPr>
        <w:color w:val="3370ff"/>
      </w:rPr>
    </w:lvl>
  </w:abstractNum>
  <w:num w:numId="1">
    <w:abstractNumId w:val="962762"/>
  </w:num>
  <w:num w:numId="2">
    <w:abstractNumId w:val="962763"/>
  </w:num>
  <w:num w:numId="3">
    <w:abstractNumId w:val="962764"/>
  </w:num>
  <w:num w:numId="4">
    <w:abstractNumId w:val="962765"/>
  </w:num>
  <w:num w:numId="5">
    <w:abstractNumId w:val="962766"/>
  </w:num>
  <w:num w:numId="6">
    <w:abstractNumId w:val="962767"/>
  </w:num>
  <w:num w:numId="7">
    <w:abstractNumId w:val="962768"/>
  </w:num>
  <w:num w:numId="8">
    <w:abstractNumId w:val="962769"/>
  </w:num>
  <w:num w:numId="9">
    <w:abstractNumId w:val="962770"/>
  </w:num>
  <w:num w:numId="10">
    <w:abstractNumId w:val="962771"/>
  </w:num>
  <w:num w:numId="11">
    <w:abstractNumId w:val="962772"/>
  </w:num>
  <w:num w:numId="12">
    <w:abstractNumId w:val="962773"/>
  </w:num>
  <w:num w:numId="13">
    <w:abstractNumId w:val="962774"/>
  </w:num>
  <w:num w:numId="14">
    <w:abstractNumId w:val="962775"/>
  </w:num>
  <w:num w:numId="15">
    <w:abstractNumId w:val="962776"/>
  </w:num>
  <w:num w:numId="16">
    <w:abstractNumId w:val="962777"/>
  </w:num>
  <w:num w:numId="17">
    <w:abstractNumId w:val="962778"/>
  </w:num>
  <w:num w:numId="18">
    <w:abstractNumId w:val="962779"/>
  </w:num>
  <w:num w:numId="19">
    <w:abstractNumId w:val="962780"/>
  </w:num>
  <w:num w:numId="20">
    <w:abstractNumId w:val="962781"/>
  </w:num>
  <w:num w:numId="21">
    <w:abstractNumId w:val="962782"/>
  </w:num>
  <w:num w:numId="22">
    <w:abstractNumId w:val="962783"/>
  </w:num>
  <w:num w:numId="23">
    <w:abstractNumId w:val="962784"/>
  </w:num>
  <w:num w:numId="24">
    <w:abstractNumId w:val="962785"/>
  </w:num>
  <w:num w:numId="25">
    <w:abstractNumId w:val="962786"/>
  </w:num>
  <w:num w:numId="26">
    <w:abstractNumId w:val="962787"/>
  </w:num>
  <w:num w:numId="27">
    <w:abstractNumId w:val="962788"/>
  </w:num>
  <w:num w:numId="28">
    <w:abstractNumId w:val="962789"/>
  </w:num>
  <w:num w:numId="29">
    <w:abstractNumId w:val="962790"/>
  </w:num>
  <w:num w:numId="30">
    <w:abstractNumId w:val="962791"/>
  </w:num>
  <w:num w:numId="31">
    <w:abstractNumId w:val="962792"/>
  </w:num>
  <w:num w:numId="32">
    <w:abstractNumId w:val="962793"/>
  </w:num>
  <w:num w:numId="33">
    <w:abstractNumId w:val="962794"/>
  </w:num>
  <w:num w:numId="34">
    <w:abstractNumId w:val="962795"/>
  </w:num>
  <w:num w:numId="35">
    <w:abstractNumId w:val="962796"/>
  </w:num>
  <w:num w:numId="36">
    <w:abstractNumId w:val="962797"/>
  </w:num>
  <w:num w:numId="37">
    <w:abstractNumId w:val="962798"/>
  </w:num>
  <w:num w:numId="38">
    <w:abstractNumId w:val="962799"/>
  </w:num>
  <w:num w:numId="39">
    <w:abstractNumId w:val="962800"/>
  </w:num>
  <w:num w:numId="40">
    <w:abstractNumId w:val="962801"/>
  </w:num>
  <w:num w:numId="41">
    <w:abstractNumId w:val="962802"/>
  </w:num>
  <w:num w:numId="42">
    <w:abstractNumId w:val="962803"/>
  </w:num>
  <w:num w:numId="43">
    <w:abstractNumId w:val="962804"/>
  </w:num>
  <w:num w:numId="44">
    <w:abstractNumId w:val="962805"/>
  </w:num>
  <w:num w:numId="45">
    <w:abstractNumId w:val="962806"/>
  </w:num>
  <w:num w:numId="46">
    <w:abstractNumId w:val="962807"/>
  </w:num>
  <w:num w:numId="47">
    <w:abstractNumId w:val="962808"/>
  </w:num>
  <w:num w:numId="48">
    <w:abstractNumId w:val="962809"/>
  </w:num>
  <w:num w:numId="49">
    <w:abstractNumId w:val="962810"/>
  </w:num>
  <w:num w:numId="50">
    <w:abstractNumId w:val="962811"/>
  </w:num>
  <w:num w:numId="51">
    <w:abstractNumId w:val="962812"/>
  </w:num>
  <w:num w:numId="52">
    <w:abstractNumId w:val="962813"/>
  </w:num>
  <w:num w:numId="53">
    <w:abstractNumId w:val="962814"/>
  </w:num>
  <w:num w:numId="54">
    <w:abstractNumId w:val="962815"/>
  </w:num>
  <w:num w:numId="55">
    <w:abstractNumId w:val="962816"/>
  </w:num>
  <w:num w:numId="56">
    <w:abstractNumId w:val="962817"/>
  </w:num>
  <w:num w:numId="57">
    <w:abstractNumId w:val="962818"/>
  </w:num>
  <w:num w:numId="58">
    <w:abstractNumId w:val="962819"/>
  </w:num>
  <w:num w:numId="59">
    <w:abstractNumId w:val="962820"/>
  </w:num>
  <w:num w:numId="60">
    <w:abstractNumId w:val="962821"/>
  </w:num>
  <w:num w:numId="61">
    <w:abstractNumId w:val="962822"/>
  </w:num>
  <w:num w:numId="62">
    <w:abstractNumId w:val="962823"/>
  </w:num>
  <w:num w:numId="63">
    <w:abstractNumId w:val="962824"/>
  </w:num>
  <w:num w:numId="64">
    <w:abstractNumId w:val="962825"/>
  </w:num>
  <w:num w:numId="65">
    <w:abstractNumId w:val="962826"/>
  </w:num>
  <w:num w:numId="66">
    <w:abstractNumId w:val="962827"/>
  </w:num>
  <w:num w:numId="67">
    <w:abstractNumId w:val="962828"/>
  </w:num>
  <w:num w:numId="68">
    <w:abstractNumId w:val="962829"/>
  </w:num>
  <w:num w:numId="69">
    <w:abstractNumId w:val="962830"/>
  </w:num>
  <w:num w:numId="70">
    <w:abstractNumId w:val="962831"/>
  </w:num>
  <w:num w:numId="71">
    <w:abstractNumId w:val="962832"/>
  </w:num>
  <w:num w:numId="72">
    <w:abstractNumId w:val="962833"/>
  </w:num>
  <w:num w:numId="73">
    <w:abstractNumId w:val="962834"/>
  </w:num>
  <w:num w:numId="74">
    <w:abstractNumId w:val="962835"/>
  </w:num>
  <w:num w:numId="75">
    <w:abstractNumId w:val="962836"/>
  </w:num>
  <w:num w:numId="76">
    <w:abstractNumId w:val="962837"/>
  </w:num>
  <w:num w:numId="77">
    <w:abstractNumId w:val="962838"/>
  </w:num>
  <w:num w:numId="78">
    <w:abstractNumId w:val="962839"/>
  </w:num>
  <w:num w:numId="79">
    <w:abstractNumId w:val="962840"/>
  </w:num>
  <w:num w:numId="80">
    <w:abstractNumId w:val="962841"/>
  </w:num>
  <w:num w:numId="81">
    <w:abstractNumId w:val="962842"/>
  </w:num>
  <w:num w:numId="82">
    <w:abstractNumId w:val="962843"/>
  </w:num>
  <w:num w:numId="83">
    <w:abstractNumId w:val="962844"/>
  </w:num>
  <w:num w:numId="84">
    <w:abstractNumId w:val="962845"/>
  </w:num>
  <w:num w:numId="85">
    <w:abstractNumId w:val="962846"/>
  </w:num>
  <w:num w:numId="86">
    <w:abstractNumId w:val="962847"/>
  </w:num>
  <w:num w:numId="87">
    <w:abstractNumId w:val="962848"/>
  </w:num>
  <w:num w:numId="88">
    <w:abstractNumId w:val="962849"/>
  </w:num>
  <w:num w:numId="89">
    <w:abstractNumId w:val="962850"/>
  </w:num>
  <w:num w:numId="90">
    <w:abstractNumId w:val="962851"/>
  </w:num>
  <w:num w:numId="91">
    <w:abstractNumId w:val="962852"/>
  </w:num>
  <w:num w:numId="92">
    <w:abstractNumId w:val="962853"/>
  </w:num>
  <w:num w:numId="93">
    <w:abstractNumId w:val="962854"/>
  </w:num>
  <w:num w:numId="94">
    <w:abstractNumId w:val="962855"/>
  </w:num>
  <w:num w:numId="95">
    <w:abstractNumId w:val="962856"/>
  </w:num>
  <w:num w:numId="96">
    <w:abstractNumId w:val="962857"/>
  </w:num>
  <w:num w:numId="97">
    <w:abstractNumId w:val="962858"/>
  </w:num>
  <w:num w:numId="98">
    <w:abstractNumId w:val="962859"/>
  </w:num>
  <w:num w:numId="99">
    <w:abstractNumId w:val="962860"/>
  </w:num>
  <w:num w:numId="100">
    <w:abstractNumId w:val="962861"/>
  </w:num>
  <w:num w:numId="101">
    <w:abstractNumId w:val="962862"/>
  </w:num>
  <w:num w:numId="102">
    <w:abstractNumId w:val="962863"/>
  </w:num>
  <w:num w:numId="103">
    <w:abstractNumId w:val="962864"/>
  </w:num>
  <w:num w:numId="104">
    <w:abstractNumId w:val="962865"/>
  </w:num>
  <w:num w:numId="105">
    <w:abstractNumId w:val="962866"/>
  </w:num>
  <w:num w:numId="106">
    <w:abstractNumId w:val="962867"/>
  </w:num>
  <w:num w:numId="107">
    <w:abstractNumId w:val="962868"/>
  </w:num>
  <w:num w:numId="108">
    <w:abstractNumId w:val="962869"/>
  </w:num>
  <w:num w:numId="109">
    <w:abstractNumId w:val="962870"/>
  </w:num>
  <w:num w:numId="110">
    <w:abstractNumId w:val="962871"/>
  </w:num>
  <w:num w:numId="111">
    <w:abstractNumId w:val="962872"/>
  </w:num>
  <w:num w:numId="112">
    <w:abstractNumId w:val="962873"/>
  </w:num>
  <w:num w:numId="113">
    <w:abstractNumId w:val="962874"/>
  </w:num>
  <w:num w:numId="114">
    <w:abstractNumId w:val="9628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2026-04-29T03:47:57Z</dcterms:created>
  <dc:creator>Apache POI</dc:creator>
</cp:coreProperties>
</file>