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Stage-2 SHMS Transport Fine-Tuning — Experiment Report</w:t>
      </w:r>
    </w:p>
    <w:p>
      <w:pPr>
        <w:jc w:val="center"/>
      </w:pPr>
      <w:r>
        <w:t>2026-06-01  |  Run 25521  |  ResidualTransportMLP (5D→4D)</w:t>
      </w:r>
    </w:p>
    <w:p/>
    <w:p>
      <w:pPr>
        <w:pStyle w:val="Heading1"/>
      </w:pPr>
      <w:r>
        <w:t>1. Experiment Versions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Validation Strategy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Foil1 in Train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v0 (original)</w:t>
            </w:r>
          </w:p>
        </w:tc>
        <w:tc>
          <w:tcPr>
            <w:tcW w:type="dxa" w:w="1728"/>
          </w:tcPr>
          <w:p>
            <w:r>
              <w:t>HDBSCAN + nearest match</w:t>
              <w:br/>
              <w:t>(duplicate_holes=3)</w:t>
            </w:r>
          </w:p>
        </w:tc>
        <w:tc>
          <w:tcPr>
            <w:tcW w:type="dxa" w:w="1728"/>
          </w:tcPr>
          <w:p>
            <w:r>
              <w:t>leave_one_foil_out</w:t>
              <w:br/>
              <w:t>holdout foil1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</w:tr>
      <w:tr>
        <w:tc>
          <w:tcPr>
            <w:tcW w:type="dxa" w:w="1728"/>
          </w:tcPr>
          <w:p>
            <w:r>
              <w:t>v1 (centerout)</w:t>
            </w:r>
          </w:p>
        </w:tc>
        <w:tc>
          <w:tcPr>
            <w:tcW w:type="dxa" w:w="1728"/>
          </w:tcPr>
          <w:p>
            <w:r>
              <w:t>HDBSCAN + center-out</w:t>
              <w:br/>
              <w:t>penalized (λ=0.35)</w:t>
              <w:br/>
              <w:t>(duplicate_holes=2)</w:t>
            </w:r>
          </w:p>
        </w:tc>
        <w:tc>
          <w:tcPr>
            <w:tcW w:type="dxa" w:w="1728"/>
          </w:tcPr>
          <w:p>
            <w:r>
              <w:t>leave_one_foil_out</w:t>
              <w:br/>
              <w:t>holdout foil1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Labeling change only</w:t>
            </w:r>
          </w:p>
        </w:tc>
      </w:tr>
      <w:tr>
        <w:tc>
          <w:tcPr>
            <w:tcW w:type="dxa" w:w="1728"/>
          </w:tcPr>
          <w:p>
            <w:r>
              <w:t>v2 (holeval)</w:t>
            </w:r>
          </w:p>
        </w:tc>
        <w:tc>
          <w:tcPr>
            <w:tcW w:type="dxa" w:w="1728"/>
          </w:tcPr>
          <w:p>
            <w:r>
              <w:t>Same as v1</w:t>
            </w:r>
          </w:p>
        </w:tc>
        <w:tc>
          <w:tcPr>
            <w:tcW w:type="dxa" w:w="1728"/>
          </w:tcPr>
          <w:p>
            <w:r>
              <w:t>leave_some_holes_out</w:t>
              <w:br/>
              <w:t>n=5 random holes</w:t>
              <w:br/>
              <w:t>holes: [29,1003,1064,1067,2068]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Labeling + validation change</w:t>
            </w:r>
          </w:p>
        </w:tc>
      </w:tr>
    </w:tbl>
    <w:p/>
    <w:p>
      <w:pPr>
        <w:pStyle w:val="Heading1"/>
      </w:pPr>
      <w:r>
        <w:t>2. Quantitative Results</w:t>
      </w:r>
    </w:p>
    <w:p>
      <w:pPr>
        <w:pStyle w:val="Heading2"/>
      </w:pPr>
      <w:r>
        <w:t>2.1 ytar (vertex-z) — Core Metric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Slice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v0 RMSE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v1 RMSE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v2 RMSE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Δ(v2−v0)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Improv.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v2 σ68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Improv. σ68</w:t>
            </w:r>
          </w:p>
        </w:tc>
      </w:tr>
      <w:tr>
        <w:tc>
          <w:tcPr>
            <w:tcW w:type="dxa" w:w="1080"/>
          </w:tcPr>
          <w:p>
            <w:r>
              <w:t>All foils</w:t>
            </w:r>
          </w:p>
        </w:tc>
        <w:tc>
          <w:tcPr>
            <w:tcW w:type="dxa" w:w="1080"/>
          </w:tcPr>
          <w:p>
            <w:r>
              <w:t>2.324</w:t>
            </w:r>
          </w:p>
        </w:tc>
        <w:tc>
          <w:tcPr>
            <w:tcW w:type="dxa" w:w="1080"/>
          </w:tcPr>
          <w:p>
            <w:r>
              <w:t>2.222</w:t>
            </w:r>
          </w:p>
        </w:tc>
        <w:tc>
          <w:tcPr>
            <w:tcW w:type="dxa" w:w="1080"/>
          </w:tcPr>
          <w:p>
            <w:r>
              <w:t>1.392</w:t>
            </w:r>
          </w:p>
        </w:tc>
        <w:tc>
          <w:tcPr>
            <w:tcW w:type="dxa" w:w="1080"/>
          </w:tcPr>
          <w:p>
            <w:r>
              <w:t>-0.932</w:t>
            </w:r>
          </w:p>
        </w:tc>
        <w:tc>
          <w:tcPr>
            <w:tcW w:type="dxa" w:w="1080"/>
          </w:tcPr>
          <w:p>
            <w:r>
              <w:t>+40.1%</w:t>
            </w:r>
          </w:p>
        </w:tc>
        <w:tc>
          <w:tcPr>
            <w:tcW w:type="dxa" w:w="1080"/>
          </w:tcPr>
          <w:p>
            <w:r>
              <w:t>1.038</w:t>
            </w:r>
          </w:p>
        </w:tc>
        <w:tc>
          <w:tcPr>
            <w:tcW w:type="dxa" w:w="1080"/>
          </w:tcPr>
          <w:p>
            <w:r>
              <w:t>+45.7%</w:t>
            </w:r>
          </w:p>
        </w:tc>
      </w:tr>
      <w:tr>
        <w:tc>
          <w:tcPr>
            <w:tcW w:type="dxa" w:w="1080"/>
          </w:tcPr>
          <w:p>
            <w:r>
              <w:t>Foil 0</w:t>
            </w:r>
          </w:p>
        </w:tc>
        <w:tc>
          <w:tcPr>
            <w:tcW w:type="dxa" w:w="1080"/>
          </w:tcPr>
          <w:p>
            <w:r>
              <w:t>2.313</w:t>
            </w:r>
          </w:p>
        </w:tc>
        <w:tc>
          <w:tcPr>
            <w:tcW w:type="dxa" w:w="1080"/>
          </w:tcPr>
          <w:p>
            <w:r>
              <w:t>2.030</w:t>
            </w:r>
          </w:p>
        </w:tc>
        <w:tc>
          <w:tcPr>
            <w:tcW w:type="dxa" w:w="1080"/>
          </w:tcPr>
          <w:p>
            <w:r>
              <w:t>0.950</w:t>
            </w:r>
          </w:p>
        </w:tc>
        <w:tc>
          <w:tcPr>
            <w:tcW w:type="dxa" w:w="1080"/>
          </w:tcPr>
          <w:p>
            <w:r>
              <w:t>-1.363</w:t>
            </w:r>
          </w:p>
        </w:tc>
        <w:tc>
          <w:tcPr>
            <w:tcW w:type="dxa" w:w="1080"/>
          </w:tcPr>
          <w:p>
            <w:r>
              <w:t>+58.9%</w:t>
            </w:r>
          </w:p>
        </w:tc>
        <w:tc>
          <w:tcPr>
            <w:tcW w:type="dxa" w:w="1080"/>
          </w:tcPr>
          <w:p>
            <w:r>
              <w:t>0.799</w:t>
            </w:r>
          </w:p>
        </w:tc>
        <w:tc>
          <w:tcPr>
            <w:tcW w:type="dxa" w:w="1080"/>
          </w:tcPr>
          <w:p>
            <w:r>
              <w:t>+57.4%</w:t>
            </w:r>
          </w:p>
        </w:tc>
      </w:tr>
      <w:tr>
        <w:tc>
          <w:tcPr>
            <w:tcW w:type="dxa" w:w="1080"/>
          </w:tcPr>
          <w:p>
            <w:r>
              <w:t>Foil 1</w:t>
            </w:r>
          </w:p>
        </w:tc>
        <w:tc>
          <w:tcPr>
            <w:tcW w:type="dxa" w:w="1080"/>
          </w:tcPr>
          <w:p>
            <w:r>
              <w:t>2.535</w:t>
            </w:r>
          </w:p>
        </w:tc>
        <w:tc>
          <w:tcPr>
            <w:tcW w:type="dxa" w:w="1080"/>
          </w:tcPr>
          <w:p>
            <w:r>
              <w:t>2.400</w:t>
            </w:r>
          </w:p>
        </w:tc>
        <w:tc>
          <w:tcPr>
            <w:tcW w:type="dxa" w:w="1080"/>
          </w:tcPr>
          <w:p>
            <w:r>
              <w:t>1.859</w:t>
            </w:r>
          </w:p>
        </w:tc>
        <w:tc>
          <w:tcPr>
            <w:tcW w:type="dxa" w:w="1080"/>
          </w:tcPr>
          <w:p>
            <w:r>
              <w:t>-0.676</w:t>
            </w:r>
          </w:p>
        </w:tc>
        <w:tc>
          <w:tcPr>
            <w:tcW w:type="dxa" w:w="1080"/>
          </w:tcPr>
          <w:p>
            <w:r>
              <w:t>+26.7%</w:t>
            </w:r>
          </w:p>
        </w:tc>
        <w:tc>
          <w:tcPr>
            <w:tcW w:type="dxa" w:w="1080"/>
          </w:tcPr>
          <w:p>
            <w:r>
              <w:t>1.734</w:t>
            </w:r>
          </w:p>
        </w:tc>
        <w:tc>
          <w:tcPr>
            <w:tcW w:type="dxa" w:w="1080"/>
          </w:tcPr>
          <w:p>
            <w:r>
              <w:t>+13.2%</w:t>
            </w:r>
          </w:p>
        </w:tc>
      </w:tr>
      <w:tr>
        <w:tc>
          <w:tcPr>
            <w:tcW w:type="dxa" w:w="1080"/>
          </w:tcPr>
          <w:p>
            <w:r>
              <w:t>Foil 2</w:t>
            </w:r>
          </w:p>
        </w:tc>
        <w:tc>
          <w:tcPr>
            <w:tcW w:type="dxa" w:w="1080"/>
          </w:tcPr>
          <w:p>
            <w:r>
              <w:t>2.125</w:t>
            </w:r>
          </w:p>
        </w:tc>
        <w:tc>
          <w:tcPr>
            <w:tcW w:type="dxa" w:w="1080"/>
          </w:tcPr>
          <w:p>
            <w:r>
              <w:t>2.176</w:t>
            </w:r>
          </w:p>
        </w:tc>
        <w:tc>
          <w:tcPr>
            <w:tcW w:type="dxa" w:w="1080"/>
          </w:tcPr>
          <w:p>
            <w:r>
              <w:t>1.123</w:t>
            </w:r>
          </w:p>
        </w:tc>
        <w:tc>
          <w:tcPr>
            <w:tcW w:type="dxa" w:w="1080"/>
          </w:tcPr>
          <w:p>
            <w:r>
              <w:t>-1.003</w:t>
            </w:r>
          </w:p>
        </w:tc>
        <w:tc>
          <w:tcPr>
            <w:tcW w:type="dxa" w:w="1080"/>
          </w:tcPr>
          <w:p>
            <w:r>
              <w:t>+47.2%</w:t>
            </w:r>
          </w:p>
        </w:tc>
        <w:tc>
          <w:tcPr>
            <w:tcW w:type="dxa" w:w="1080"/>
          </w:tcPr>
          <w:p>
            <w:r>
              <w:t>0.841</w:t>
            </w:r>
          </w:p>
        </w:tc>
        <w:tc>
          <w:tcPr>
            <w:tcW w:type="dxa" w:w="1080"/>
          </w:tcPr>
          <w:p>
            <w:r>
              <w:t>+48.2%</w:t>
            </w:r>
          </w:p>
        </w:tc>
      </w:tr>
    </w:tbl>
    <w:p/>
    <w:p>
      <w:r>
        <w:t>NN vs ROOT comparison (overall): v0 = −26.8% (worse), v1 = −21.2% (worse), v2 = +24.0% (better). v2 is the first version where NN surpasses the ROOT/HCANA baseline in ytar.</w:t>
      </w:r>
    </w:p>
    <w:p/>
    <w:p>
      <w:pPr>
        <w:pStyle w:val="Heading2"/>
      </w:pPr>
      <w:r>
        <w:t>2.2 Sieve Pattern — Spatial Reconstruction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Foil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v0 Rad.RMSE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v1 Rad.RMSE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v2 Rad.RMSE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Δ(v2−v0)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Improv.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v2 σ68</w:t>
            </w:r>
          </w:p>
        </w:tc>
      </w:tr>
      <w:tr>
        <w:tc>
          <w:tcPr>
            <w:tcW w:type="dxa" w:w="1234"/>
          </w:tcPr>
          <w:p>
            <w:r>
              <w:t>Foil 0</w:t>
            </w:r>
          </w:p>
        </w:tc>
        <w:tc>
          <w:tcPr>
            <w:tcW w:type="dxa" w:w="1234"/>
          </w:tcPr>
          <w:p>
            <w:r>
              <w:t>0.738</w:t>
            </w:r>
          </w:p>
        </w:tc>
        <w:tc>
          <w:tcPr>
            <w:tcW w:type="dxa" w:w="1234"/>
          </w:tcPr>
          <w:p>
            <w:r>
              <w:t>0.623</w:t>
            </w:r>
          </w:p>
        </w:tc>
        <w:tc>
          <w:tcPr>
            <w:tcW w:type="dxa" w:w="1234"/>
          </w:tcPr>
          <w:p>
            <w:r>
              <w:t>0.390</w:t>
            </w:r>
          </w:p>
        </w:tc>
        <w:tc>
          <w:tcPr>
            <w:tcW w:type="dxa" w:w="1234"/>
          </w:tcPr>
          <w:p>
            <w:r>
              <w:t>-0.349</w:t>
            </w:r>
          </w:p>
        </w:tc>
        <w:tc>
          <w:tcPr>
            <w:tcW w:type="dxa" w:w="1234"/>
          </w:tcPr>
          <w:p>
            <w:r>
              <w:t>+47.2%</w:t>
            </w:r>
          </w:p>
        </w:tc>
        <w:tc>
          <w:tcPr>
            <w:tcW w:type="dxa" w:w="1234"/>
          </w:tcPr>
          <w:p>
            <w:r>
              <w:t>0.178</w:t>
            </w:r>
          </w:p>
        </w:tc>
      </w:tr>
      <w:tr>
        <w:tc>
          <w:tcPr>
            <w:tcW w:type="dxa" w:w="1234"/>
          </w:tcPr>
          <w:p>
            <w:r>
              <w:t>Foil 1</w:t>
            </w:r>
          </w:p>
        </w:tc>
        <w:tc>
          <w:tcPr>
            <w:tcW w:type="dxa" w:w="1234"/>
          </w:tcPr>
          <w:p>
            <w:r>
              <w:t>0.776</w:t>
            </w:r>
          </w:p>
        </w:tc>
        <w:tc>
          <w:tcPr>
            <w:tcW w:type="dxa" w:w="1234"/>
          </w:tcPr>
          <w:p>
            <w:r>
              <w:t>0.738</w:t>
            </w:r>
          </w:p>
        </w:tc>
        <w:tc>
          <w:tcPr>
            <w:tcW w:type="dxa" w:w="1234"/>
          </w:tcPr>
          <w:p>
            <w:r>
              <w:t>0.451</w:t>
            </w:r>
          </w:p>
        </w:tc>
        <w:tc>
          <w:tcPr>
            <w:tcW w:type="dxa" w:w="1234"/>
          </w:tcPr>
          <w:p>
            <w:r>
              <w:t>-0.325</w:t>
            </w:r>
          </w:p>
        </w:tc>
        <w:tc>
          <w:tcPr>
            <w:tcW w:type="dxa" w:w="1234"/>
          </w:tcPr>
          <w:p>
            <w:r>
              <w:t>+41.9%</w:t>
            </w:r>
          </w:p>
        </w:tc>
        <w:tc>
          <w:tcPr>
            <w:tcW w:type="dxa" w:w="1234"/>
          </w:tcPr>
          <w:p>
            <w:r>
              <w:t>0.212</w:t>
            </w:r>
          </w:p>
        </w:tc>
      </w:tr>
      <w:tr>
        <w:tc>
          <w:tcPr>
            <w:tcW w:type="dxa" w:w="1234"/>
          </w:tcPr>
          <w:p>
            <w:r>
              <w:t>Foil 2</w:t>
            </w:r>
          </w:p>
        </w:tc>
        <w:tc>
          <w:tcPr>
            <w:tcW w:type="dxa" w:w="1234"/>
          </w:tcPr>
          <w:p>
            <w:r>
              <w:t>0.807</w:t>
            </w:r>
          </w:p>
        </w:tc>
        <w:tc>
          <w:tcPr>
            <w:tcW w:type="dxa" w:w="1234"/>
          </w:tcPr>
          <w:p>
            <w:r>
              <w:t>0.718</w:t>
            </w:r>
          </w:p>
        </w:tc>
        <w:tc>
          <w:tcPr>
            <w:tcW w:type="dxa" w:w="1234"/>
          </w:tcPr>
          <w:p>
            <w:r>
              <w:t>0.496</w:t>
            </w:r>
          </w:p>
        </w:tc>
        <w:tc>
          <w:tcPr>
            <w:tcW w:type="dxa" w:w="1234"/>
          </w:tcPr>
          <w:p>
            <w:r>
              <w:t>-0.311</w:t>
            </w:r>
          </w:p>
        </w:tc>
        <w:tc>
          <w:tcPr>
            <w:tcW w:type="dxa" w:w="1234"/>
          </w:tcPr>
          <w:p>
            <w:r>
              <w:t>+38.6%</w:t>
            </w:r>
          </w:p>
        </w:tc>
        <w:tc>
          <w:tcPr>
            <w:tcW w:type="dxa" w:w="1234"/>
          </w:tcPr>
          <w:p>
            <w:r>
              <w:t>0.232</w:t>
            </w:r>
          </w:p>
        </w:tc>
      </w:tr>
    </w:tbl>
    <w:p/>
    <w:p>
      <w:pPr>
        <w:pStyle w:val="Heading1"/>
      </w:pPr>
      <w:r>
        <w:t>3. Attribution Analysis</w:t>
      </w:r>
    </w:p>
    <w:p>
      <w:pPr>
        <w:pStyle w:val="Heading2"/>
      </w:pPr>
      <w:r>
        <w:t>3.1 Change 1 — Labeling (center-out penalized matching)</w:t>
      </w:r>
    </w:p>
    <w:p>
      <w:r>
        <w:t>Replaced independent nearest-neighbor cluster→hole matching with a center-out, occupancy-penalized assignment (λ = 0.35 cm). Clusters nearer to the geometric center are matched first; subsequent clusters pay an effective cost penalty for reusing an already-occupied hole.</w:t>
      </w:r>
    </w:p>
    <w:p>
      <w:r>
        <w:t>Effect (v0 → v1, all else equal):</w:t>
        <w:br/>
        <w:t>• duplicate_mechanical_holes: 3 → 2</w:t>
        <w:br/>
        <w:t>• Two foil2 edge clusters reassigned: #72 (−1,−4)→(−1,−5), #74 (−3,−3)→(−3,−4)</w:t>
        <w:br/>
        <w:t>• Sieve radial RMSE improved on all three foils (~5–16%)</w:t>
        <w:br/>
        <w:t>• ytar modestly improved on foil0/foil1, slightly degraded on foil2 (−1.6% RMSE)</w:t>
        <w:br/>
        <w:t>• Net effect: modest but robust; purely geometric improvement</w:t>
      </w:r>
    </w:p>
    <w:p>
      <w:pPr>
        <w:pStyle w:val="Heading2"/>
      </w:pPr>
      <w:r>
        <w:t>3.2 Change 2 — Foil1 in Training + Hole-Level Validation</w:t>
      </w:r>
    </w:p>
    <w:p>
      <w:r>
        <w:t>Replaced leave_one_foil_out (foil1 held out entirely) with leave_some_holes_out (5 random holes held out, all three foils participate in training). Foil1 went from 0% to 100% training coverage; overall data utilization rose from 65% to 97.7%.</w:t>
      </w:r>
    </w:p>
    <w:p>
      <w:r>
        <w:t>Effect (v1 → v2, same labeling):</w:t>
        <w:br/>
        <w:t>• ytar RMSE: −53% (foil0), −22% (foil1), −48% (foil2), −37% (overall)</w:t>
        <w:br/>
        <w:t>• Sieve radial RMSE: −30–39% across all foils</w:t>
        <w:br/>
        <w:t>• First version where NN ytar surpasses ROOT baseline (+24%)</w:t>
        <w:br/>
        <w:t>• Training stable through all three loss-schedule phases (best at epoch 56)</w:t>
      </w:r>
    </w:p>
    <w:p>
      <w:pPr>
        <w:pStyle w:val="Heading2"/>
      </w:pPr>
      <w:r>
        <w:t>3.3 Contribution Decomposition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Improvement 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ytar Contribution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Sieve Contribution</w:t>
            </w:r>
          </w:p>
        </w:tc>
      </w:tr>
      <w:tr>
        <w:tc>
          <w:tcPr>
            <w:tcW w:type="dxa" w:w="2880"/>
          </w:tcPr>
          <w:p>
            <w:r>
              <w:t>Labeling (center-out penalty)</w:t>
            </w:r>
          </w:p>
        </w:tc>
        <w:tc>
          <w:tcPr>
            <w:tcW w:type="dxa" w:w="2880"/>
          </w:tcPr>
          <w:p>
            <w:r>
              <w:t>~5–10%</w:t>
            </w:r>
          </w:p>
        </w:tc>
        <w:tc>
          <w:tcPr>
            <w:tcW w:type="dxa" w:w="2880"/>
          </w:tcPr>
          <w:p>
            <w:r>
              <w:t>~10–15%</w:t>
            </w:r>
          </w:p>
        </w:tc>
      </w:tr>
      <w:tr>
        <w:tc>
          <w:tcPr>
            <w:tcW w:type="dxa" w:w="2880"/>
          </w:tcPr>
          <w:p>
            <w:r>
              <w:t>Foil1 back in training + hole-val</w:t>
            </w:r>
          </w:p>
        </w:tc>
        <w:tc>
          <w:tcPr>
            <w:tcW w:type="dxa" w:w="2880"/>
          </w:tcPr>
          <w:p>
            <w:r>
              <w:t>~30–50%</w:t>
            </w:r>
          </w:p>
        </w:tc>
        <w:tc>
          <w:tcPr>
            <w:tcW w:type="dxa" w:w="2880"/>
          </w:tcPr>
          <w:p>
            <w:r>
              <w:t>~25–35%</w:t>
            </w:r>
          </w:p>
        </w:tc>
      </w:tr>
    </w:tbl>
    <w:p/>
    <w:p>
      <w:pPr>
        <w:pStyle w:val="Heading1"/>
      </w:pPr>
      <w:r>
        <w:t>4. Why Putting Foil1 Back in Training Was Decisive</w:t>
      </w:r>
    </w:p>
    <w:p>
      <w:r>
        <w:t>1. The SHMS transport map from target to focal plane is spatially continuous. Foil1 sits at the geometric center (z = 0 cm), between foil0 (+10 cm) and foil2 (−10 cm). Without foil1, the model must extrapolate the central region from the two extremes — a fundamentally harder problem than interpolation.</w:t>
      </w:r>
    </w:p>
    <w:p>
      <w:r>
        <w:t>2. Foil1 contains the largest event sample: 36,912 events (35% of total). Under the original leave-one-foil-out strategy, this entire population was excluded from training.</w:t>
      </w:r>
    </w:p>
    <w:p>
      <w:r>
        <w:t>3. Hole-level validation with 5 holdout holes (2.3% of data) provides a more representative and stable generalization signal than excluding an entire foil. The model can leverage 215 unique hole positions for learning the transport map.</w:t>
      </w:r>
    </w:p>
    <w:p>
      <w:pPr>
        <w:pStyle w:val="Heading1"/>
      </w:pPr>
      <w:r>
        <w:t>5. Training Dynamics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Epoch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Epochs</w:t>
            </w:r>
          </w:p>
        </w:tc>
      </w:tr>
      <w:tr>
        <w:tc>
          <w:tcPr>
            <w:tcW w:type="dxa" w:w="2880"/>
          </w:tcPr>
          <w:p>
            <w:r>
              <w:t>v0 (original)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27 (early stop)</w:t>
            </w:r>
          </w:p>
        </w:tc>
      </w:tr>
      <w:tr>
        <w:tc>
          <w:tcPr>
            <w:tcW w:type="dxa" w:w="2880"/>
          </w:tcPr>
          <w:p>
            <w:r>
              <w:t>v1 (centerout)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30 (early stop)</w:t>
            </w:r>
          </w:p>
        </w:tc>
      </w:tr>
      <w:tr>
        <w:tc>
          <w:tcPr>
            <w:tcW w:type="dxa" w:w="2880"/>
          </w:tcPr>
          <w:p>
            <w:r>
              <w:t>v2 (holeval)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76 (early stop)</w:t>
            </w:r>
          </w:p>
        </w:tc>
      </w:tr>
    </w:tbl>
    <w:p/>
    <w:p>
      <w:r>
        <w:t>v2 progressed through all three loss-schedule phases (warmup → geometry_bridge → full_model_refine), indicating richer gradient signal and sustained learning. v0/v1 peaked during head_only warmup and never benefited from later phases.</w:t>
      </w:r>
    </w:p>
    <w:p>
      <w:pPr>
        <w:pStyle w:val="Heading1"/>
      </w:pPr>
      <w:r>
        <w:t>6. Summary &amp; Recommendations</w:t>
      </w:r>
    </w:p>
    <w:p>
      <w:pPr>
        <w:pStyle w:val="Heading2"/>
      </w:pPr>
      <w:r>
        <w:t>Key Findings</w:t>
      </w:r>
    </w:p>
    <w:p>
      <w:r>
        <w:t>• The dominant factor (&gt;75% of total improvement) was putting foil1 back in training and switching to hole-level validation.</w:t>
        <w:br/>
        <w:t>• The center-out penalized labeling provides a modest but robust auxiliary gain, primarily in sieve-plane geometric consistency.</w:t>
        <w:br/>
        <w:t>• NN ytar surpassed ROOT baseline for the first time (+24% overall RMSE improvement).</w:t>
        <w:br/>
        <w:t>• Sieve radial RMSE improved ~42% across all three foils.</w:t>
      </w:r>
    </w:p>
    <w:p>
      <w:pPr>
        <w:pStyle w:val="Heading2"/>
      </w:pPr>
      <w:r>
        <w:t>Recommended Mainline Configuration</w:t>
      </w:r>
    </w:p>
    <w:p>
      <w:r>
        <w:t>• Labeling: center_out_penalized, occupancy_penalty = 0.35 cm</w:t>
        <w:br/>
        <w:t>• Validation: leave_some_holes_out, n_holdout_holes = 5</w:t>
        <w:br/>
        <w:t>• Selection: overall ytar_center_rmse, mode = min</w:t>
        <w:br/>
        <w:t>• Data: stage2_25521_labeled_mech25x16p4_tol3_hdbscan_centerout_pen035.csv</w:t>
      </w:r>
    </w:p>
    <w:p>
      <w:pPr>
        <w:pStyle w:val="Heading2"/>
      </w:pPr>
      <w:r>
        <w:t>Remaining Issues</w:t>
      </w:r>
    </w:p>
    <w:p>
      <w:r>
        <w:t>• Foil1 ytar improvement (27%) is smaller than foil0 (59%) and foil2 (47%); the foil1 ytar bias (−0.85 cm) may benefit from adjusted target weighting.</w:t>
        <w:br/>
        <w:t>• One duplicate mechanical-hole assignment persists on foil1 (hole (−3,−4) shared by two clusters).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