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>
        <w:t>User Acceptance Testing (UAT) — Implement Client Script &amp; UI Policy (Incident)</w:t>
      </w:r>
    </w:p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>
        <w:t>Project Overview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>
        <w:t>Testing Scope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>
        <w:t>Testing Environment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>
        <w:t>Test Cases</w:t>
      </w:r>
    </w:p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>
        <w:t>Bug Tracking</w:t>
      </w:r>
    </w:p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>
        <w:t>UAT Sign-off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>
        <w:t>Testing Notes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p>
      <w:pPr>
        <w:jc w:val="center"/>
      </w:pPr>
      <w:r>
        <w:rPr>
          <w:b/>
          <w:sz w:val="30"/>
        </w:rPr>
        <w:t>IMPLEMENT CLIENT SCRIPT &amp; UI POLICY (INCIDENT)</w:t>
      </w:r>
    </w:p>
    <w:p>
      <w:r>
        <w:rPr>
          <w:b/>
        </w:rPr>
        <w:t>Project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Implement Client Script &amp; UI Policy (Incident)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18"/>
              </w:rPr>
              <w:t>Project Description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A ServiceNow Incident configuration project that uses UI Policies, UI Policy Actions, and Client Scripts to control field behavior, automate updates, validate Incident submissions, and restrict inappropriate list editing.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18"/>
              </w:rPr>
              <w:t>Project Version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18"/>
              </w:rPr>
              <w:t>Testing Period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TBD — To be completed by the project team</w:t>
            </w:r>
          </w:p>
        </w:tc>
      </w:tr>
    </w:tbl>
    <w:p>
      <w:r>
        <w:rPr>
          <w:b/>
        </w:rPr>
        <w:t>Testing Scope</w:t>
      </w:r>
    </w:p>
    <w:p>
      <w:pPr>
        <w:ind w:left="288"/>
      </w:pPr>
      <w:r>
        <w:t>• UI Policy for the High Impact Incident condition.</w:t>
      </w:r>
    </w:p>
    <w:p>
      <w:pPr>
        <w:ind w:left="288"/>
      </w:pPr>
      <w:r>
        <w:t>• UI Policy Action controlling Urgency and conditional field behavior.</w:t>
      </w:r>
    </w:p>
    <w:p>
      <w:pPr>
        <w:ind w:left="288"/>
      </w:pPr>
      <w:r>
        <w:t>• onChange Client Script for Impact-driven field updates.</w:t>
      </w:r>
    </w:p>
    <w:p>
      <w:pPr>
        <w:ind w:left="288"/>
      </w:pPr>
      <w:r>
        <w:t>• onSubmit Client Script for save-time validation.</w:t>
      </w:r>
    </w:p>
    <w:p>
      <w:pPr>
        <w:ind w:left="288"/>
      </w:pPr>
      <w:r>
        <w:t>• onCellEdit Client Script for restricting direct State changes.</w:t>
      </w:r>
    </w:p>
    <w:p>
      <w:pPr>
        <w:ind w:left="288"/>
      </w:pPr>
      <w:r>
        <w:t>• Reverse-if-False behavior when the triggering condition is removed.</w:t>
      </w:r>
    </w:p>
    <w:p>
      <w:pPr>
        <w:ind w:left="288"/>
      </w:pPr>
      <w:r>
        <w:t>• Positive and negative Incident submission scenarios.</w:t>
      </w:r>
    </w:p>
    <w:p>
      <w:pPr>
        <w:ind w:left="288"/>
      </w:pPr>
      <w:r>
        <w:t>• End-to-end UAT of the configured Incident workflow.</w:t>
      </w:r>
    </w:p>
    <w:p>
      <w:r>
        <w:rPr>
          <w:b/>
        </w:rPr>
        <w:t>Testing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ServiceNow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18"/>
              </w:rPr>
              <w:t>Application Area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Incident Management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18"/>
              </w:rPr>
              <w:t>Location / Instance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ServiceNow project instance — TBD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sz w:val="18"/>
              </w:rPr>
              <w:t>Credentials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Authorized project/test account — not included in document</w:t>
            </w:r>
          </w:p>
        </w:tc>
      </w:tr>
    </w:tbl>
    <w:p>
      <w:r>
        <w:rPr>
          <w:b/>
        </w:rPr>
        <w:t>UAT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b/>
                <w:sz w:val="16"/>
              </w:rPr>
              <w:t>Test Case ID</w:t>
            </w:r>
          </w:p>
        </w:tc>
        <w:tc>
          <w:tcPr>
            <w:tcW w:type="dxa" w:w="1504"/>
          </w:tcPr>
          <w:p>
            <w:r>
              <w:rPr>
                <w:b/>
                <w:sz w:val="16"/>
              </w:rPr>
              <w:t>Test Scenario</w:t>
            </w:r>
          </w:p>
        </w:tc>
        <w:tc>
          <w:tcPr>
            <w:tcW w:type="dxa" w:w="1504"/>
          </w:tcPr>
          <w:p>
            <w:r>
              <w:rPr>
                <w:b/>
                <w:sz w:val="16"/>
              </w:rPr>
              <w:t>Test Steps</w:t>
            </w:r>
          </w:p>
        </w:tc>
        <w:tc>
          <w:tcPr>
            <w:tcW w:type="dxa" w:w="1504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504"/>
          </w:tcPr>
          <w:p>
            <w:r>
              <w:rPr>
                <w:b/>
                <w:sz w:val="16"/>
              </w:rPr>
              <w:t>Actual Result</w:t>
            </w:r>
          </w:p>
        </w:tc>
        <w:tc>
          <w:tcPr>
            <w:tcW w:type="dxa" w:w="1504"/>
          </w:tcPr>
          <w:p>
            <w:r>
              <w:rPr>
                <w:b/>
                <w:sz w:val="16"/>
              </w:rPr>
              <w:t>Pass/Fail</w:t>
            </w:r>
          </w:p>
        </w:tc>
      </w:tr>
      <w:tr>
        <w:tc>
          <w:tcPr>
            <w:tcW w:type="dxa" w:w="1504"/>
            <w:vAlign w:val="center"/>
          </w:tcPr>
          <w:p>
            <w:r>
              <w:rPr>
                <w:sz w:val="15"/>
              </w:rPr>
              <w:t>TC-001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High Impact UI Policy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Open an Incident and set Impact to High.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The High Impact UI Policy activates and applies the configured field behavior.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504"/>
            <w:vAlign w:val="center"/>
          </w:tcPr>
          <w:p>
            <w:r>
              <w:rPr>
                <w:sz w:val="15"/>
              </w:rPr>
              <w:t>TC-002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Urgency UI Policy Action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Set Impact to High and observe Urgency.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Urgency follows the configured UI Policy Action.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504"/>
            <w:vAlign w:val="center"/>
          </w:tcPr>
          <w:p>
            <w:r>
              <w:rPr>
                <w:sz w:val="15"/>
              </w:rPr>
              <w:t>TC-003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onChange Client Script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Change Impact and observe the dependent field.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The onChange script executes and performs the configured automatic update.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504"/>
            <w:vAlign w:val="center"/>
          </w:tcPr>
          <w:p>
            <w:r>
              <w:rPr>
                <w:sz w:val="15"/>
              </w:rPr>
              <w:t>TC-004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onSubmit Validation — Negative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Trigger the required condition, leave required assignment information incomplete, and click Save.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The Incident is not saved and a clear validation message is displayed.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504"/>
            <w:vAlign w:val="center"/>
          </w:tcPr>
          <w:p>
            <w:r>
              <w:rPr>
                <w:sz w:val="15"/>
              </w:rPr>
              <w:t>TC-005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onSubmit Validation — Positive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Provide all required information and click Save.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The Incident saves successfully.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504"/>
            <w:vAlign w:val="center"/>
          </w:tcPr>
          <w:p>
            <w:r>
              <w:rPr>
                <w:sz w:val="15"/>
              </w:rPr>
              <w:t>TC-006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onCellEdit State Restriction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From the Incident list, attempt to edit State directly.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The configured onCellEdit restriction prevents the direct State change.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504"/>
            <w:vAlign w:val="center"/>
          </w:tcPr>
          <w:p>
            <w:r>
              <w:rPr>
                <w:sz w:val="15"/>
              </w:rPr>
              <w:t>TC-007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Reverse-if-False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Change Impact from High to a non-triggering value.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Conditional field behavior returns to the normal configured state.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1504"/>
            <w:vAlign w:val="center"/>
          </w:tcPr>
          <w:p>
            <w:r>
              <w:rPr>
                <w:sz w:val="15"/>
              </w:rPr>
              <w:t>TC-008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End-to-End UAT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Execute the complete Incident workflow from field entry through save.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UI Policy and all Client Scripts work together as expected without conflicting behavior.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1504"/>
            <w:vAlign w:val="center"/>
          </w:tcPr>
          <w:p>
            <w:r>
              <w:rPr>
                <w:sz w:val="15"/>
              </w:rPr>
              <w:t>Pending</w:t>
            </w:r>
          </w:p>
        </w:tc>
      </w:tr>
    </w:tbl>
    <w:p>
      <w:r>
        <w:rPr>
          <w:b/>
        </w:rPr>
        <w:t>Bug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b/>
                <w:sz w:val="16"/>
              </w:rPr>
              <w:t>Bug ID</w:t>
            </w:r>
          </w:p>
        </w:tc>
        <w:tc>
          <w:tcPr>
            <w:tcW w:type="dxa" w:w="1504"/>
          </w:tcPr>
          <w:p>
            <w:r>
              <w:rPr>
                <w:b/>
                <w:sz w:val="16"/>
              </w:rPr>
              <w:t>Bug Description</w:t>
            </w:r>
          </w:p>
        </w:tc>
        <w:tc>
          <w:tcPr>
            <w:tcW w:type="dxa" w:w="1504"/>
          </w:tcPr>
          <w:p>
            <w:r>
              <w:rPr>
                <w:b/>
                <w:sz w:val="16"/>
              </w:rPr>
              <w:t>Steps to Reproduce</w:t>
            </w:r>
          </w:p>
        </w:tc>
        <w:tc>
          <w:tcPr>
            <w:tcW w:type="dxa" w:w="1504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504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504"/>
          </w:tcPr>
          <w:p>
            <w:r>
              <w:rPr>
                <w:b/>
                <w:sz w:val="16"/>
              </w:rPr>
              <w:t>Additional Feedback</w:t>
            </w:r>
          </w:p>
        </w:tc>
      </w:tr>
      <w:tr>
        <w:tc>
          <w:tcPr>
            <w:tcW w:type="dxa" w:w="1504"/>
          </w:tcPr>
          <w:p>
            <w:r>
              <w:rPr>
                <w:sz w:val="16"/>
              </w:rPr>
              <w:t>BG-001</w:t>
            </w:r>
          </w:p>
        </w:tc>
        <w:tc>
          <w:tcPr>
            <w:tcW w:type="dxa" w:w="1504"/>
          </w:tcPr>
          <w:p>
            <w:r>
              <w:rPr>
                <w:sz w:val="16"/>
              </w:rPr>
              <w:t>To be recorded during UAT</w:t>
            </w:r>
          </w:p>
        </w:tc>
        <w:tc>
          <w:tcPr>
            <w:tcW w:type="dxa" w:w="1504"/>
          </w:tcPr>
          <w:p>
            <w:r>
              <w:rPr>
                <w:sz w:val="16"/>
              </w:rPr>
              <w:t>TBD</w:t>
            </w:r>
          </w:p>
        </w:tc>
        <w:tc>
          <w:tcPr>
            <w:tcW w:type="dxa" w:w="1504"/>
          </w:tcPr>
          <w:p>
            <w:r>
              <w:rPr>
                <w:sz w:val="16"/>
              </w:rPr>
              <w:t>Low / Medium / High</w:t>
            </w:r>
          </w:p>
        </w:tc>
        <w:tc>
          <w:tcPr>
            <w:tcW w:type="dxa" w:w="1504"/>
          </w:tcPr>
          <w:p>
            <w:r>
              <w:rPr>
                <w:sz w:val="16"/>
              </w:rPr>
              <w:t>Open / In Progress / Closed</w:t>
            </w:r>
          </w:p>
        </w:tc>
        <w:tc>
          <w:tcPr>
            <w:tcW w:type="dxa" w:w="1504"/>
          </w:tcPr>
          <w:p>
            <w:r>
              <w:rPr>
                <w:sz w:val="16"/>
              </w:rPr>
              <w:t>Tester feedback</w:t>
            </w:r>
          </w:p>
        </w:tc>
      </w:tr>
    </w:tbl>
    <w:p>
      <w:r>
        <w:rPr>
          <w:b/>
        </w:rPr>
        <w:t>UAT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4513"/>
          </w:tcPr>
          <w:p>
            <w:r>
              <w:t>TBD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Date of Test Completion</w:t>
            </w:r>
          </w:p>
        </w:tc>
        <w:tc>
          <w:tcPr>
            <w:tcW w:type="dxa" w:w="4513"/>
          </w:tcPr>
          <w:p>
            <w:r>
              <w:t>TBD</w:t>
            </w:r>
          </w:p>
        </w:tc>
      </w:tr>
      <w:tr>
        <w:tc>
          <w:tcPr>
            <w:tcW w:type="dxa" w:w="4513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4513"/>
          </w:tcPr>
          <w:p>
            <w:r>
              <w:t>TBD</w:t>
            </w:r>
          </w:p>
        </w:tc>
      </w:tr>
    </w:tbl>
    <w:p>
      <w:r>
        <w:rPr>
          <w:b/>
        </w:rPr>
        <w:t>Testing Notes</w:t>
      </w:r>
    </w:p>
    <w:p>
      <w:r>
        <w:t>• All UAT scenarios should cover both positive and negative behavior where applicable.</w:t>
      </w:r>
    </w:p>
    <w:p>
      <w:r>
        <w:t>• Record the actual result and Pass/Fail status after executing each test case.</w:t>
      </w:r>
    </w:p>
    <w:p>
      <w:r>
        <w:t>• Any defect should include reproducible steps, severity, status, and tester feedback.</w:t>
      </w:r>
    </w:p>
    <w:p>
      <w:r>
        <w:t>• Final UAT approval should be obtained before treating the configuration as ready for deployment.</w:t>
      </w:r>
    </w:p>
    <w:sectPr w:rsidR="00C415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