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CA886" w14:textId="05A13C85" w:rsidR="00B23DA3" w:rsidRPr="00D31ED8" w:rsidRDefault="00D31ED8" w:rsidP="00762834">
      <w:pPr>
        <w:rPr>
          <w:b/>
          <w:sz w:val="32"/>
          <w:szCs w:val="32"/>
        </w:rPr>
      </w:pPr>
      <w:bookmarkStart w:id="0" w:name="_Toc243663620"/>
      <w:r w:rsidRPr="00D31ED8">
        <w:rPr>
          <w:b/>
          <w:sz w:val="32"/>
          <w:szCs w:val="32"/>
        </w:rPr>
        <w:t>Abstract</w:t>
      </w:r>
    </w:p>
    <w:p w14:paraId="27E0111C" w14:textId="05D87C22" w:rsidR="00717D6A" w:rsidRDefault="00762834" w:rsidP="00762834">
      <w:r>
        <w:t xml:space="preserve">Market Makers provide values to the overall economic system by providing liquidities to the market. They facilitate trading activities and </w:t>
      </w:r>
      <w:r w:rsidR="00D805AE">
        <w:t xml:space="preserve">the </w:t>
      </w:r>
      <w:r>
        <w:t>transfer</w:t>
      </w:r>
      <w:r w:rsidR="00D805AE">
        <w:t>ring</w:t>
      </w:r>
      <w:r>
        <w:t xml:space="preserve"> of risk exposures among counterparties. </w:t>
      </w:r>
      <w:r w:rsidR="002F4D5F">
        <w:t xml:space="preserve">In return, market makers earn a bid-ask spread for the services they provide, and for the risks they take. </w:t>
      </w:r>
      <w:r w:rsidR="00D805AE">
        <w:t>Most noticeably, m</w:t>
      </w:r>
      <w:r w:rsidR="00D805AE">
        <w:t xml:space="preserve">arket makers are perennially exposed to the risk of being the counterparties of informed traders, for informed traders, by definition, have valuable information about </w:t>
      </w:r>
      <w:r w:rsidR="00D805AE">
        <w:t>future price</w:t>
      </w:r>
      <w:r w:rsidR="00D805AE">
        <w:t xml:space="preserve"> changes. Playing a game of asymmetric information puts market makers at a significant disadvantage. Therefore, a thorough understanding of the market microstructure, and the ability to detect and predict price changes in the market is extremely valuable. In this paper, we introduce a model based on the imbalance of buy and sell information to help predicting price changes. </w:t>
      </w:r>
      <w:r w:rsidR="00D805AE">
        <w:t xml:space="preserve">Moreover, </w:t>
      </w:r>
      <w:r w:rsidR="00D805AE">
        <w:t>and speed has always been a decisive factor in determining the competitiveness and profitability of a market making entity.</w:t>
      </w:r>
      <w:r w:rsidR="00D805AE">
        <w:t xml:space="preserve"> The recent rise of high frequency machines is a perfect example of the </w:t>
      </w:r>
      <w:r w:rsidR="00B23DA3">
        <w:t>prior</w:t>
      </w:r>
      <w:r w:rsidR="00D805AE">
        <w:t xml:space="preserve"> statement. </w:t>
      </w:r>
      <w:r w:rsidR="00EE64EC">
        <w:t xml:space="preserve">Fast and efficient execution of orders are </w:t>
      </w:r>
      <w:r w:rsidR="00D805AE">
        <w:t xml:space="preserve">always </w:t>
      </w:r>
      <w:r w:rsidR="00EE64EC">
        <w:t xml:space="preserve">of paramount importance. </w:t>
      </w:r>
      <w:r w:rsidR="00B23DA3">
        <w:t xml:space="preserve">Without </w:t>
      </w:r>
      <w:r w:rsidR="00B23DA3">
        <w:t>quality executions</w:t>
      </w:r>
      <w:r w:rsidR="00B23DA3">
        <w:t xml:space="preserve">, price prediction is not of much value. </w:t>
      </w:r>
      <w:r w:rsidR="00507F19">
        <w:t>In this paper, we</w:t>
      </w:r>
      <w:r w:rsidR="00EE64EC">
        <w:t xml:space="preserve"> </w:t>
      </w:r>
      <w:r w:rsidR="00B23DA3">
        <w:t xml:space="preserve">also </w:t>
      </w:r>
      <w:r w:rsidR="00507F19">
        <w:t xml:space="preserve">strive to improve </w:t>
      </w:r>
      <w:r w:rsidR="00EE64EC">
        <w:t xml:space="preserve">influence execution quality </w:t>
      </w:r>
      <w:r w:rsidR="00507F19">
        <w:t>by examining</w:t>
      </w:r>
      <w:r w:rsidR="004D02E4">
        <w:t xml:space="preserve"> liquidity characteristics a</w:t>
      </w:r>
      <w:r w:rsidR="00B23DA3">
        <w:t>cross different trading venues, and</w:t>
      </w:r>
      <w:r w:rsidR="00D40275">
        <w:t xml:space="preserve"> f</w:t>
      </w:r>
      <w:r w:rsidR="004D02E4">
        <w:t xml:space="preserve">inding out where are </w:t>
      </w:r>
      <w:r w:rsidR="00B23DA3">
        <w:t>securities</w:t>
      </w:r>
      <w:r w:rsidR="004D02E4">
        <w:t xml:space="preserve"> trading </w:t>
      </w:r>
      <w:r w:rsidR="00B23DA3">
        <w:t>at</w:t>
      </w:r>
      <w:r w:rsidR="00507F19">
        <w:t xml:space="preserve">. </w:t>
      </w:r>
      <w:r w:rsidR="004D02E4">
        <w:t xml:space="preserve"> </w:t>
      </w:r>
    </w:p>
    <w:p w14:paraId="0A103489" w14:textId="77777777" w:rsidR="00EE64EC" w:rsidRDefault="00EE64EC" w:rsidP="00762834"/>
    <w:bookmarkEnd w:id="0"/>
    <w:p w14:paraId="5173B7A4" w14:textId="77777777" w:rsidR="00E62E26" w:rsidRPr="00D31ED8" w:rsidRDefault="00E62E26" w:rsidP="00D31ED8">
      <w:pPr>
        <w:rPr>
          <w:rFonts w:ascii="Calibri" w:hAnsi="Calibri"/>
          <w:b/>
          <w:sz w:val="28"/>
          <w:szCs w:val="28"/>
        </w:rPr>
      </w:pPr>
      <w:r w:rsidRPr="00D31ED8">
        <w:rPr>
          <w:rFonts w:ascii="Calibri" w:hAnsi="Calibri"/>
          <w:b/>
          <w:sz w:val="28"/>
          <w:szCs w:val="28"/>
        </w:rPr>
        <w:t>Predicting price changes with Signed Order Imbalance for equity securities</w:t>
      </w:r>
    </w:p>
    <w:p w14:paraId="38DA149A" w14:textId="77777777" w:rsidR="003E183C" w:rsidRPr="00CA728C" w:rsidRDefault="003E183C">
      <w:pPr>
        <w:rPr>
          <w:rFonts w:ascii="Calibri" w:hAnsi="Calibri"/>
          <w:b/>
          <w:u w:val="single"/>
        </w:rPr>
      </w:pPr>
      <w:r w:rsidRPr="00CA728C">
        <w:rPr>
          <w:rFonts w:ascii="Calibri" w:hAnsi="Calibri"/>
          <w:b/>
          <w:u w:val="single"/>
        </w:rPr>
        <w:t>Background information:</w:t>
      </w:r>
    </w:p>
    <w:p w14:paraId="21CAB68B" w14:textId="57F5B8F4" w:rsidR="00617A9F" w:rsidRDefault="009F5A1A">
      <w:pPr>
        <w:rPr>
          <w:rFonts w:ascii="Calibri" w:hAnsi="Calibri"/>
        </w:rPr>
      </w:pPr>
      <w:r>
        <w:rPr>
          <w:rFonts w:ascii="Calibri" w:hAnsi="Calibri"/>
        </w:rPr>
        <w:t>Signed Order I</w:t>
      </w:r>
      <w:r w:rsidR="00134448" w:rsidRPr="00CA728C">
        <w:rPr>
          <w:rFonts w:ascii="Calibri" w:hAnsi="Calibri"/>
        </w:rPr>
        <w:t>mbalances</w:t>
      </w:r>
      <w:r>
        <w:rPr>
          <w:rFonts w:ascii="Calibri" w:hAnsi="Calibri"/>
        </w:rPr>
        <w:t xml:space="preserve"> (SOI)</w:t>
      </w:r>
      <w:r w:rsidR="00D31ED8">
        <w:rPr>
          <w:rFonts w:ascii="Calibri" w:hAnsi="Calibri"/>
        </w:rPr>
        <w:t xml:space="preserve"> is</w:t>
      </w:r>
      <w:r w:rsidR="00134448" w:rsidRPr="00CA728C">
        <w:rPr>
          <w:rFonts w:ascii="Calibri" w:hAnsi="Calibri"/>
        </w:rPr>
        <w:t xml:space="preserve"> an idea inspired by Easley, Lopez de Prado and O’Hara’s paper on “Flow Toxicity and Liquidity in a High Frequency World”. </w:t>
      </w:r>
      <w:r>
        <w:rPr>
          <w:rFonts w:ascii="Calibri" w:hAnsi="Calibri"/>
        </w:rPr>
        <w:t xml:space="preserve">Intuitively, SOI measures the magnitude of imbalance between buy and sell orders within a specified time period. </w:t>
      </w:r>
      <w:r w:rsidR="00F53D00">
        <w:rPr>
          <w:rFonts w:ascii="Calibri" w:hAnsi="Calibri"/>
        </w:rPr>
        <w:t>We</w:t>
      </w:r>
      <w:r w:rsidR="00617A9F">
        <w:rPr>
          <w:rFonts w:ascii="Calibri" w:hAnsi="Calibri"/>
        </w:rPr>
        <w:t xml:space="preserve"> believe a large portion of the short term equity price change </w:t>
      </w:r>
      <w:r w:rsidR="000A397E">
        <w:rPr>
          <w:rFonts w:ascii="Calibri" w:hAnsi="Calibri"/>
        </w:rPr>
        <w:t>is</w:t>
      </w:r>
      <w:r w:rsidR="00617A9F">
        <w:rPr>
          <w:rFonts w:ascii="Calibri" w:hAnsi="Calibri"/>
        </w:rPr>
        <w:t xml:space="preserve"> driven by </w:t>
      </w:r>
      <w:r w:rsidR="000A397E">
        <w:rPr>
          <w:rFonts w:ascii="Calibri" w:hAnsi="Calibri"/>
        </w:rPr>
        <w:t xml:space="preserve">such </w:t>
      </w:r>
      <w:r w:rsidR="004D5F96">
        <w:rPr>
          <w:rFonts w:ascii="Calibri" w:hAnsi="Calibri"/>
        </w:rPr>
        <w:t>imbalances</w:t>
      </w:r>
      <w:r w:rsidR="00EE22F1">
        <w:rPr>
          <w:rFonts w:ascii="Calibri" w:hAnsi="Calibri"/>
        </w:rPr>
        <w:t>.</w:t>
      </w:r>
      <w:r w:rsidR="004D5F96">
        <w:rPr>
          <w:rFonts w:ascii="Calibri" w:hAnsi="Calibri"/>
        </w:rPr>
        <w:t xml:space="preserve"> </w:t>
      </w:r>
    </w:p>
    <w:p w14:paraId="5C91BB9F" w14:textId="28F8626F" w:rsidR="000B28AF" w:rsidRPr="00CA728C" w:rsidRDefault="009F5A1A">
      <w:pPr>
        <w:rPr>
          <w:rFonts w:ascii="Calibri" w:hAnsi="Calibri"/>
        </w:rPr>
      </w:pPr>
      <w:r>
        <w:rPr>
          <w:rFonts w:ascii="Calibri" w:hAnsi="Calibri"/>
        </w:rPr>
        <w:t xml:space="preserve">We restrict the range of this measure to be between 1 and -1. An SOI of 1 would indicate all orders are originated from buy requests, where as an SOI of </w:t>
      </w:r>
      <w:r w:rsidR="004D5F96">
        <w:rPr>
          <w:rFonts w:ascii="Calibri" w:hAnsi="Calibri"/>
        </w:rPr>
        <w:t>-</w:t>
      </w:r>
      <w:r>
        <w:rPr>
          <w:rFonts w:ascii="Calibri" w:hAnsi="Calibri"/>
        </w:rPr>
        <w:t xml:space="preserve">1 would indicate the opposite, and numbers in between quantify </w:t>
      </w:r>
      <w:r w:rsidR="00C95534">
        <w:rPr>
          <w:rFonts w:ascii="Calibri" w:hAnsi="Calibri"/>
        </w:rPr>
        <w:t xml:space="preserve">general </w:t>
      </w:r>
      <w:r w:rsidR="004D5F96">
        <w:rPr>
          <w:rFonts w:ascii="Calibri" w:hAnsi="Calibri"/>
        </w:rPr>
        <w:t xml:space="preserve">imbalances with positive figures signaling preponderant buy orders, and vice versa.  </w:t>
      </w:r>
    </w:p>
    <w:p w14:paraId="5DD7A6F0" w14:textId="77777777" w:rsidR="00EF7CF5" w:rsidRPr="00CA728C" w:rsidRDefault="00EF7CF5">
      <w:pPr>
        <w:rPr>
          <w:rFonts w:ascii="Calibri" w:hAnsi="Calibri"/>
          <w:b/>
        </w:rPr>
      </w:pPr>
      <w:r w:rsidRPr="00CA728C">
        <w:rPr>
          <w:rFonts w:ascii="Calibri" w:hAnsi="Calibri"/>
          <w:b/>
        </w:rPr>
        <w:t>Definition of SOI:</w:t>
      </w:r>
      <w:bookmarkStart w:id="1" w:name="_GoBack"/>
      <w:bookmarkEnd w:id="1"/>
    </w:p>
    <w:p w14:paraId="352C3FC5" w14:textId="7D92F43B" w:rsidR="0014117E" w:rsidRPr="00CA728C" w:rsidRDefault="0014117E" w:rsidP="00F27219">
      <w:pPr>
        <w:rPr>
          <w:rFonts w:ascii="Calibri" w:hAnsi="Calibri"/>
        </w:rPr>
      </w:pPr>
      <m:oMath>
        <m:r>
          <w:rPr>
            <w:rFonts w:ascii="Cambria Math" w:hAnsi="Cambria Math"/>
          </w:rPr>
          <m:t xml:space="preserve">SOI=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*b(i)</m:t>
            </m:r>
          </m:e>
        </m:nary>
        <m:r>
          <w:rPr>
            <w:rFonts w:ascii="Cambria Math" w:hAnsi="Cambria Math"/>
          </w:rPr>
          <m:t>, b</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r>
              <w:rPr>
                <w:rFonts w:ascii="Cambria Math" w:hAnsi="Cambria Math"/>
              </w:rPr>
              <m:t>0,1,-1</m:t>
            </m:r>
          </m:e>
        </m:d>
        <m:r>
          <w:rPr>
            <w:rFonts w:ascii="Cambria Math" w:hAnsi="Cambria Math"/>
          </w:rPr>
          <m:t>,  w</m:t>
        </m:r>
        <m:d>
          <m:dPr>
            <m:ctrlPr>
              <w:rPr>
                <w:rFonts w:ascii="Cambria Math" w:hAnsi="Cambria Math"/>
                <w:i/>
              </w:rPr>
            </m:ctrlPr>
          </m:dPr>
          <m:e>
            <m:r>
              <w:rPr>
                <w:rFonts w:ascii="Cambria Math" w:hAnsi="Cambria Math"/>
              </w:rPr>
              <m:t>i</m:t>
            </m:r>
          </m:e>
        </m:d>
        <m:r>
          <w:rPr>
            <w:rFonts w:ascii="Cambria Math" w:hAnsi="Cambria Math"/>
          </w:rPr>
          <m:t>=volume(i,i-1)/</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r>
              <w:rPr>
                <w:rFonts w:ascii="Cambria Math" w:hAnsi="Cambria Math"/>
              </w:rPr>
              <m:t>volume(k,k-1)</m:t>
            </m:r>
          </m:e>
        </m:nary>
      </m:oMath>
      <w:r w:rsidR="00F27219">
        <w:rPr>
          <w:rFonts w:ascii="Calibri" w:hAnsi="Calibri"/>
        </w:rPr>
        <w:t xml:space="preserve">          </w:t>
      </w:r>
      <w:r w:rsidR="00F27219" w:rsidRPr="00F27219">
        <w:rPr>
          <w:rFonts w:ascii="Calibri" w:hAnsi="Calibri"/>
          <w:b/>
        </w:rPr>
        <w:t>(1)</w:t>
      </w:r>
    </w:p>
    <w:p w14:paraId="7D9748B2" w14:textId="77777777" w:rsidR="001B4331" w:rsidRPr="00CA728C" w:rsidRDefault="001B4331">
      <w:pPr>
        <w:rPr>
          <w:rFonts w:ascii="Calibri" w:hAnsi="Calibri"/>
          <w:b/>
        </w:rPr>
      </w:pPr>
      <w:r w:rsidRPr="00CA728C">
        <w:rPr>
          <w:rFonts w:ascii="Calibri" w:hAnsi="Calibri"/>
          <w:b/>
        </w:rPr>
        <w:t>Explanation of the definition:</w:t>
      </w:r>
    </w:p>
    <w:p w14:paraId="4B0831FC" w14:textId="11090544" w:rsidR="00590169" w:rsidRDefault="002226D8">
      <w:pPr>
        <w:rPr>
          <w:rFonts w:ascii="Calibri" w:hAnsi="Calibri"/>
        </w:rPr>
      </w:p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r>
              <w:rPr>
                <w:rFonts w:ascii="Cambria Math" w:hAnsi="Cambria Math"/>
              </w:rPr>
              <m:t>volume(k,k-1)</m:t>
            </m:r>
          </m:e>
        </m:nary>
      </m:oMath>
      <w:r w:rsidR="001B4331" w:rsidRPr="00CA728C">
        <w:rPr>
          <w:rFonts w:ascii="Calibri" w:hAnsi="Calibri"/>
        </w:rPr>
        <w:t xml:space="preserve"> defines</w:t>
      </w:r>
      <w:r w:rsidR="00DF593F" w:rsidRPr="00CA728C">
        <w:rPr>
          <w:rFonts w:ascii="Calibri" w:hAnsi="Calibri"/>
        </w:rPr>
        <w:t xml:space="preserve"> the total volume of a bucket</w:t>
      </w:r>
      <w:r w:rsidR="003E183C" w:rsidRPr="00CA728C">
        <w:rPr>
          <w:rFonts w:ascii="Calibri" w:hAnsi="Calibri"/>
        </w:rPr>
        <w:t>.</w:t>
      </w:r>
      <w:r w:rsidR="00590169">
        <w:rPr>
          <w:rFonts w:ascii="Calibri" w:hAnsi="Calibri"/>
        </w:rPr>
        <w:t xml:space="preserve"> A bucket is nothing more than an aggregation of adjacent smaller chunks of trades, known as bin. </w:t>
      </w:r>
      <w:r w:rsidR="00732998">
        <w:rPr>
          <w:rFonts w:ascii="Calibri" w:hAnsi="Calibri"/>
        </w:rPr>
        <w:t>SOI is measured at the bucket level, and individual weighted bins contribute to the SOI measure over the bucket. There are numerous different ways of aggregating these bins into a bucket, and depending on the total trading volume of</w:t>
      </w:r>
      <w:r w:rsidR="00B67354">
        <w:rPr>
          <w:rFonts w:ascii="Calibri" w:hAnsi="Calibri"/>
        </w:rPr>
        <w:t xml:space="preserve"> the specific </w:t>
      </w:r>
      <w:r w:rsidR="00B67354">
        <w:rPr>
          <w:rFonts w:ascii="Calibri" w:hAnsi="Calibri"/>
        </w:rPr>
        <w:lastRenderedPageBreak/>
        <w:t>stock at</w:t>
      </w:r>
      <w:r w:rsidR="00732998">
        <w:rPr>
          <w:rFonts w:ascii="Calibri" w:hAnsi="Calibri"/>
        </w:rPr>
        <w:t xml:space="preserve"> interest, the optimal paramet</w:t>
      </w:r>
      <w:r w:rsidR="001153F7">
        <w:rPr>
          <w:rFonts w:ascii="Calibri" w:hAnsi="Calibri"/>
        </w:rPr>
        <w:t>ers used in aggregation differ. The below table listed ways of aggregating trades into bins and buckets based on either time interval or volume interval</w:t>
      </w:r>
      <w:r w:rsidR="00720117">
        <w:rPr>
          <w:rFonts w:ascii="Calibri" w:hAnsi="Calibri"/>
        </w:rPr>
        <w:t>, note tick data for bin choice implies using the each trade transaction directly as a bin unit without doing any aggregation</w:t>
      </w:r>
      <w:r w:rsidR="001153F7">
        <w:rPr>
          <w:rFonts w:ascii="Calibri" w:hAnsi="Calibri"/>
        </w:rPr>
        <w:t>:</w:t>
      </w:r>
    </w:p>
    <w:tbl>
      <w:tblPr>
        <w:tblW w:w="5090" w:type="dxa"/>
        <w:jc w:val="center"/>
        <w:tblLook w:val="04A0" w:firstRow="1" w:lastRow="0" w:firstColumn="1" w:lastColumn="0" w:noHBand="0" w:noVBand="1"/>
      </w:tblPr>
      <w:tblGrid>
        <w:gridCol w:w="2640"/>
        <w:gridCol w:w="2450"/>
      </w:tblGrid>
      <w:tr w:rsidR="00720117" w:rsidRPr="00720117" w14:paraId="276AC120" w14:textId="77777777" w:rsidTr="00720117">
        <w:trPr>
          <w:trHeight w:val="300"/>
          <w:jc w:val="center"/>
        </w:trPr>
        <w:tc>
          <w:tcPr>
            <w:tcW w:w="2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A1B5357" w14:textId="77777777" w:rsidR="00720117" w:rsidRPr="00720117" w:rsidRDefault="00720117" w:rsidP="00720117">
            <w:pPr>
              <w:spacing w:after="0" w:line="240" w:lineRule="auto"/>
              <w:rPr>
                <w:rFonts w:ascii="Calibri" w:eastAsia="Times New Roman" w:hAnsi="Calibri" w:cs="Times New Roman"/>
                <w:b/>
                <w:bCs/>
                <w:color w:val="000000"/>
              </w:rPr>
            </w:pPr>
            <w:r w:rsidRPr="00720117">
              <w:rPr>
                <w:rFonts w:ascii="Calibri" w:eastAsia="Times New Roman" w:hAnsi="Calibri" w:cs="Times New Roman"/>
                <w:b/>
                <w:bCs/>
                <w:color w:val="000000"/>
              </w:rPr>
              <w:t>Bin Choice</w:t>
            </w:r>
          </w:p>
        </w:tc>
        <w:tc>
          <w:tcPr>
            <w:tcW w:w="2450" w:type="dxa"/>
            <w:tcBorders>
              <w:top w:val="single" w:sz="8" w:space="0" w:color="auto"/>
              <w:left w:val="nil"/>
              <w:bottom w:val="single" w:sz="4" w:space="0" w:color="auto"/>
              <w:right w:val="single" w:sz="8" w:space="0" w:color="auto"/>
            </w:tcBorders>
            <w:shd w:val="clear" w:color="auto" w:fill="auto"/>
            <w:vAlign w:val="bottom"/>
            <w:hideMark/>
          </w:tcPr>
          <w:p w14:paraId="65592198" w14:textId="77777777" w:rsidR="00720117" w:rsidRPr="00720117" w:rsidRDefault="00720117" w:rsidP="00720117">
            <w:pPr>
              <w:spacing w:after="0" w:line="240" w:lineRule="auto"/>
              <w:rPr>
                <w:rFonts w:ascii="Calibri" w:eastAsia="Times New Roman" w:hAnsi="Calibri" w:cs="Times New Roman"/>
                <w:b/>
                <w:bCs/>
                <w:color w:val="000000"/>
              </w:rPr>
            </w:pPr>
            <w:r w:rsidRPr="00720117">
              <w:rPr>
                <w:rFonts w:ascii="Calibri" w:eastAsia="Times New Roman" w:hAnsi="Calibri" w:cs="Times New Roman"/>
                <w:b/>
                <w:bCs/>
                <w:color w:val="000000"/>
              </w:rPr>
              <w:t>Bucket Choice</w:t>
            </w:r>
          </w:p>
        </w:tc>
      </w:tr>
      <w:tr w:rsidR="00720117" w:rsidRPr="00720117" w14:paraId="689DA8C9" w14:textId="77777777" w:rsidTr="00720117">
        <w:trPr>
          <w:trHeight w:val="300"/>
          <w:jc w:val="center"/>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14:paraId="457FBA99" w14:textId="1419992F" w:rsidR="00720117" w:rsidRPr="00720117" w:rsidRDefault="00720117" w:rsidP="00720117">
            <w:pPr>
              <w:spacing w:after="0" w:line="240" w:lineRule="auto"/>
              <w:rPr>
                <w:rFonts w:ascii="Calibri" w:eastAsia="Times New Roman" w:hAnsi="Calibri" w:cs="Times New Roman"/>
                <w:color w:val="000000"/>
              </w:rPr>
            </w:pPr>
            <w:r w:rsidRPr="00720117">
              <w:rPr>
                <w:rFonts w:ascii="Calibri" w:eastAsia="Times New Roman" w:hAnsi="Calibri" w:cs="Times New Roman"/>
                <w:color w:val="000000"/>
              </w:rPr>
              <w:t>Time</w:t>
            </w:r>
          </w:p>
        </w:tc>
        <w:tc>
          <w:tcPr>
            <w:tcW w:w="2450" w:type="dxa"/>
            <w:tcBorders>
              <w:top w:val="nil"/>
              <w:left w:val="nil"/>
              <w:bottom w:val="single" w:sz="4" w:space="0" w:color="auto"/>
              <w:right w:val="single" w:sz="8" w:space="0" w:color="auto"/>
            </w:tcBorders>
            <w:shd w:val="clear" w:color="auto" w:fill="auto"/>
            <w:vAlign w:val="bottom"/>
            <w:hideMark/>
          </w:tcPr>
          <w:p w14:paraId="50264E7B" w14:textId="77777777" w:rsidR="00720117" w:rsidRPr="00720117" w:rsidRDefault="00720117" w:rsidP="00720117">
            <w:pPr>
              <w:spacing w:after="0" w:line="240" w:lineRule="auto"/>
              <w:rPr>
                <w:rFonts w:ascii="Calibri" w:eastAsia="Times New Roman" w:hAnsi="Calibri" w:cs="Times New Roman"/>
                <w:color w:val="000000"/>
              </w:rPr>
            </w:pPr>
            <w:r w:rsidRPr="00720117">
              <w:rPr>
                <w:rFonts w:ascii="Calibri" w:eastAsia="Times New Roman" w:hAnsi="Calibri" w:cs="Times New Roman"/>
                <w:color w:val="000000"/>
              </w:rPr>
              <w:t>Time</w:t>
            </w:r>
          </w:p>
        </w:tc>
      </w:tr>
      <w:tr w:rsidR="00720117" w:rsidRPr="00720117" w14:paraId="3962EFFF" w14:textId="77777777" w:rsidTr="00720117">
        <w:trPr>
          <w:trHeight w:val="315"/>
          <w:jc w:val="center"/>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14:paraId="03611AA3" w14:textId="386FCD47" w:rsidR="00720117" w:rsidRPr="00720117" w:rsidRDefault="00720117" w:rsidP="0072011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Trade </w:t>
            </w:r>
            <w:r w:rsidRPr="00720117">
              <w:rPr>
                <w:rFonts w:ascii="Calibri" w:eastAsia="Times New Roman" w:hAnsi="Calibri" w:cs="Times New Roman"/>
                <w:color w:val="000000"/>
              </w:rPr>
              <w:t>Volume</w:t>
            </w:r>
            <w:r>
              <w:rPr>
                <w:rFonts w:ascii="Calibri" w:eastAsia="Times New Roman" w:hAnsi="Calibri" w:cs="Times New Roman"/>
                <w:color w:val="000000"/>
              </w:rPr>
              <w:t xml:space="preserve"> </w:t>
            </w:r>
          </w:p>
        </w:tc>
        <w:tc>
          <w:tcPr>
            <w:tcW w:w="2450" w:type="dxa"/>
            <w:tcBorders>
              <w:top w:val="nil"/>
              <w:left w:val="nil"/>
              <w:bottom w:val="single" w:sz="4" w:space="0" w:color="auto"/>
              <w:right w:val="single" w:sz="8" w:space="0" w:color="auto"/>
            </w:tcBorders>
            <w:shd w:val="clear" w:color="auto" w:fill="auto"/>
            <w:noWrap/>
            <w:vAlign w:val="bottom"/>
            <w:hideMark/>
          </w:tcPr>
          <w:p w14:paraId="3F479D1B" w14:textId="3422F3DC" w:rsidR="00720117" w:rsidRPr="00720117" w:rsidRDefault="00720117" w:rsidP="0072011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Trade </w:t>
            </w:r>
            <w:r w:rsidRPr="00720117">
              <w:rPr>
                <w:rFonts w:ascii="Calibri" w:eastAsia="Times New Roman" w:hAnsi="Calibri" w:cs="Times New Roman"/>
                <w:color w:val="000000"/>
              </w:rPr>
              <w:t>Volume</w:t>
            </w:r>
          </w:p>
        </w:tc>
      </w:tr>
      <w:tr w:rsidR="00720117" w:rsidRPr="00720117" w14:paraId="75BD387D" w14:textId="77777777" w:rsidTr="00720117">
        <w:trPr>
          <w:trHeight w:val="315"/>
          <w:jc w:val="center"/>
        </w:trPr>
        <w:tc>
          <w:tcPr>
            <w:tcW w:w="2640" w:type="dxa"/>
            <w:tcBorders>
              <w:top w:val="nil"/>
              <w:left w:val="single" w:sz="8" w:space="0" w:color="auto"/>
              <w:bottom w:val="single" w:sz="8" w:space="0" w:color="auto"/>
              <w:right w:val="single" w:sz="4" w:space="0" w:color="auto"/>
            </w:tcBorders>
            <w:shd w:val="clear" w:color="auto" w:fill="auto"/>
            <w:noWrap/>
            <w:vAlign w:val="bottom"/>
            <w:hideMark/>
          </w:tcPr>
          <w:p w14:paraId="239DE5A7" w14:textId="77777777" w:rsidR="00720117" w:rsidRPr="00720117" w:rsidRDefault="00720117" w:rsidP="00720117">
            <w:pPr>
              <w:spacing w:after="0" w:line="240" w:lineRule="auto"/>
              <w:rPr>
                <w:rFonts w:ascii="Calibri" w:eastAsia="Times New Roman" w:hAnsi="Calibri" w:cs="Times New Roman"/>
                <w:color w:val="000000"/>
              </w:rPr>
            </w:pPr>
            <w:r w:rsidRPr="00720117">
              <w:rPr>
                <w:rFonts w:ascii="Calibri" w:eastAsia="Times New Roman" w:hAnsi="Calibri" w:cs="Times New Roman"/>
                <w:color w:val="000000"/>
              </w:rPr>
              <w:t>Tick Data</w:t>
            </w:r>
          </w:p>
        </w:tc>
        <w:tc>
          <w:tcPr>
            <w:tcW w:w="2450" w:type="dxa"/>
            <w:tcBorders>
              <w:top w:val="nil"/>
              <w:left w:val="nil"/>
              <w:bottom w:val="single" w:sz="8" w:space="0" w:color="auto"/>
              <w:right w:val="single" w:sz="8" w:space="0" w:color="auto"/>
            </w:tcBorders>
            <w:shd w:val="clear" w:color="auto" w:fill="auto"/>
            <w:noWrap/>
            <w:vAlign w:val="bottom"/>
            <w:hideMark/>
          </w:tcPr>
          <w:p w14:paraId="7B7FED3D" w14:textId="77777777" w:rsidR="00720117" w:rsidRPr="00720117" w:rsidRDefault="00720117" w:rsidP="00720117">
            <w:pPr>
              <w:spacing w:after="0" w:line="240" w:lineRule="auto"/>
              <w:rPr>
                <w:rFonts w:ascii="Calibri" w:eastAsia="Times New Roman" w:hAnsi="Calibri" w:cs="Times New Roman"/>
                <w:color w:val="000000"/>
              </w:rPr>
            </w:pPr>
            <w:r w:rsidRPr="00720117">
              <w:rPr>
                <w:rFonts w:ascii="Calibri" w:eastAsia="Times New Roman" w:hAnsi="Calibri" w:cs="Times New Roman"/>
                <w:color w:val="000000"/>
              </w:rPr>
              <w:t> </w:t>
            </w:r>
          </w:p>
        </w:tc>
      </w:tr>
    </w:tbl>
    <w:p w14:paraId="7C57DBFD" w14:textId="77777777" w:rsidR="00644D81" w:rsidRDefault="00644D81">
      <w:pPr>
        <w:rPr>
          <w:rFonts w:ascii="Calibri" w:hAnsi="Calibri"/>
        </w:rPr>
      </w:pPr>
    </w:p>
    <w:p w14:paraId="36C77A98" w14:textId="731AFDD8" w:rsidR="001153F7" w:rsidRDefault="001153F7">
      <w:pPr>
        <w:rPr>
          <w:rFonts w:ascii="Calibri" w:hAnsi="Calibri"/>
        </w:rPr>
      </w:pPr>
      <w:r>
        <w:rPr>
          <w:rFonts w:ascii="Calibri" w:hAnsi="Calibri"/>
        </w:rPr>
        <w:t xml:space="preserve">A mixing of volume and time aggregating technique can be applied separately to bins and volume. In this paper, we primarily explore two different approaches: 1) </w:t>
      </w:r>
      <w:r w:rsidR="00720117">
        <w:rPr>
          <w:rFonts w:ascii="Calibri" w:hAnsi="Calibri"/>
        </w:rPr>
        <w:t>tick data</w:t>
      </w:r>
      <w:r>
        <w:rPr>
          <w:rFonts w:ascii="Calibri" w:hAnsi="Calibri"/>
        </w:rPr>
        <w:t xml:space="preserve"> + time bucket, 2) ti</w:t>
      </w:r>
      <w:r w:rsidR="004207D9">
        <w:rPr>
          <w:rFonts w:ascii="Calibri" w:hAnsi="Calibri"/>
        </w:rPr>
        <w:t xml:space="preserve">ck data </w:t>
      </w:r>
      <w:r>
        <w:rPr>
          <w:rFonts w:ascii="Calibri" w:hAnsi="Calibri"/>
        </w:rPr>
        <w:t xml:space="preserve">+ volume bucket. </w:t>
      </w:r>
      <w:r w:rsidR="00B67354">
        <w:rPr>
          <w:rFonts w:ascii="Calibri" w:hAnsi="Calibri"/>
        </w:rPr>
        <w:t>While any combination of the above can be function, i</w:t>
      </w:r>
      <w:r>
        <w:rPr>
          <w:rFonts w:ascii="Calibri" w:hAnsi="Calibri"/>
        </w:rPr>
        <w:t xml:space="preserve">t is important to </w:t>
      </w:r>
      <w:r w:rsidR="00B67354">
        <w:rPr>
          <w:rFonts w:ascii="Calibri" w:hAnsi="Calibri"/>
        </w:rPr>
        <w:t xml:space="preserve">ensure a single bucket always contain at least one bin in order for the above methodology to be rational. </w:t>
      </w:r>
      <w:r w:rsidR="00A16EA9">
        <w:rPr>
          <w:rFonts w:ascii="Calibri" w:hAnsi="Calibri"/>
        </w:rPr>
        <w:t xml:space="preserve">And once the units are chosen, they should be fixed throughout the day. </w:t>
      </w:r>
      <w:r w:rsidR="00B102F2">
        <w:rPr>
          <w:rFonts w:ascii="Calibri" w:hAnsi="Calibri"/>
        </w:rPr>
        <w:t xml:space="preserve">The advantage of using bins as oppose to tick data can be found in </w:t>
      </w:r>
      <w:r w:rsidR="00F56A52">
        <w:rPr>
          <w:rFonts w:ascii="Calibri" w:hAnsi="Calibri"/>
        </w:rPr>
        <w:t xml:space="preserve">a paper written by </w:t>
      </w:r>
      <w:r w:rsidR="00F56A52" w:rsidRPr="00F56A52">
        <w:rPr>
          <w:rFonts w:ascii="Calibri" w:hAnsi="Calibri"/>
        </w:rPr>
        <w:t>Easley, López de Prado, and O’Hara [2012]</w:t>
      </w:r>
      <w:r w:rsidR="00F56A52">
        <w:rPr>
          <w:rFonts w:ascii="Calibri" w:hAnsi="Calibri"/>
        </w:rPr>
        <w:t>.</w:t>
      </w:r>
      <w:r w:rsidR="00F56A52">
        <w:rPr>
          <w:sz w:val="23"/>
          <w:szCs w:val="23"/>
        </w:rPr>
        <w:t xml:space="preserve"> </w:t>
      </w:r>
      <w:r w:rsidR="00F56A52">
        <w:rPr>
          <w:rFonts w:ascii="Calibri" w:hAnsi="Calibri"/>
        </w:rPr>
        <w:t>I</w:t>
      </w:r>
      <w:r w:rsidR="00B102F2">
        <w:rPr>
          <w:rFonts w:ascii="Calibri" w:hAnsi="Calibri"/>
        </w:rPr>
        <w:t>n the</w:t>
      </w:r>
      <w:r w:rsidR="00F56A52">
        <w:rPr>
          <w:rFonts w:ascii="Calibri" w:hAnsi="Calibri"/>
        </w:rPr>
        <w:t>ir</w:t>
      </w:r>
      <w:r w:rsidR="00B102F2">
        <w:rPr>
          <w:rFonts w:ascii="Calibri" w:hAnsi="Calibri"/>
        </w:rPr>
        <w:t xml:space="preserve"> research, </w:t>
      </w:r>
      <w:r w:rsidR="00F56A52">
        <w:rPr>
          <w:rFonts w:ascii="Calibri" w:hAnsi="Calibri"/>
        </w:rPr>
        <w:t>they</w:t>
      </w:r>
      <w:r w:rsidR="00B102F2">
        <w:rPr>
          <w:rFonts w:ascii="Calibri" w:hAnsi="Calibri"/>
        </w:rPr>
        <w:t xml:space="preserve"> claimed trade by trade classification is likely to result in misclassification</w:t>
      </w:r>
      <w:r w:rsidR="00F56A52">
        <w:rPr>
          <w:rFonts w:ascii="Calibri" w:hAnsi="Calibri"/>
        </w:rPr>
        <w:t xml:space="preserve"> (PG 22)</w:t>
      </w:r>
      <w:r w:rsidR="00B102F2">
        <w:rPr>
          <w:rFonts w:ascii="Calibri" w:hAnsi="Calibri"/>
        </w:rPr>
        <w:t xml:space="preserve">. </w:t>
      </w:r>
      <w:r w:rsidR="00B67765">
        <w:rPr>
          <w:rFonts w:ascii="Calibri" w:hAnsi="Calibri"/>
        </w:rPr>
        <w:t>However, ELO</w:t>
      </w:r>
      <w:r w:rsidR="00E5629E">
        <w:rPr>
          <w:rFonts w:ascii="Calibri" w:hAnsi="Calibri"/>
        </w:rPr>
        <w:t xml:space="preserve"> did not provide concrete evidence, but merely an intuitive suggestion. Without sufficient evidence that trade by trade classification is inferior, we choose to proceed with trade by trade (tick data) classification, and we will show trade by trade classification actually produces better regression fit than aggregating by time bins. </w:t>
      </w:r>
      <w:r w:rsidR="003C0304">
        <w:rPr>
          <w:rFonts w:ascii="Calibri" w:hAnsi="Calibri"/>
        </w:rPr>
        <w:t xml:space="preserve">Also by using tick data, we avoid unnecessary task of optimizing the fixed bin size within each bucket. </w:t>
      </w:r>
    </w:p>
    <w:p w14:paraId="09A0CE51" w14:textId="17193B1B" w:rsidR="004B42EC" w:rsidRDefault="004B42EC">
      <w:pPr>
        <w:rPr>
          <w:rFonts w:ascii="Calibri" w:hAnsi="Calibri"/>
        </w:rPr>
      </w:pPr>
      <w:r>
        <w:rPr>
          <w:rFonts w:ascii="Calibri" w:hAnsi="Calibri"/>
        </w:rPr>
        <w:t xml:space="preserve">When predicting equity </w:t>
      </w:r>
      <w:r w:rsidR="00F2129B">
        <w:rPr>
          <w:rFonts w:ascii="Calibri" w:hAnsi="Calibri"/>
        </w:rPr>
        <w:t xml:space="preserve">price changes, we first obtain SOI information over a bucket covering time period t to t+1, and regress against price change over a bucket covering time period t+1 to t+2. More details </w:t>
      </w:r>
      <w:r w:rsidR="00C52389">
        <w:rPr>
          <w:rFonts w:ascii="Calibri" w:hAnsi="Calibri"/>
        </w:rPr>
        <w:t xml:space="preserve">will be provided in the analysis section. </w:t>
      </w:r>
    </w:p>
    <w:p w14:paraId="2FCCD697" w14:textId="514F381D" w:rsidR="001B4331" w:rsidRPr="00CA728C" w:rsidRDefault="00F27219">
      <w:pPr>
        <w:rPr>
          <w:rFonts w:ascii="Calibri" w:hAnsi="Calibri"/>
        </w:rPr>
      </w:pPr>
      <w:r>
        <w:rPr>
          <w:rFonts w:ascii="Calibri" w:hAnsi="Calibri"/>
        </w:rPr>
        <w:t xml:space="preserve">In equation (1), </w:t>
      </w:r>
      <w:r w:rsidR="00E467DA">
        <w:rPr>
          <w:rFonts w:ascii="Calibri" w:hAnsi="Calibri"/>
        </w:rPr>
        <w:t>b</w:t>
      </w:r>
      <w:r w:rsidR="00E467DA" w:rsidRPr="00CA728C">
        <w:rPr>
          <w:rFonts w:ascii="Calibri" w:hAnsi="Calibri"/>
        </w:rPr>
        <w:t>(</w:t>
      </w:r>
      <w:r w:rsidR="00320F13" w:rsidRPr="00CA728C">
        <w:rPr>
          <w:rFonts w:ascii="Calibri" w:hAnsi="Calibri"/>
        </w:rPr>
        <w:t xml:space="preserve">i) is a </w:t>
      </w:r>
      <w:r w:rsidR="00A16D84" w:rsidRPr="00CA728C">
        <w:rPr>
          <w:rFonts w:ascii="Calibri" w:hAnsi="Calibri"/>
        </w:rPr>
        <w:t xml:space="preserve">discrete </w:t>
      </w:r>
      <w:r w:rsidR="00320F13" w:rsidRPr="00CA728C">
        <w:rPr>
          <w:rFonts w:ascii="Calibri" w:hAnsi="Calibri"/>
        </w:rPr>
        <w:t xml:space="preserve">function </w:t>
      </w:r>
      <w:r w:rsidR="00A24D09" w:rsidRPr="00CA728C">
        <w:rPr>
          <w:rFonts w:ascii="Calibri" w:hAnsi="Calibri"/>
        </w:rPr>
        <w:t>only takes value {+1,-1,</w:t>
      </w:r>
      <w:r w:rsidR="00E467DA">
        <w:rPr>
          <w:rFonts w:ascii="Calibri" w:hAnsi="Calibri"/>
        </w:rPr>
        <w:t xml:space="preserve"> </w:t>
      </w:r>
      <w:r w:rsidR="00A24D09" w:rsidRPr="00CA728C">
        <w:rPr>
          <w:rFonts w:ascii="Calibri" w:hAnsi="Calibri"/>
        </w:rPr>
        <w:t xml:space="preserve">0}, which </w:t>
      </w:r>
      <w:r w:rsidR="00320F13" w:rsidRPr="00CA728C">
        <w:rPr>
          <w:rFonts w:ascii="Calibri" w:hAnsi="Calibri"/>
        </w:rPr>
        <w:t>indicat</w:t>
      </w:r>
      <w:r w:rsidR="00A24D09" w:rsidRPr="00CA728C">
        <w:rPr>
          <w:rFonts w:ascii="Calibri" w:hAnsi="Calibri"/>
        </w:rPr>
        <w:t xml:space="preserve">es </w:t>
      </w:r>
      <w:r w:rsidR="00320F13" w:rsidRPr="00CA728C">
        <w:rPr>
          <w:rFonts w:ascii="Calibri" w:hAnsi="Calibri"/>
        </w:rPr>
        <w:t>the act (</w:t>
      </w:r>
      <w:r w:rsidR="0034354D" w:rsidRPr="00CA728C">
        <w:rPr>
          <w:rFonts w:ascii="Calibri" w:hAnsi="Calibri"/>
        </w:rPr>
        <w:t>Bull/Sell/Neutral</w:t>
      </w:r>
      <w:r w:rsidR="00320F13" w:rsidRPr="00CA728C">
        <w:rPr>
          <w:rFonts w:ascii="Calibri" w:hAnsi="Calibri"/>
        </w:rPr>
        <w:t>)</w:t>
      </w:r>
      <w:r w:rsidR="0034354D" w:rsidRPr="00CA728C">
        <w:rPr>
          <w:rFonts w:ascii="Calibri" w:hAnsi="Calibri"/>
        </w:rPr>
        <w:t xml:space="preserve"> of the corresponding bin</w:t>
      </w:r>
      <w:r w:rsidR="001B3022">
        <w:rPr>
          <w:rFonts w:ascii="Calibri" w:hAnsi="Calibri"/>
        </w:rPr>
        <w:t>/trade</w:t>
      </w:r>
      <w:r w:rsidR="0034354D" w:rsidRPr="00CA728C">
        <w:rPr>
          <w:rFonts w:ascii="Calibri" w:hAnsi="Calibri"/>
        </w:rPr>
        <w:t>.</w:t>
      </w:r>
      <w:r w:rsidR="003C7E53" w:rsidRPr="00CA728C">
        <w:rPr>
          <w:rFonts w:ascii="Calibri" w:hAnsi="Calibri"/>
        </w:rPr>
        <w:t xml:space="preserve"> </w:t>
      </w:r>
      <w:r w:rsidR="00225671" w:rsidRPr="00CA728C">
        <w:rPr>
          <w:rFonts w:ascii="Calibri" w:hAnsi="Calibri"/>
        </w:rPr>
        <w:t xml:space="preserve"> </w:t>
      </w:r>
    </w:p>
    <w:p w14:paraId="6A63746A" w14:textId="19BE9553" w:rsidR="003C7E53" w:rsidRPr="00CA728C" w:rsidRDefault="003C7E53">
      <w:pPr>
        <w:rPr>
          <w:rFonts w:ascii="Calibri" w:hAnsi="Calibri"/>
        </w:rPr>
      </w:pPr>
      <m:oMathPara>
        <m:oMath>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ith bin classfied as buy</m:t>
                  </m:r>
                </m:e>
                <m:e>
                  <m:r>
                    <w:rPr>
                      <w:rFonts w:ascii="Cambria Math" w:hAnsi="Cambria Math"/>
                    </w:rPr>
                    <m:t xml:space="preserve">          0,  ith bin classified as  neutual</m:t>
                  </m:r>
                </m:e>
                <m:e>
                  <m:r>
                    <w:rPr>
                      <w:rFonts w:ascii="Cambria Math" w:hAnsi="Cambria Math"/>
                    </w:rPr>
                    <m:t xml:space="preserve">   -1,       ith bin classified as sell</m:t>
                  </m:r>
                </m:e>
              </m:eqArr>
            </m:e>
          </m:d>
        </m:oMath>
      </m:oMathPara>
    </w:p>
    <w:p w14:paraId="1CCC3373" w14:textId="6754269D" w:rsidR="007C7B9D" w:rsidRPr="00CA728C" w:rsidRDefault="007C7B9D">
      <w:pPr>
        <w:rPr>
          <w:rFonts w:ascii="Calibri" w:hAnsi="Calibri"/>
        </w:rPr>
      </w:pPr>
      <w:r w:rsidRPr="00CA728C">
        <w:rPr>
          <w:rFonts w:ascii="Calibri" w:hAnsi="Calibri"/>
        </w:rPr>
        <w:t xml:space="preserve">The classification method is explained in detail in the following </w:t>
      </w:r>
      <w:r w:rsidR="007239BA">
        <w:rPr>
          <w:rFonts w:ascii="Calibri" w:hAnsi="Calibri"/>
        </w:rPr>
        <w:t>section</w:t>
      </w:r>
      <w:r w:rsidRPr="00CA728C">
        <w:rPr>
          <w:rFonts w:ascii="Calibri" w:hAnsi="Calibri"/>
        </w:rPr>
        <w:t>.</w:t>
      </w:r>
    </w:p>
    <w:p w14:paraId="6051377E" w14:textId="3BA32799" w:rsidR="00A86C93" w:rsidRPr="00CA728C" w:rsidRDefault="00A86C93">
      <w:pPr>
        <w:rPr>
          <w:rFonts w:ascii="Calibri" w:hAnsi="Calibri"/>
          <w:b/>
        </w:rPr>
      </w:pPr>
      <w:r w:rsidRPr="00CA728C">
        <w:rPr>
          <w:rFonts w:ascii="Calibri" w:hAnsi="Calibri"/>
          <w:b/>
        </w:rPr>
        <w:t>Buy/Sell</w:t>
      </w:r>
      <w:r w:rsidR="001B4331" w:rsidRPr="00CA728C">
        <w:rPr>
          <w:rFonts w:ascii="Calibri" w:hAnsi="Calibri"/>
          <w:b/>
        </w:rPr>
        <w:t>/Neutral</w:t>
      </w:r>
      <w:r w:rsidRPr="00CA728C">
        <w:rPr>
          <w:rFonts w:ascii="Calibri" w:hAnsi="Calibri"/>
          <w:b/>
        </w:rPr>
        <w:t xml:space="preserve"> Classification:</w:t>
      </w:r>
    </w:p>
    <w:p w14:paraId="26CAD868" w14:textId="77777777" w:rsidR="00A86C93" w:rsidRPr="00CA728C" w:rsidRDefault="004C715F">
      <w:pPr>
        <w:rPr>
          <w:rFonts w:ascii="Calibri" w:hAnsi="Calibri"/>
        </w:rPr>
      </w:pPr>
      <w:r w:rsidRPr="00CA728C">
        <w:rPr>
          <w:rFonts w:ascii="Calibri" w:hAnsi="Calibri"/>
        </w:rPr>
        <w:t>Multiple buy/</w:t>
      </w:r>
      <w:r w:rsidR="00A86C93" w:rsidRPr="00CA728C">
        <w:rPr>
          <w:rFonts w:ascii="Calibri" w:hAnsi="Calibri"/>
        </w:rPr>
        <w:t>sell</w:t>
      </w:r>
      <w:r w:rsidR="00EF7CF5" w:rsidRPr="00CA728C">
        <w:rPr>
          <w:rFonts w:ascii="Calibri" w:hAnsi="Calibri"/>
        </w:rPr>
        <w:t>/neutral</w:t>
      </w:r>
      <w:r w:rsidR="00A86C93" w:rsidRPr="00CA728C">
        <w:rPr>
          <w:rFonts w:ascii="Calibri" w:hAnsi="Calibri"/>
        </w:rPr>
        <w:t xml:space="preserve"> classification schemes are explored:</w:t>
      </w:r>
    </w:p>
    <w:p w14:paraId="7D1D4F86" w14:textId="5C3D7A8D" w:rsidR="008C12FC" w:rsidRDefault="00C40A47" w:rsidP="004C715F">
      <w:pPr>
        <w:pStyle w:val="a3"/>
        <w:numPr>
          <w:ilvl w:val="0"/>
          <w:numId w:val="1"/>
        </w:numPr>
        <w:rPr>
          <w:rFonts w:ascii="Calibri" w:hAnsi="Calibri"/>
        </w:rPr>
      </w:pPr>
      <w:r>
        <w:rPr>
          <w:rFonts w:ascii="Calibri" w:hAnsi="Calibri"/>
        </w:rPr>
        <w:t>Modified “</w:t>
      </w:r>
      <w:r w:rsidR="004C715F" w:rsidRPr="00CA728C">
        <w:rPr>
          <w:rFonts w:ascii="Calibri" w:hAnsi="Calibri"/>
        </w:rPr>
        <w:t>Lee-Ready</w:t>
      </w:r>
      <w:r>
        <w:rPr>
          <w:rFonts w:ascii="Calibri" w:hAnsi="Calibri"/>
        </w:rPr>
        <w:t>”</w:t>
      </w:r>
      <w:r w:rsidR="004C715F" w:rsidRPr="00CA728C">
        <w:rPr>
          <w:rFonts w:ascii="Calibri" w:hAnsi="Calibri"/>
        </w:rPr>
        <w:t xml:space="preserve"> type classification based solely on trade data. </w:t>
      </w:r>
    </w:p>
    <w:p w14:paraId="4EDCDC61" w14:textId="64FEC4FD" w:rsidR="00A86C93" w:rsidRDefault="00725F0B" w:rsidP="008C12FC">
      <w:pPr>
        <w:ind w:left="720"/>
        <w:rPr>
          <w:rFonts w:ascii="Calibri" w:hAnsi="Calibri"/>
        </w:rPr>
      </w:pPr>
      <w:r w:rsidRPr="008C12FC">
        <w:rPr>
          <w:rFonts w:ascii="Calibri" w:hAnsi="Calibri"/>
        </w:rPr>
        <w:t>In this algorithm, transact</w:t>
      </w:r>
      <w:r w:rsidR="00BA4C46" w:rsidRPr="008C12FC">
        <w:rPr>
          <w:rFonts w:ascii="Calibri" w:hAnsi="Calibri"/>
        </w:rPr>
        <w:t xml:space="preserve">ional level prices for trades are used. A trade is classified as a buy trade if the transactional price at time t </w:t>
      </w:r>
      <w:r w:rsidR="00475AFC" w:rsidRPr="008C12FC">
        <w:rPr>
          <w:rFonts w:ascii="Calibri" w:hAnsi="Calibri"/>
        </w:rPr>
        <w:t xml:space="preserve">is higher than the price at t-1, and classified as a sell </w:t>
      </w:r>
      <w:r w:rsidR="00475AFC" w:rsidRPr="008C12FC">
        <w:rPr>
          <w:rFonts w:ascii="Calibri" w:hAnsi="Calibri"/>
        </w:rPr>
        <w:lastRenderedPageBreak/>
        <w:t>trade if the transactional price at time t is lower than the price at t-1.</w:t>
      </w:r>
      <w:r w:rsidR="00BA4C46" w:rsidRPr="008C12FC">
        <w:rPr>
          <w:rFonts w:ascii="Calibri" w:hAnsi="Calibri"/>
        </w:rPr>
        <w:t xml:space="preserve"> In case both transactional prices are identical, we look back</w:t>
      </w:r>
      <w:r w:rsidR="00EF7CF5" w:rsidRPr="008C12FC">
        <w:rPr>
          <w:rFonts w:ascii="Calibri" w:hAnsi="Calibri"/>
        </w:rPr>
        <w:t xml:space="preserve"> one period </w:t>
      </w:r>
      <w:r w:rsidR="00F24FB8" w:rsidRPr="008C12FC">
        <w:rPr>
          <w:rFonts w:ascii="Calibri" w:hAnsi="Calibri"/>
        </w:rPr>
        <w:t>(</w:t>
      </w:r>
      <w:r w:rsidR="00F2632D" w:rsidRPr="008C12FC">
        <w:rPr>
          <w:rFonts w:ascii="Calibri" w:hAnsi="Calibri"/>
        </w:rPr>
        <w:t xml:space="preserve">i.e. </w:t>
      </w:r>
      <w:r w:rsidR="00F24FB8" w:rsidRPr="008C12FC">
        <w:rPr>
          <w:rFonts w:ascii="Calibri" w:hAnsi="Calibri"/>
        </w:rPr>
        <w:t xml:space="preserve">t-2 to t-1 period) </w:t>
      </w:r>
      <w:r w:rsidR="00EF7CF5" w:rsidRPr="008C12FC">
        <w:rPr>
          <w:rFonts w:ascii="Calibri" w:hAnsi="Calibri"/>
        </w:rPr>
        <w:t xml:space="preserve">and follow the same procedure. The rationale behind this is in case of the tie, we implicitly </w:t>
      </w:r>
      <w:r w:rsidR="00CA6A5A" w:rsidRPr="008C12FC">
        <w:rPr>
          <w:rFonts w:ascii="Calibri" w:hAnsi="Calibri"/>
        </w:rPr>
        <w:t xml:space="preserve">assume </w:t>
      </w:r>
      <w:r w:rsidR="00EF7CF5" w:rsidRPr="008C12FC">
        <w:rPr>
          <w:rFonts w:ascii="Calibri" w:hAnsi="Calibri"/>
        </w:rPr>
        <w:t>the mo</w:t>
      </w:r>
      <w:r w:rsidR="00117D78" w:rsidRPr="008C12FC">
        <w:rPr>
          <w:rFonts w:ascii="Calibri" w:hAnsi="Calibri"/>
        </w:rPr>
        <w:t xml:space="preserve">mentum will continue. If the t-2 to t-1 </w:t>
      </w:r>
      <w:r w:rsidR="00EF7CF5" w:rsidRPr="008C12FC">
        <w:rPr>
          <w:rFonts w:ascii="Calibri" w:hAnsi="Calibri"/>
        </w:rPr>
        <w:t xml:space="preserve">period return is still 0, then we </w:t>
      </w:r>
      <w:r w:rsidR="00987D6E" w:rsidRPr="008C12FC">
        <w:rPr>
          <w:rFonts w:ascii="Calibri" w:hAnsi="Calibri"/>
        </w:rPr>
        <w:t xml:space="preserve">classify the bin of t-1 to t as </w:t>
      </w:r>
      <w:r w:rsidR="009F5A1A" w:rsidRPr="008C12FC">
        <w:rPr>
          <w:rFonts w:ascii="Calibri" w:hAnsi="Calibri"/>
        </w:rPr>
        <w:t>neutral</w:t>
      </w:r>
      <w:r w:rsidR="00987D6E" w:rsidRPr="008C12FC">
        <w:rPr>
          <w:rFonts w:ascii="Calibri" w:hAnsi="Calibri"/>
        </w:rPr>
        <w:t xml:space="preserve"> and return 0.</w:t>
      </w:r>
      <w:r w:rsidR="005A7D62">
        <w:rPr>
          <w:rFonts w:ascii="Calibri" w:hAnsi="Calibri"/>
        </w:rPr>
        <w:t xml:space="preserve"> (I.e</w:t>
      </w:r>
      <w:r w:rsidR="00EF7CF5" w:rsidRPr="008C12FC">
        <w:rPr>
          <w:rFonts w:ascii="Calibri" w:hAnsi="Calibri"/>
        </w:rPr>
        <w:t>. this particular trade has no weight in calculating signed order imbalance)</w:t>
      </w:r>
    </w:p>
    <w:p w14:paraId="34535FC0" w14:textId="5A6E540F" w:rsidR="00DB1EA4" w:rsidRDefault="00DB1EA4" w:rsidP="008C12FC">
      <w:pPr>
        <w:ind w:left="720"/>
        <w:rPr>
          <w:rFonts w:ascii="Calibri" w:hAnsi="Calibri"/>
        </w:rPr>
      </w:pPr>
      <w:r>
        <w:rPr>
          <w:rFonts w:ascii="Calibri" w:hAnsi="Calibri"/>
        </w:rPr>
        <w:t>Note our classification algorithm is inherently different from Lee-Ready</w:t>
      </w:r>
      <w:r w:rsidR="00C40A47">
        <w:rPr>
          <w:rFonts w:ascii="Calibri" w:hAnsi="Calibri"/>
        </w:rPr>
        <w:t>’s</w:t>
      </w:r>
      <w:r>
        <w:rPr>
          <w:rFonts w:ascii="Calibri" w:hAnsi="Calibri"/>
        </w:rPr>
        <w:t xml:space="preserve">, because it skips the first step in the Lee-Ready algorithm, which is to first compare the transaction price with the nearest available quote midpoint, and only proceed to trades comparison if the price falls in the middle of the quote midpoint, whereas in our algorithm we only utilize trades.  </w:t>
      </w:r>
    </w:p>
    <w:p w14:paraId="6BD3E4AD" w14:textId="27D4CE32" w:rsidR="00152767" w:rsidRPr="00C40A47" w:rsidRDefault="00152767" w:rsidP="008C12FC">
      <w:pPr>
        <w:ind w:left="720"/>
        <w:rPr>
          <w:rFonts w:ascii="Calibri" w:hAnsi="Calibri"/>
        </w:rPr>
      </w:pPr>
      <w:r>
        <w:rPr>
          <w:rFonts w:ascii="Calibri" w:hAnsi="Calibri"/>
        </w:rPr>
        <w:t xml:space="preserve">Interested readers are encouraged to refer to </w:t>
      </w:r>
      <w:r w:rsidR="00C40A47" w:rsidRPr="00C40A47">
        <w:rPr>
          <w:rFonts w:ascii="Calibri" w:hAnsi="Calibri"/>
        </w:rPr>
        <w:t>Lee and Ready’s research paper (Lee and Ready [1991])</w:t>
      </w:r>
      <w:r w:rsidR="005B49FF">
        <w:rPr>
          <w:rFonts w:ascii="Calibri" w:hAnsi="Calibri"/>
        </w:rPr>
        <w:t>. In the appendix, we also provide a short description of Lee-Ready algorithm for readers’ convenience.</w:t>
      </w:r>
    </w:p>
    <w:p w14:paraId="09FF63D6" w14:textId="77777777" w:rsidR="00682350" w:rsidRPr="00CA728C" w:rsidRDefault="00682350" w:rsidP="00682350">
      <w:pPr>
        <w:pStyle w:val="a3"/>
        <w:rPr>
          <w:rFonts w:ascii="Calibri" w:hAnsi="Calibri"/>
        </w:rPr>
      </w:pPr>
    </w:p>
    <w:p w14:paraId="35C0BBAF" w14:textId="0AE6B58B" w:rsidR="008C12FC" w:rsidRDefault="00AF4928" w:rsidP="0057456A">
      <w:pPr>
        <w:ind w:left="360"/>
        <w:rPr>
          <w:rFonts w:ascii="Calibri" w:hAnsi="Calibri"/>
        </w:rPr>
      </w:pPr>
      <w:r>
        <w:rPr>
          <w:rFonts w:ascii="Calibri" w:hAnsi="Calibri"/>
        </w:rPr>
        <w:t xml:space="preserve">2a) </w:t>
      </w:r>
      <w:r w:rsidR="0057456A" w:rsidRPr="00AF4928">
        <w:rPr>
          <w:rFonts w:ascii="Calibri" w:hAnsi="Calibri"/>
        </w:rPr>
        <w:t xml:space="preserve">Nearest quotes with </w:t>
      </w:r>
      <w:r w:rsidR="0057456A">
        <w:rPr>
          <w:rFonts w:ascii="Calibri" w:hAnsi="Calibri"/>
        </w:rPr>
        <w:t xml:space="preserve">different range of quotes </w:t>
      </w:r>
      <w:r w:rsidR="0057456A" w:rsidRPr="00AF4928">
        <w:rPr>
          <w:rFonts w:ascii="Calibri" w:hAnsi="Calibri"/>
        </w:rPr>
        <w:t>delay</w:t>
      </w:r>
      <w:r w:rsidR="0057456A">
        <w:rPr>
          <w:rFonts w:ascii="Calibri" w:hAnsi="Calibri"/>
        </w:rPr>
        <w:t>s</w:t>
      </w:r>
      <w:r w:rsidR="0057456A" w:rsidRPr="00AF4928">
        <w:rPr>
          <w:rFonts w:ascii="Calibri" w:hAnsi="Calibri"/>
        </w:rPr>
        <w:t xml:space="preserve">. </w:t>
      </w:r>
    </w:p>
    <w:p w14:paraId="62C7FB4A" w14:textId="20F36D9C" w:rsidR="002A098F" w:rsidRPr="00E01630" w:rsidRDefault="00AD7121" w:rsidP="008C12FC">
      <w:pPr>
        <w:pStyle w:val="a3"/>
        <w:rPr>
          <w:rFonts w:ascii="Calibri" w:hAnsi="Calibri"/>
        </w:rPr>
      </w:pPr>
      <w:r w:rsidRPr="00E01630">
        <w:rPr>
          <w:rFonts w:ascii="Calibri" w:hAnsi="Calibri"/>
        </w:rPr>
        <w:t>For each trade, t</w:t>
      </w:r>
      <w:r w:rsidR="00682350" w:rsidRPr="00E01630">
        <w:rPr>
          <w:rFonts w:ascii="Calibri" w:hAnsi="Calibri"/>
        </w:rPr>
        <w:t xml:space="preserve">his algorithm looks at the </w:t>
      </w:r>
      <w:r w:rsidRPr="00E01630">
        <w:rPr>
          <w:rFonts w:ascii="Calibri" w:hAnsi="Calibri"/>
        </w:rPr>
        <w:t xml:space="preserve">nearest available quote </w:t>
      </w:r>
      <w:r w:rsidR="006C3F8F" w:rsidRPr="00E01630">
        <w:rPr>
          <w:rFonts w:ascii="Calibri" w:hAnsi="Calibri"/>
        </w:rPr>
        <w:t xml:space="preserve">ahead of it </w:t>
      </w:r>
      <w:r w:rsidRPr="00E01630">
        <w:rPr>
          <w:rFonts w:ascii="Calibri" w:hAnsi="Calibri"/>
        </w:rPr>
        <w:t xml:space="preserve">(in terms of </w:t>
      </w:r>
      <w:r w:rsidR="0014002F" w:rsidRPr="00E01630">
        <w:rPr>
          <w:rFonts w:ascii="Calibri" w:hAnsi="Calibri"/>
        </w:rPr>
        <w:t xml:space="preserve">exchange </w:t>
      </w:r>
      <w:r w:rsidRPr="00E01630">
        <w:rPr>
          <w:rFonts w:ascii="Calibri" w:hAnsi="Calibri"/>
        </w:rPr>
        <w:t>time). If the transacted price is closer to the bid of the quote, we classify the trade as a sell by setting b to -1 (i.e. we are taking the bid). Alternatively if the transacted price is closer to the ask of the quote, the trade is classified as a buy (or b = 1)</w:t>
      </w:r>
      <w:r w:rsidR="00C52A6C" w:rsidRPr="00E01630">
        <w:rPr>
          <w:rFonts w:ascii="Calibri" w:hAnsi="Calibri"/>
        </w:rPr>
        <w:t xml:space="preserve">. If the transacted price is equidistant, we assigned the trade as neutral. </w:t>
      </w:r>
    </w:p>
    <w:p w14:paraId="00767259" w14:textId="71B493F4" w:rsidR="001B5B7D" w:rsidRPr="00823B62" w:rsidRDefault="009133A8" w:rsidP="00C42E10">
      <w:pPr>
        <w:pStyle w:val="a3"/>
        <w:rPr>
          <w:rFonts w:ascii="Calibri" w:hAnsi="Calibri"/>
        </w:rPr>
      </w:pPr>
      <w:r w:rsidRPr="00CA728C">
        <w:rPr>
          <w:rFonts w:ascii="Calibri" w:hAnsi="Calibri"/>
        </w:rPr>
        <w:t>The tra</w:t>
      </w:r>
      <w:r w:rsidR="00F23EE2">
        <w:rPr>
          <w:rFonts w:ascii="Calibri" w:hAnsi="Calibri"/>
        </w:rPr>
        <w:t>des reported to the consolidated tape are usually later than the reported quotes. In order t</w:t>
      </w:r>
      <w:r w:rsidR="00CC25AA" w:rsidRPr="00CA728C">
        <w:rPr>
          <w:rFonts w:ascii="Calibri" w:hAnsi="Calibri"/>
        </w:rPr>
        <w:t>o</w:t>
      </w:r>
      <w:r w:rsidR="00F23EE2">
        <w:rPr>
          <w:rFonts w:ascii="Calibri" w:hAnsi="Calibri"/>
        </w:rPr>
        <w:t xml:space="preserve"> remedy the problem</w:t>
      </w:r>
      <w:r w:rsidR="002A098F" w:rsidRPr="00CA728C">
        <w:rPr>
          <w:rFonts w:ascii="Calibri" w:hAnsi="Calibri"/>
        </w:rPr>
        <w:t xml:space="preserve">, we introduce </w:t>
      </w:r>
      <w:r w:rsidR="0057456A">
        <w:rPr>
          <w:rFonts w:ascii="Calibri" w:hAnsi="Calibri"/>
        </w:rPr>
        <w:t>different range of</w:t>
      </w:r>
      <w:r w:rsidR="00F23EE2">
        <w:rPr>
          <w:rFonts w:ascii="Calibri" w:hAnsi="Calibri"/>
        </w:rPr>
        <w:t xml:space="preserve"> </w:t>
      </w:r>
      <w:r w:rsidR="002A098F" w:rsidRPr="00CA728C">
        <w:rPr>
          <w:rFonts w:ascii="Calibri" w:hAnsi="Calibri"/>
        </w:rPr>
        <w:t>delay</w:t>
      </w:r>
      <w:r w:rsidR="00F23EE2">
        <w:rPr>
          <w:rFonts w:ascii="Calibri" w:hAnsi="Calibri"/>
        </w:rPr>
        <w:t>s</w:t>
      </w:r>
      <w:r w:rsidR="002A098F" w:rsidRPr="00CA728C">
        <w:rPr>
          <w:rFonts w:ascii="Calibri" w:hAnsi="Calibri"/>
        </w:rPr>
        <w:t xml:space="preserve"> to the quotes and follow the same</w:t>
      </w:r>
      <w:r w:rsidR="005C12D8" w:rsidRPr="00CA728C">
        <w:rPr>
          <w:rFonts w:ascii="Calibri" w:hAnsi="Calibri"/>
        </w:rPr>
        <w:t xml:space="preserve"> algorithm</w:t>
      </w:r>
      <w:r w:rsidR="008C05A3" w:rsidRPr="00CA728C">
        <w:rPr>
          <w:rFonts w:ascii="Calibri" w:hAnsi="Calibri"/>
        </w:rPr>
        <w:t xml:space="preserve"> for classification</w:t>
      </w:r>
      <w:r w:rsidR="005C12D8" w:rsidRPr="00CA728C">
        <w:rPr>
          <w:rFonts w:ascii="Calibri" w:hAnsi="Calibri"/>
        </w:rPr>
        <w:t xml:space="preserve">. </w:t>
      </w:r>
      <w:r w:rsidR="008C12FC">
        <w:rPr>
          <w:rFonts w:ascii="Calibri" w:hAnsi="Calibri"/>
        </w:rPr>
        <w:t xml:space="preserve">Interested readers can refer to </w:t>
      </w:r>
      <w:r w:rsidR="00823B62">
        <w:rPr>
          <w:rFonts w:ascii="Calibri" w:hAnsi="Calibri"/>
        </w:rPr>
        <w:t>Lee-Ready’s paper (Lee and Ready [1991]), in</w:t>
      </w:r>
      <w:r w:rsidR="0057456A">
        <w:rPr>
          <w:rFonts w:ascii="Calibri" w:hAnsi="Calibri"/>
        </w:rPr>
        <w:t xml:space="preserve"> which they discussed about how to calculate the </w:t>
      </w:r>
      <w:r w:rsidR="00823B62">
        <w:rPr>
          <w:rFonts w:ascii="Calibri" w:hAnsi="Calibri"/>
        </w:rPr>
        <w:t xml:space="preserve">optimal delay. </w:t>
      </w:r>
    </w:p>
    <w:p w14:paraId="7B1DF33C" w14:textId="77777777" w:rsidR="005C12D8" w:rsidRPr="00CA728C" w:rsidRDefault="005C12D8" w:rsidP="002A098F">
      <w:pPr>
        <w:pStyle w:val="a3"/>
        <w:rPr>
          <w:rFonts w:ascii="Calibri" w:hAnsi="Calibri"/>
        </w:rPr>
      </w:pPr>
    </w:p>
    <w:p w14:paraId="430E269B" w14:textId="57A1AB6E" w:rsidR="008C12FC" w:rsidRPr="00AF4928" w:rsidRDefault="00AF4928" w:rsidP="00AF4928">
      <w:pPr>
        <w:ind w:left="360"/>
        <w:rPr>
          <w:rFonts w:ascii="Calibri" w:hAnsi="Calibri"/>
        </w:rPr>
      </w:pPr>
      <w:r>
        <w:rPr>
          <w:rFonts w:ascii="Calibri" w:hAnsi="Calibri"/>
        </w:rPr>
        <w:t xml:space="preserve">2b) </w:t>
      </w:r>
      <w:r w:rsidR="008C12FC" w:rsidRPr="00AF4928">
        <w:rPr>
          <w:rFonts w:ascii="Calibri" w:hAnsi="Calibri"/>
        </w:rPr>
        <w:t xml:space="preserve">Time weighted EMA quotes classification. </w:t>
      </w:r>
    </w:p>
    <w:p w14:paraId="76297231" w14:textId="77777777" w:rsidR="008C12FC" w:rsidRDefault="008C12FC" w:rsidP="008C12FC">
      <w:pPr>
        <w:pStyle w:val="a3"/>
        <w:rPr>
          <w:rFonts w:ascii="Calibri" w:hAnsi="Calibri"/>
        </w:rPr>
      </w:pPr>
    </w:p>
    <w:p w14:paraId="47093F9B" w14:textId="6780D338" w:rsidR="002A098F" w:rsidRDefault="003B7677" w:rsidP="008C12FC">
      <w:pPr>
        <w:pStyle w:val="a3"/>
        <w:rPr>
          <w:rFonts w:ascii="Calibri" w:hAnsi="Calibri"/>
        </w:rPr>
      </w:pPr>
      <w:r w:rsidRPr="008C12FC">
        <w:rPr>
          <w:rFonts w:ascii="Calibri" w:hAnsi="Calibri"/>
        </w:rPr>
        <w:t xml:space="preserve">The third classification scheme </w:t>
      </w:r>
      <w:r w:rsidR="008C12FC">
        <w:rPr>
          <w:rFonts w:ascii="Calibri" w:hAnsi="Calibri"/>
        </w:rPr>
        <w:t xml:space="preserve">first </w:t>
      </w:r>
      <w:r w:rsidRPr="008C12FC">
        <w:rPr>
          <w:rFonts w:ascii="Calibri" w:hAnsi="Calibri"/>
        </w:rPr>
        <w:t>involves calculating time weighted EMAs of all the quotes, and starting with the nearest EMA quote, technique 2)</w:t>
      </w:r>
      <w:r w:rsidR="009875B7" w:rsidRPr="008C12FC">
        <w:rPr>
          <w:rFonts w:ascii="Calibri" w:hAnsi="Calibri"/>
        </w:rPr>
        <w:t xml:space="preserve"> </w:t>
      </w:r>
      <w:r w:rsidR="008C12FC">
        <w:rPr>
          <w:rFonts w:ascii="Calibri" w:hAnsi="Calibri"/>
        </w:rPr>
        <w:t>is then applied, with the only change being the usage of EMA quotes instead of regular quotes.</w:t>
      </w:r>
    </w:p>
    <w:p w14:paraId="14B6571C" w14:textId="77777777" w:rsidR="00B56CBF" w:rsidRPr="00CA728C" w:rsidRDefault="00B56CBF" w:rsidP="00B56CBF">
      <w:pPr>
        <w:ind w:firstLine="720"/>
        <w:rPr>
          <w:rFonts w:ascii="Calibri" w:hAnsi="Calibri"/>
        </w:rPr>
      </w:pPr>
      <w:r w:rsidRPr="00CA728C">
        <w:rPr>
          <w:rFonts w:ascii="Calibri" w:hAnsi="Calibri"/>
        </w:rPr>
        <w:t>The EMA calculation is defined as:</w:t>
      </w:r>
    </w:p>
    <w:p w14:paraId="32388691" w14:textId="02A03F15" w:rsidR="00B56CBF" w:rsidRPr="00CA728C" w:rsidRDefault="002226D8" w:rsidP="004B1591">
      <w:pPr>
        <w:ind w:left="1800" w:firstLine="720"/>
        <w:rPr>
          <w:rFonts w:ascii="Calibri" w:hAnsi="Calibri"/>
        </w:rPr>
      </w:pPr>
      <m:oMath>
        <m:sSub>
          <m:sSubPr>
            <m:ctrlPr>
              <w:rPr>
                <w:rFonts w:ascii="Cambria Math" w:hAnsi="Cambria Math"/>
                <w:i/>
              </w:rPr>
            </m:ctrlPr>
          </m:sSubPr>
          <m:e>
            <m:r>
              <w:rPr>
                <w:rFonts w:ascii="Cambria Math" w:hAnsi="Cambria Math"/>
              </w:rPr>
              <m:t>Q</m:t>
            </m:r>
          </m:e>
          <m:sub>
            <m:r>
              <w:rPr>
                <w:rFonts w:ascii="Cambria Math" w:hAnsi="Cambria Math"/>
              </w:rPr>
              <m:t>EMA(t)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t</m:t>
                </m:r>
              </m:sup>
              <m:e>
                <m:r>
                  <w:rPr>
                    <w:rFonts w:ascii="Cambria Math" w:hAnsi="Cambria Math"/>
                  </w:rPr>
                  <m:t>weight(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ub>
                </m:sSub>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t</m:t>
                </m:r>
              </m:sup>
              <m:e>
                <m:r>
                  <w:rPr>
                    <w:rFonts w:ascii="Cambria Math" w:hAnsi="Cambria Math"/>
                  </w:rPr>
                  <m:t>weight(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den>
        </m:f>
        <m:r>
          <w:rPr>
            <w:rFonts w:ascii="Cambria Math" w:hAnsi="Cambria Math"/>
          </w:rPr>
          <m:t xml:space="preserve"> , t∈</m:t>
        </m:r>
        <m:d>
          <m:dPr>
            <m:begChr m:val="["/>
            <m:endChr m:val="]"/>
            <m:ctrlPr>
              <w:rPr>
                <w:rFonts w:ascii="Cambria Math" w:hAnsi="Cambria Math"/>
                <w:i/>
              </w:rPr>
            </m:ctrlPr>
          </m:dPr>
          <m:e>
            <m:r>
              <w:rPr>
                <w:rFonts w:ascii="Cambria Math" w:hAnsi="Cambria Math"/>
              </w:rPr>
              <m:t>0,T</m:t>
            </m:r>
          </m:e>
        </m:d>
      </m:oMath>
      <w:r w:rsidR="004B1591">
        <w:rPr>
          <w:rFonts w:ascii="Calibri" w:hAnsi="Calibri"/>
        </w:rPr>
        <w:t xml:space="preserve">                                                       </w:t>
      </w:r>
      <w:r w:rsidR="004B1591" w:rsidRPr="004B1591">
        <w:rPr>
          <w:rFonts w:ascii="Calibri" w:hAnsi="Calibri"/>
          <w:b/>
        </w:rPr>
        <w:t>(2)</w:t>
      </w:r>
    </w:p>
    <w:p w14:paraId="4124ACF4" w14:textId="58A0AFF7" w:rsidR="005360AB" w:rsidRPr="00B56CBF" w:rsidRDefault="00B56CBF" w:rsidP="004B1591">
      <w:pPr>
        <w:ind w:left="2520" w:firstLine="360"/>
        <w:rPr>
          <w:rFonts w:ascii="Calibri" w:hAnsi="Calibri"/>
        </w:rPr>
      </w:pPr>
      <m:oMath>
        <m:r>
          <w:rPr>
            <w:rFonts w:ascii="Cambria Math" w:hAnsi="Cambria Math"/>
          </w:rPr>
          <m:t>weight</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decay×</m:t>
                </m:r>
                <m:nary>
                  <m:naryPr>
                    <m:chr m:val="∑"/>
                    <m:limLoc m:val="undOvr"/>
                    <m:subHide m:val="1"/>
                    <m:supHide m:val="1"/>
                    <m:ctrlPr>
                      <w:rPr>
                        <w:rFonts w:ascii="Cambria Math" w:hAnsi="Cambria Math"/>
                        <w:i/>
                      </w:rPr>
                    </m:ctrlPr>
                  </m:naryPr>
                  <m:sub/>
                  <m:sup/>
                  <m:e>
                    <m:r>
                      <w:rPr>
                        <w:rFonts w:ascii="Cambria Math" w:hAnsi="Cambria Math"/>
                      </w:rPr>
                      <m:t>∆t</m:t>
                    </m:r>
                  </m:e>
                </m:nary>
              </m:e>
            </m:d>
          </m:sup>
        </m:sSup>
        <m:r>
          <w:rPr>
            <w:rFonts w:ascii="Cambria Math" w:hAnsi="Cambria Math"/>
          </w:rPr>
          <m:t>, t∈</m:t>
        </m:r>
        <m:d>
          <m:dPr>
            <m:begChr m:val="["/>
            <m:endChr m:val="]"/>
            <m:ctrlPr>
              <w:rPr>
                <w:rFonts w:ascii="Cambria Math" w:hAnsi="Cambria Math"/>
                <w:i/>
              </w:rPr>
            </m:ctrlPr>
          </m:dPr>
          <m:e>
            <m:r>
              <w:rPr>
                <w:rFonts w:ascii="Cambria Math" w:hAnsi="Cambria Math"/>
              </w:rPr>
              <m:t>0,T</m:t>
            </m:r>
          </m:e>
        </m:d>
      </m:oMath>
      <w:r w:rsidR="004B1591">
        <w:rPr>
          <w:rFonts w:ascii="Calibri" w:hAnsi="Calibri"/>
        </w:rPr>
        <w:t xml:space="preserve">                                                          </w:t>
      </w:r>
      <w:r w:rsidR="004B1591" w:rsidRPr="004B1591">
        <w:rPr>
          <w:rFonts w:ascii="Calibri" w:hAnsi="Calibri"/>
          <w:b/>
        </w:rPr>
        <w:t>(3)</w:t>
      </w:r>
    </w:p>
    <w:p w14:paraId="51A6EB72" w14:textId="615F1A0D" w:rsidR="005360AB" w:rsidRPr="00AF4928" w:rsidRDefault="005360AB" w:rsidP="00AF4928">
      <w:pPr>
        <w:pStyle w:val="a3"/>
        <w:numPr>
          <w:ilvl w:val="0"/>
          <w:numId w:val="14"/>
        </w:numPr>
        <w:rPr>
          <w:rFonts w:ascii="Calibri" w:hAnsi="Calibri"/>
        </w:rPr>
      </w:pPr>
      <w:r w:rsidRPr="00AF4928">
        <w:rPr>
          <w:rFonts w:ascii="Calibri" w:hAnsi="Calibri"/>
        </w:rPr>
        <w:t xml:space="preserve">Classic Lee-Ready with and without delay. </w:t>
      </w:r>
    </w:p>
    <w:p w14:paraId="6967E1D3" w14:textId="77777777" w:rsidR="001B3022" w:rsidRDefault="001B3022" w:rsidP="001B3022">
      <w:pPr>
        <w:pStyle w:val="a3"/>
        <w:rPr>
          <w:rFonts w:ascii="Calibri" w:hAnsi="Calibri"/>
        </w:rPr>
      </w:pPr>
    </w:p>
    <w:p w14:paraId="3284289C" w14:textId="1316B69A" w:rsidR="001B3022" w:rsidRDefault="001B3022" w:rsidP="00AF4928">
      <w:pPr>
        <w:pStyle w:val="a3"/>
        <w:numPr>
          <w:ilvl w:val="0"/>
          <w:numId w:val="14"/>
        </w:numPr>
        <w:rPr>
          <w:rFonts w:ascii="Calibri" w:hAnsi="Calibri"/>
        </w:rPr>
      </w:pPr>
      <w:r>
        <w:rPr>
          <w:rFonts w:ascii="Calibri" w:hAnsi="Calibri"/>
        </w:rPr>
        <w:lastRenderedPageBreak/>
        <w:t xml:space="preserve">Classic Lee-Ready with and without delay using EMA mid quotes. </w:t>
      </w:r>
    </w:p>
    <w:p w14:paraId="3995CF52" w14:textId="7A577D17" w:rsidR="00BA768C" w:rsidRPr="00CA728C" w:rsidRDefault="00304165" w:rsidP="00BA768C">
      <w:pPr>
        <w:ind w:left="360"/>
        <w:rPr>
          <w:rFonts w:ascii="Calibri" w:hAnsi="Calibri"/>
          <w:b/>
        </w:rPr>
      </w:pPr>
      <w:r>
        <w:rPr>
          <w:rFonts w:ascii="Calibri" w:hAnsi="Calibri"/>
          <w:b/>
        </w:rPr>
        <w:t xml:space="preserve">Tick Data with Time bucketing </w:t>
      </w:r>
      <w:r w:rsidR="00A545F9" w:rsidRPr="00CA728C">
        <w:rPr>
          <w:rFonts w:ascii="Calibri" w:hAnsi="Calibri"/>
          <w:b/>
        </w:rPr>
        <w:t>Analysis</w:t>
      </w:r>
      <w:r w:rsidR="008D331D" w:rsidRPr="00CA728C">
        <w:rPr>
          <w:rFonts w:ascii="Calibri" w:hAnsi="Calibri"/>
          <w:b/>
        </w:rPr>
        <w:t>:</w:t>
      </w:r>
    </w:p>
    <w:p w14:paraId="48D9EC0F" w14:textId="77777777" w:rsidR="00E30EF7" w:rsidRPr="00CA728C" w:rsidRDefault="00C76B3F" w:rsidP="003B7677">
      <w:pPr>
        <w:ind w:left="360"/>
        <w:rPr>
          <w:rFonts w:ascii="Calibri" w:hAnsi="Calibri"/>
        </w:rPr>
      </w:pPr>
      <w:r w:rsidRPr="00CA728C">
        <w:rPr>
          <w:rFonts w:ascii="Calibri" w:hAnsi="Calibri"/>
        </w:rPr>
        <w:t xml:space="preserve">Before proceeding to building an actual predictive model, it is important to first ascertain our intuition that SOI is well correlated with price returns. </w:t>
      </w:r>
      <w:r w:rsidR="008B7879" w:rsidRPr="00CA728C">
        <w:rPr>
          <w:rFonts w:ascii="Calibri" w:hAnsi="Calibri"/>
        </w:rPr>
        <w:t xml:space="preserve">The simple linear regression </w:t>
      </w:r>
      <w:r w:rsidRPr="00CA728C">
        <w:rPr>
          <w:rFonts w:ascii="Calibri" w:hAnsi="Calibri"/>
        </w:rPr>
        <w:t>model we used to verify is as follows:</w:t>
      </w:r>
    </w:p>
    <w:p w14:paraId="21D01425" w14:textId="015728E6" w:rsidR="007D0333" w:rsidRPr="00CA728C" w:rsidRDefault="00A96B8A" w:rsidP="00E85402">
      <w:pPr>
        <w:ind w:left="2520"/>
        <w:jc w:val="center"/>
        <w:rPr>
          <w:rFonts w:ascii="Calibri" w:hAnsi="Calibri"/>
        </w:rPr>
      </w:pPr>
      <m:oMath>
        <m:r>
          <w:rPr>
            <w:rFonts w:ascii="Cambria Math" w:hAnsi="Cambria Math"/>
          </w:rPr>
          <m:t>PReturn</m:t>
        </m:r>
        <m:d>
          <m:dPr>
            <m:ctrlPr>
              <w:rPr>
                <w:rFonts w:ascii="Cambria Math" w:hAnsi="Cambria Math"/>
                <w:i/>
              </w:rPr>
            </m:ctrlPr>
          </m:dPr>
          <m:e>
            <m:r>
              <w:rPr>
                <w:rFonts w:ascii="Cambria Math" w:hAnsi="Cambria Math"/>
              </w:rPr>
              <m:t>k</m:t>
            </m:r>
          </m:e>
        </m:d>
        <m:r>
          <w:rPr>
            <w:rFonts w:ascii="Cambria Math" w:hAnsi="Cambria Math"/>
          </w:rPr>
          <m:t>= α+β∙</m:t>
        </m:r>
        <m:sSub>
          <m:sSubPr>
            <m:ctrlPr>
              <w:rPr>
                <w:rFonts w:ascii="Cambria Math" w:hAnsi="Cambria Math"/>
                <w:i/>
              </w:rPr>
            </m:ctrlPr>
          </m:sSubPr>
          <m:e>
            <m:r>
              <w:rPr>
                <w:rFonts w:ascii="Cambria Math" w:hAnsi="Cambria Math"/>
              </w:rPr>
              <m:t>SOI</m:t>
            </m:r>
          </m:e>
          <m:sub>
            <m:r>
              <w:rPr>
                <w:rFonts w:ascii="Cambria Math" w:hAnsi="Cambria Math"/>
              </w:rPr>
              <m:t>tick, time</m:t>
            </m:r>
          </m:sub>
        </m:sSub>
        <m:d>
          <m:dPr>
            <m:ctrlPr>
              <w:rPr>
                <w:rFonts w:ascii="Cambria Math" w:hAnsi="Cambria Math"/>
                <w:i/>
              </w:rPr>
            </m:ctrlPr>
          </m:dPr>
          <m:e>
            <m:r>
              <w:rPr>
                <w:rFonts w:ascii="Cambria Math" w:hAnsi="Cambria Math"/>
              </w:rPr>
              <m:t>k</m:t>
            </m:r>
          </m:e>
        </m:d>
        <m:r>
          <w:rPr>
            <w:rFonts w:ascii="Cambria Math" w:hAnsi="Cambria Math"/>
          </w:rPr>
          <m:t>+ ε</m:t>
        </m:r>
        <m:d>
          <m:dPr>
            <m:ctrlPr>
              <w:rPr>
                <w:rFonts w:ascii="Cambria Math" w:hAnsi="Cambria Math"/>
                <w:i/>
              </w:rPr>
            </m:ctrlPr>
          </m:dPr>
          <m:e>
            <m:r>
              <w:rPr>
                <w:rFonts w:ascii="Cambria Math" w:hAnsi="Cambria Math"/>
              </w:rPr>
              <m:t>k</m:t>
            </m:r>
          </m:e>
        </m:d>
      </m:oMath>
      <w:r w:rsidR="007F6862" w:rsidRPr="00CA728C">
        <w:rPr>
          <w:rFonts w:ascii="Calibri" w:hAnsi="Calibri"/>
        </w:rPr>
        <w:t>,</w:t>
      </w:r>
      <w:r w:rsidR="00E85402">
        <w:rPr>
          <w:rFonts w:ascii="Calibri" w:hAnsi="Calibri"/>
        </w:rPr>
        <w:t xml:space="preserve">                                            </w:t>
      </w:r>
      <w:r w:rsidR="00E85402" w:rsidRPr="00E85402">
        <w:rPr>
          <w:rFonts w:ascii="Calibri" w:hAnsi="Calibri"/>
          <w:b/>
        </w:rPr>
        <w:t>(4)</w:t>
      </w:r>
    </w:p>
    <w:p w14:paraId="6B41D19D" w14:textId="19A314CC" w:rsidR="00C76B3F" w:rsidRPr="003A1540" w:rsidRDefault="007D0333" w:rsidP="004E1C6C">
      <w:pPr>
        <w:pStyle w:val="a3"/>
        <w:ind w:left="1800" w:firstLine="360"/>
        <w:rPr>
          <w:rFonts w:ascii="Calibri" w:hAnsi="Calibri"/>
        </w:rPr>
      </w:pPr>
      <m:oMath>
        <m:r>
          <w:rPr>
            <w:rFonts w:ascii="Cambria Math" w:hAnsi="Cambria Math"/>
          </w:rPr>
          <m:t>PReturn</m:t>
        </m:r>
        <m:d>
          <m:dPr>
            <m:ctrlPr>
              <w:rPr>
                <w:rFonts w:ascii="Cambria Math" w:hAnsi="Cambria Math"/>
                <w:i/>
              </w:rPr>
            </m:ctrlPr>
          </m:dPr>
          <m:e>
            <m:r>
              <w:rPr>
                <w:rFonts w:ascii="Cambria Math" w:hAnsi="Cambria Math"/>
              </w:rPr>
              <m:t>k</m:t>
            </m:r>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 xml:space="preserve">last </m:t>
            </m:r>
            <m:sSub>
              <m:sSubPr>
                <m:ctrlPr>
                  <w:rPr>
                    <w:rFonts w:ascii="Cambria Math" w:hAnsi="Cambria Math"/>
                    <w:i/>
                  </w:rPr>
                </m:ctrlPr>
              </m:sSubPr>
              <m:e>
                <m:r>
                  <w:rPr>
                    <w:rFonts w:ascii="Cambria Math" w:hAnsi="Cambria Math"/>
                  </w:rPr>
                  <m:t>Quotes</m:t>
                </m:r>
              </m:e>
              <m:sub>
                <m:r>
                  <w:rPr>
                    <w:rFonts w:ascii="Cambria Math" w:hAnsi="Cambria Math"/>
                  </w:rPr>
                  <m:t>mid</m:t>
                </m:r>
              </m:sub>
            </m:sSub>
            <m:r>
              <w:rPr>
                <w:rFonts w:ascii="Cambria Math" w:hAnsi="Cambria Math"/>
              </w:rPr>
              <m:t xml:space="preserve"> in the kth bucket</m:t>
            </m:r>
          </m:num>
          <m:den>
            <m:r>
              <w:rPr>
                <w:rFonts w:ascii="Cambria Math" w:hAnsi="Cambria Math"/>
              </w:rPr>
              <m:t xml:space="preserve">last </m:t>
            </m:r>
            <m:sSub>
              <m:sSubPr>
                <m:ctrlPr>
                  <w:rPr>
                    <w:rFonts w:ascii="Cambria Math" w:hAnsi="Cambria Math"/>
                    <w:i/>
                  </w:rPr>
                </m:ctrlPr>
              </m:sSubPr>
              <m:e>
                <m:r>
                  <w:rPr>
                    <w:rFonts w:ascii="Cambria Math" w:hAnsi="Cambria Math"/>
                  </w:rPr>
                  <m:t>Quotes</m:t>
                </m:r>
              </m:e>
              <m:sub>
                <m:r>
                  <w:rPr>
                    <w:rFonts w:ascii="Cambria Math" w:hAnsi="Cambria Math"/>
                  </w:rPr>
                  <m:t>mid</m:t>
                </m:r>
              </m:sub>
            </m:sSub>
            <m:r>
              <w:rPr>
                <w:rFonts w:ascii="Cambria Math" w:hAnsi="Cambria Math"/>
              </w:rPr>
              <m:t xml:space="preserve"> in the (k-1)th bucket</m:t>
            </m:r>
          </m:den>
        </m:f>
        <m:r>
          <w:rPr>
            <w:rFonts w:ascii="Cambria Math" w:hAnsi="Cambria Math"/>
          </w:rPr>
          <m:t>)</m:t>
        </m:r>
      </m:oMath>
      <w:r w:rsidR="004E1C6C">
        <w:rPr>
          <w:rFonts w:ascii="Calibri" w:hAnsi="Calibri"/>
        </w:rPr>
        <w:t xml:space="preserve">                                          </w:t>
      </w:r>
      <w:r w:rsidR="004E1C6C" w:rsidRPr="004E1C6C">
        <w:rPr>
          <w:rFonts w:ascii="Calibri" w:hAnsi="Calibri"/>
          <w:b/>
        </w:rPr>
        <w:t>(5)</w:t>
      </w:r>
    </w:p>
    <w:p w14:paraId="3E5E2FC8" w14:textId="77777777" w:rsidR="003A1540" w:rsidRPr="003A1540" w:rsidRDefault="003A1540" w:rsidP="0061098D">
      <w:pPr>
        <w:pStyle w:val="a3"/>
        <w:ind w:left="360"/>
        <w:rPr>
          <w:rFonts w:ascii="Calibri" w:hAnsi="Calibri"/>
        </w:rPr>
      </w:pPr>
    </w:p>
    <w:p w14:paraId="3E5BD89C" w14:textId="5FF0BF0B" w:rsidR="003A1540" w:rsidRDefault="003A1540" w:rsidP="0061098D">
      <w:pPr>
        <w:pStyle w:val="a3"/>
        <w:ind w:left="360"/>
        <w:rPr>
          <w:rFonts w:ascii="Calibri" w:hAnsi="Calibri"/>
        </w:rPr>
      </w:pPr>
      <w:r>
        <w:rPr>
          <w:rFonts w:ascii="Calibri" w:hAnsi="Calibri"/>
        </w:rPr>
        <w:t xml:space="preserve">Here we define </w:t>
      </w:r>
      <m:oMath>
        <m:sSub>
          <m:sSubPr>
            <m:ctrlPr>
              <w:rPr>
                <w:rFonts w:ascii="Cambria Math" w:hAnsi="Cambria Math"/>
                <w:i/>
              </w:rPr>
            </m:ctrlPr>
          </m:sSubPr>
          <m:e>
            <m:r>
              <w:rPr>
                <w:rFonts w:ascii="Cambria Math" w:hAnsi="Cambria Math"/>
              </w:rPr>
              <m:t>SOI</m:t>
            </m:r>
          </m:e>
          <m:sub>
            <m:r>
              <w:rPr>
                <w:rFonts w:ascii="Cambria Math" w:hAnsi="Cambria Math"/>
              </w:rPr>
              <m:t>tick, time</m:t>
            </m:r>
          </m:sub>
        </m:sSub>
      </m:oMath>
      <w:r>
        <w:rPr>
          <w:rFonts w:ascii="Calibri" w:hAnsi="Calibri"/>
        </w:rPr>
        <w:t xml:space="preserve"> using tick level data (i.e. each bin contains only one trade), and time buckets. The size of the time bucket is dependent on the average trading volume of the stock of interest:</w:t>
      </w:r>
    </w:p>
    <w:p w14:paraId="31B74C24" w14:textId="77777777" w:rsidR="003A1540" w:rsidRPr="003A1540" w:rsidRDefault="003A1540" w:rsidP="0061098D">
      <w:pPr>
        <w:pStyle w:val="a3"/>
        <w:ind w:left="360"/>
        <w:rPr>
          <w:rFonts w:ascii="Calibri" w:hAnsi="Calibri"/>
        </w:rPr>
      </w:pPr>
    </w:p>
    <w:p w14:paraId="001ABACA" w14:textId="24374A23" w:rsidR="003A1540" w:rsidRPr="00CA728C" w:rsidRDefault="003A1540" w:rsidP="00D86B82">
      <w:pPr>
        <w:pStyle w:val="a3"/>
        <w:ind w:left="1800" w:firstLine="360"/>
        <w:rPr>
          <w:rFonts w:ascii="Calibri" w:hAnsi="Calibri"/>
        </w:rPr>
      </w:pPr>
      <m:oMath>
        <m:r>
          <w:rPr>
            <w:rFonts w:ascii="Cambria Math" w:hAnsi="Cambria Math"/>
          </w:rPr>
          <m:t xml:space="preserve">time bucket </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(30s,</m:t>
            </m:r>
            <m:f>
              <m:fPr>
                <m:ctrlPr>
                  <w:rPr>
                    <w:rFonts w:ascii="Cambria Math" w:hAnsi="Cambria Math"/>
                    <w:i/>
                  </w:rPr>
                </m:ctrlPr>
              </m:fPr>
              <m:num>
                <m:r>
                  <w:rPr>
                    <w:rFonts w:ascii="Cambria Math" w:hAnsi="Cambria Math"/>
                  </w:rPr>
                  <m:t>avg</m:t>
                </m:r>
                <m:d>
                  <m:dPr>
                    <m:ctrlPr>
                      <w:rPr>
                        <w:rFonts w:ascii="Cambria Math" w:hAnsi="Cambria Math"/>
                        <w:i/>
                      </w:rPr>
                    </m:ctrlPr>
                  </m:dPr>
                  <m:e>
                    <m:r>
                      <w:rPr>
                        <w:rFonts w:ascii="Cambria Math" w:hAnsi="Cambria Math"/>
                      </w:rPr>
                      <m:t>AMZN daily vol</m:t>
                    </m:r>
                  </m:e>
                </m:d>
              </m:num>
              <m:den>
                <m:r>
                  <w:rPr>
                    <w:rFonts w:ascii="Cambria Math" w:hAnsi="Cambria Math"/>
                  </w:rPr>
                  <m:t>avg</m:t>
                </m:r>
                <m:d>
                  <m:dPr>
                    <m:ctrlPr>
                      <w:rPr>
                        <w:rFonts w:ascii="Cambria Math" w:hAnsi="Cambria Math"/>
                        <w:i/>
                      </w:rPr>
                    </m:ctrlPr>
                  </m:dPr>
                  <m:e>
                    <m:r>
                      <w:rPr>
                        <w:rFonts w:ascii="Cambria Math" w:hAnsi="Cambria Math"/>
                      </w:rPr>
                      <m:t>daily vol of stock of interest</m:t>
                    </m:r>
                  </m:e>
                </m:d>
              </m:den>
            </m:f>
            <m:r>
              <w:rPr>
                <w:rFonts w:ascii="Cambria Math" w:hAnsi="Cambria Math"/>
              </w:rPr>
              <m:t>×60s)</m:t>
            </m:r>
          </m:e>
        </m:func>
      </m:oMath>
      <w:r w:rsidR="00D86B82">
        <w:rPr>
          <w:rFonts w:ascii="Calibri" w:hAnsi="Calibri"/>
        </w:rPr>
        <w:t xml:space="preserve">               </w:t>
      </w:r>
      <w:r w:rsidR="009C263B">
        <w:rPr>
          <w:rFonts w:ascii="Calibri" w:hAnsi="Calibri"/>
        </w:rPr>
        <w:t xml:space="preserve"> </w:t>
      </w:r>
      <w:r w:rsidR="00D86B82" w:rsidRPr="00D86B82">
        <w:rPr>
          <w:rFonts w:ascii="Calibri" w:hAnsi="Calibri"/>
          <w:b/>
        </w:rPr>
        <w:t>(6)</w:t>
      </w:r>
    </w:p>
    <w:p w14:paraId="1A286ED5" w14:textId="71C890E0" w:rsidR="00E339DA" w:rsidRDefault="00E339DA" w:rsidP="00A1536D">
      <w:pPr>
        <w:ind w:left="360"/>
        <w:rPr>
          <w:rFonts w:ascii="Calibri" w:hAnsi="Calibri"/>
        </w:rPr>
      </w:pPr>
      <w:r>
        <w:rPr>
          <w:rFonts w:ascii="Calibri" w:hAnsi="Calibri"/>
        </w:rPr>
        <w:t xml:space="preserve">In the above equation, we </w:t>
      </w:r>
      <w:r w:rsidR="00E43831">
        <w:rPr>
          <w:rFonts w:ascii="Calibri" w:hAnsi="Calibri"/>
        </w:rPr>
        <w:t>fixate AMZN stock’s time bucket to be</w:t>
      </w:r>
      <w:r>
        <w:rPr>
          <w:rFonts w:ascii="Calibri" w:hAnsi="Calibri"/>
        </w:rPr>
        <w:t xml:space="preserve"> 60s. For other stocks with less trading volumes, their time buckets will be larger, for we would need to aggregate more data points. Since we are using linear scaling, we </w:t>
      </w:r>
      <w:r w:rsidR="00365E82">
        <w:rPr>
          <w:rFonts w:ascii="Calibri" w:hAnsi="Calibri"/>
        </w:rPr>
        <w:t xml:space="preserve">also </w:t>
      </w:r>
      <w:r>
        <w:rPr>
          <w:rFonts w:ascii="Calibri" w:hAnsi="Calibri"/>
        </w:rPr>
        <w:t xml:space="preserve">want to cap the minimum bucket size to a constant to avoid bucket overflows. </w:t>
      </w:r>
    </w:p>
    <w:p w14:paraId="7F7DBBFA" w14:textId="5CCA4C66" w:rsidR="00F624DC" w:rsidRPr="00CA728C" w:rsidRDefault="00065DC3" w:rsidP="00A1536D">
      <w:pPr>
        <w:ind w:left="360"/>
        <w:rPr>
          <w:rFonts w:ascii="Calibri" w:hAnsi="Calibri"/>
        </w:rPr>
      </w:pPr>
      <w:r w:rsidRPr="00CA728C">
        <w:rPr>
          <w:rFonts w:ascii="Calibri" w:hAnsi="Calibri"/>
        </w:rPr>
        <w:t xml:space="preserve">To help establishing feasibility, we </w:t>
      </w:r>
      <w:r w:rsidR="00182139">
        <w:rPr>
          <w:rFonts w:ascii="Calibri" w:hAnsi="Calibri"/>
        </w:rPr>
        <w:t>tested</w:t>
      </w:r>
      <w:r w:rsidR="00FB7363">
        <w:rPr>
          <w:rFonts w:ascii="Calibri" w:hAnsi="Calibri"/>
        </w:rPr>
        <w:t xml:space="preserve"> AMZN stock for 4/23/2013, </w:t>
      </w:r>
      <w:r w:rsidR="00182139">
        <w:rPr>
          <w:rFonts w:ascii="Calibri" w:hAnsi="Calibri"/>
        </w:rPr>
        <w:t>ran the simple regression model, and</w:t>
      </w:r>
      <w:r w:rsidR="00FB7363">
        <w:rPr>
          <w:rFonts w:ascii="Calibri" w:hAnsi="Calibri"/>
        </w:rPr>
        <w:t xml:space="preserve"> apply classification rule 1. </w:t>
      </w:r>
      <w:r w:rsidR="00182139">
        <w:rPr>
          <w:rFonts w:ascii="Calibri" w:hAnsi="Calibri"/>
        </w:rPr>
        <w:t>Below plot is the regression outcome</w:t>
      </w:r>
      <w:r w:rsidR="002F101E">
        <w:rPr>
          <w:rFonts w:ascii="Calibri" w:hAnsi="Calibri"/>
        </w:rPr>
        <w:t xml:space="preserve"> (we take out all outliers that are 2 standard deviations away from the mean)</w:t>
      </w:r>
      <w:r w:rsidR="00182139">
        <w:rPr>
          <w:rFonts w:ascii="Calibri" w:hAnsi="Calibri"/>
        </w:rPr>
        <w:t>:</w:t>
      </w:r>
    </w:p>
    <w:p w14:paraId="7055E1DA" w14:textId="09950070" w:rsidR="00130EFB" w:rsidRDefault="002F101E" w:rsidP="00771DA1">
      <w:pPr>
        <w:ind w:left="360"/>
        <w:jc w:val="center"/>
        <w:rPr>
          <w:rFonts w:ascii="Calibri" w:hAnsi="Calibri"/>
          <w:noProof/>
        </w:rPr>
      </w:pPr>
      <w:r>
        <w:rPr>
          <w:noProof/>
        </w:rPr>
        <w:drawing>
          <wp:inline distT="0" distB="0" distL="0" distR="0" wp14:anchorId="19801A10" wp14:editId="35CF85EC">
            <wp:extent cx="3429000" cy="30551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7623" cy="3071727"/>
                    </a:xfrm>
                    <a:prstGeom prst="rect">
                      <a:avLst/>
                    </a:prstGeom>
                  </pic:spPr>
                </pic:pic>
              </a:graphicData>
            </a:graphic>
          </wp:inline>
        </w:drawing>
      </w:r>
    </w:p>
    <w:p w14:paraId="3A721075" w14:textId="59695563" w:rsidR="00130EFB" w:rsidRDefault="00FB7363" w:rsidP="00B07558">
      <w:pPr>
        <w:ind w:left="360"/>
        <w:rPr>
          <w:rFonts w:ascii="Calibri" w:hAnsi="Calibri"/>
        </w:rPr>
      </w:pPr>
      <w:r>
        <w:rPr>
          <w:rFonts w:ascii="Calibri" w:hAnsi="Calibri"/>
        </w:rPr>
        <w:lastRenderedPageBreak/>
        <w:t xml:space="preserve">It is clear from the above plot SOI is strongly correlated with PReturn defined as mid-quote bucket return. </w:t>
      </w:r>
    </w:p>
    <w:p w14:paraId="29C66088" w14:textId="3999569C" w:rsidR="00130EFB" w:rsidRDefault="00C359EC" w:rsidP="00B07558">
      <w:pPr>
        <w:ind w:left="360"/>
        <w:rPr>
          <w:rFonts w:ascii="Calibri" w:hAnsi="Calibri"/>
        </w:rPr>
      </w:pPr>
      <w:r>
        <w:rPr>
          <w:rFonts w:ascii="Calibri" w:hAnsi="Calibri"/>
        </w:rPr>
        <w:t xml:space="preserve">In order to precisely depict this relationship, we have first studied the optimized delay time </w:t>
      </w:r>
      <w:r w:rsidR="00F961D8">
        <w:rPr>
          <w:rFonts w:ascii="Calibri" w:hAnsi="Calibri"/>
        </w:rPr>
        <w:t xml:space="preserve">for quotes.  Since the exchange </w:t>
      </w:r>
      <w:r>
        <w:rPr>
          <w:rFonts w:ascii="Calibri" w:hAnsi="Calibri"/>
        </w:rPr>
        <w:t xml:space="preserve">time field in the data is the time consolidated tape receive the message rather than the actual time that the quotes/trades happened. </w:t>
      </w:r>
    </w:p>
    <w:p w14:paraId="3B6825F0" w14:textId="77777777" w:rsidR="002465AB" w:rsidRDefault="00C359EC" w:rsidP="002465AB">
      <w:pPr>
        <w:ind w:left="360"/>
        <w:rPr>
          <w:rFonts w:ascii="Calibri" w:hAnsi="Calibri"/>
        </w:rPr>
      </w:pPr>
      <w:r>
        <w:rPr>
          <w:rFonts w:ascii="Calibri" w:hAnsi="Calibri"/>
        </w:rPr>
        <w:t>The process of transmitting data from Exchanges to the tape could introduce</w:t>
      </w:r>
      <w:r w:rsidR="00E631AE">
        <w:rPr>
          <w:rFonts w:ascii="Calibri" w:hAnsi="Calibri"/>
        </w:rPr>
        <w:t xml:space="preserve"> additional delays, presumably both trades and quotes</w:t>
      </w:r>
      <w:r>
        <w:rPr>
          <w:rFonts w:ascii="Calibri" w:hAnsi="Calibri"/>
        </w:rPr>
        <w:t xml:space="preserve">. </w:t>
      </w:r>
      <w:r w:rsidR="00E631AE">
        <w:rPr>
          <w:rFonts w:ascii="Calibri" w:hAnsi="Calibri"/>
        </w:rPr>
        <w:t>For simplicity, assume all transaction</w:t>
      </w:r>
      <w:r w:rsidR="00691BD0">
        <w:rPr>
          <w:rFonts w:ascii="Calibri" w:hAnsi="Calibri"/>
        </w:rPr>
        <w:t>s</w:t>
      </w:r>
      <w:r w:rsidR="00E631AE">
        <w:rPr>
          <w:rFonts w:ascii="Calibri" w:hAnsi="Calibri"/>
        </w:rPr>
        <w:t xml:space="preserve"> take place at trades, but the quotes are reported a constant time </w:t>
      </w:r>
      <w:r w:rsidR="000D52D8">
        <w:rPr>
          <w:rFonts w:ascii="Calibri" w:hAnsi="Calibri"/>
        </w:rPr>
        <w:t xml:space="preserve">distance </w:t>
      </w:r>
      <w:r w:rsidR="00E631AE">
        <w:rPr>
          <w:rFonts w:ascii="Calibri" w:hAnsi="Calibri"/>
        </w:rPr>
        <w:t>ahead.</w:t>
      </w:r>
      <w:r w:rsidR="0020243F">
        <w:rPr>
          <w:rFonts w:ascii="Calibri" w:hAnsi="Calibri"/>
        </w:rPr>
        <w:t xml:space="preserve"> We run the same regression as above with all the quotes delayed by a constant time. (In addition, we also exclude the points Preturn/SOI is outside the two standard deviation rang</w:t>
      </w:r>
      <w:r w:rsidR="00F606DB">
        <w:rPr>
          <w:rFonts w:ascii="Calibri" w:hAnsi="Calibri"/>
        </w:rPr>
        <w:t>e</w:t>
      </w:r>
      <w:r w:rsidR="0020243F">
        <w:rPr>
          <w:rFonts w:ascii="Calibri" w:hAnsi="Calibri"/>
        </w:rPr>
        <w:t xml:space="preserve"> from its mean.) </w:t>
      </w:r>
      <w:r w:rsidR="007A7B0A">
        <w:rPr>
          <w:rFonts w:ascii="Calibri" w:hAnsi="Calibri"/>
        </w:rPr>
        <w:t xml:space="preserve"> </w:t>
      </w:r>
      <w:r w:rsidR="00AF0F56">
        <w:rPr>
          <w:rFonts w:ascii="Calibri" w:hAnsi="Calibri"/>
        </w:rPr>
        <w:t>We run the regression on various symbols including TIF, AMZN, AB, and AGN, on different dates from April the 23</w:t>
      </w:r>
      <w:r w:rsidR="00AF0F56" w:rsidRPr="00AF0F56">
        <w:rPr>
          <w:rFonts w:ascii="Calibri" w:hAnsi="Calibri"/>
          <w:vertAlign w:val="superscript"/>
        </w:rPr>
        <w:t>rd</w:t>
      </w:r>
      <w:r w:rsidR="00AF0F56">
        <w:rPr>
          <w:rFonts w:ascii="Calibri" w:hAnsi="Calibri"/>
        </w:rPr>
        <w:t xml:space="preserve"> to the 30</w:t>
      </w:r>
      <w:r w:rsidR="00AF0F56" w:rsidRPr="00AF0F56">
        <w:rPr>
          <w:rFonts w:ascii="Calibri" w:hAnsi="Calibri"/>
          <w:vertAlign w:val="superscript"/>
        </w:rPr>
        <w:t>th</w:t>
      </w:r>
      <w:r w:rsidR="002465AB">
        <w:rPr>
          <w:rFonts w:ascii="Calibri" w:hAnsi="Calibri"/>
        </w:rPr>
        <w:t xml:space="preserve">, and plot the R^2 against delay time. </w:t>
      </w:r>
    </w:p>
    <w:p w14:paraId="52BA771D" w14:textId="56787C82" w:rsidR="00A14E66" w:rsidRDefault="007A7B0A" w:rsidP="00A14E66">
      <w:pPr>
        <w:ind w:left="360"/>
        <w:rPr>
          <w:rFonts w:ascii="Calibri" w:hAnsi="Calibri"/>
        </w:rPr>
      </w:pPr>
      <w:r>
        <w:rPr>
          <w:rFonts w:ascii="Calibri" w:hAnsi="Calibri"/>
        </w:rPr>
        <w:t>The plots of R^2 against delays are as the following:</w:t>
      </w:r>
      <w:r w:rsidR="00662CA3">
        <w:rPr>
          <w:rFonts w:ascii="Calibri" w:hAnsi="Calibri"/>
        </w:rPr>
        <w:t xml:space="preserve"> the left is second level delays, and the right is the zoom in part looking at milliseconds level.</w:t>
      </w:r>
      <w:r w:rsidR="002465AB">
        <w:rPr>
          <w:rFonts w:ascii="Calibri" w:hAnsi="Calibri"/>
        </w:rPr>
        <w:t xml:space="preserve"> (The plots </w:t>
      </w:r>
      <w:r w:rsidR="001D4F8D">
        <w:rPr>
          <w:rFonts w:ascii="Calibri" w:hAnsi="Calibri"/>
        </w:rPr>
        <w:t>of all</w:t>
      </w:r>
      <w:r w:rsidR="006D20D3">
        <w:rPr>
          <w:rFonts w:ascii="Calibri" w:hAnsi="Calibri"/>
        </w:rPr>
        <w:t xml:space="preserve"> tested data</w:t>
      </w:r>
      <w:r w:rsidR="002465AB">
        <w:rPr>
          <w:rFonts w:ascii="Calibri" w:hAnsi="Calibri"/>
        </w:rPr>
        <w:t xml:space="preserve"> exhibit </w:t>
      </w:r>
      <w:r w:rsidR="001B719B">
        <w:rPr>
          <w:rFonts w:ascii="Calibri" w:hAnsi="Calibri"/>
        </w:rPr>
        <w:t>the same pattern as</w:t>
      </w:r>
      <w:r w:rsidR="002465AB">
        <w:rPr>
          <w:rFonts w:ascii="Calibri" w:hAnsi="Calibri"/>
        </w:rPr>
        <w:t xml:space="preserve"> the AMZN result on April 23</w:t>
      </w:r>
      <w:r w:rsidR="002465AB" w:rsidRPr="002465AB">
        <w:rPr>
          <w:rFonts w:ascii="Calibri" w:hAnsi="Calibri"/>
          <w:vertAlign w:val="superscript"/>
        </w:rPr>
        <w:t>rd</w:t>
      </w:r>
      <w:r w:rsidR="002465AB">
        <w:rPr>
          <w:rFonts w:ascii="Calibri" w:hAnsi="Calibri"/>
        </w:rPr>
        <w:t xml:space="preserve"> </w:t>
      </w:r>
      <w:r w:rsidR="001634D5">
        <w:rPr>
          <w:rFonts w:ascii="Calibri" w:hAnsi="Calibri"/>
        </w:rPr>
        <w:t>we gave bellow</w:t>
      </w:r>
      <w:r w:rsidR="002465AB">
        <w:rPr>
          <w:rFonts w:ascii="Calibri" w:hAnsi="Calibri"/>
        </w:rPr>
        <w:t>)</w:t>
      </w:r>
    </w:p>
    <w:p w14:paraId="1DBB4A12" w14:textId="77777777" w:rsidR="000C5091" w:rsidRDefault="000C5091" w:rsidP="00A14E66">
      <w:pPr>
        <w:ind w:left="360"/>
        <w:rPr>
          <w:rFonts w:ascii="Calibri" w:hAnsi="Calibri"/>
        </w:rPr>
      </w:pPr>
    </w:p>
    <w:tbl>
      <w:tblPr>
        <w:tblStyle w:val="a8"/>
        <w:tblW w:w="10454" w:type="dxa"/>
        <w:jc w:val="center"/>
        <w:tblLayout w:type="fixed"/>
        <w:tblLook w:val="04A0" w:firstRow="1" w:lastRow="0" w:firstColumn="1" w:lastColumn="0" w:noHBand="0" w:noVBand="1"/>
      </w:tblPr>
      <w:tblGrid>
        <w:gridCol w:w="5228"/>
        <w:gridCol w:w="5226"/>
      </w:tblGrid>
      <w:tr w:rsidR="00423846" w14:paraId="1C4BC7D7" w14:textId="77777777" w:rsidTr="00423846">
        <w:trPr>
          <w:trHeight w:val="4874"/>
          <w:jc w:val="center"/>
        </w:trPr>
        <w:tc>
          <w:tcPr>
            <w:tcW w:w="5228" w:type="dxa"/>
          </w:tcPr>
          <w:p w14:paraId="2DEA102C" w14:textId="77777777" w:rsidR="007868D3" w:rsidRDefault="007868D3" w:rsidP="007054A2">
            <w:pPr>
              <w:rPr>
                <w:rFonts w:ascii="Calibri" w:hAnsi="Calibri"/>
              </w:rPr>
            </w:pPr>
            <w:r>
              <w:rPr>
                <w:rFonts w:ascii="Calibri" w:hAnsi="Calibri"/>
                <w:noProof/>
              </w:rPr>
              <w:drawing>
                <wp:inline distT="0" distB="0" distL="0" distR="0" wp14:anchorId="223E36F5" wp14:editId="725D56CE">
                  <wp:extent cx="3276996" cy="33039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png"/>
                          <pic:cNvPicPr/>
                        </pic:nvPicPr>
                        <pic:blipFill>
                          <a:blip r:embed="rId9">
                            <a:extLst>
                              <a:ext uri="{28A0092B-C50C-407E-A947-70E740481C1C}">
                                <a14:useLocalDpi xmlns:a14="http://schemas.microsoft.com/office/drawing/2010/main" val="0"/>
                              </a:ext>
                            </a:extLst>
                          </a:blip>
                          <a:stretch>
                            <a:fillRect/>
                          </a:stretch>
                        </pic:blipFill>
                        <pic:spPr>
                          <a:xfrm>
                            <a:off x="0" y="0"/>
                            <a:ext cx="3280634" cy="3307573"/>
                          </a:xfrm>
                          <a:prstGeom prst="rect">
                            <a:avLst/>
                          </a:prstGeom>
                        </pic:spPr>
                      </pic:pic>
                    </a:graphicData>
                  </a:graphic>
                </wp:inline>
              </w:drawing>
            </w:r>
          </w:p>
        </w:tc>
        <w:tc>
          <w:tcPr>
            <w:tcW w:w="5226" w:type="dxa"/>
          </w:tcPr>
          <w:p w14:paraId="077B3278" w14:textId="77777777" w:rsidR="007868D3" w:rsidRDefault="007868D3" w:rsidP="007054A2">
            <w:pPr>
              <w:tabs>
                <w:tab w:val="left" w:pos="2018"/>
              </w:tabs>
              <w:rPr>
                <w:rFonts w:ascii="Calibri" w:hAnsi="Calibri"/>
              </w:rPr>
            </w:pPr>
            <w:r>
              <w:rPr>
                <w:rFonts w:ascii="Calibri" w:hAnsi="Calibri"/>
                <w:noProof/>
              </w:rPr>
              <w:drawing>
                <wp:inline distT="0" distB="0" distL="0" distR="0" wp14:anchorId="70847A50" wp14:editId="3310D937">
                  <wp:extent cx="3271015" cy="3312000"/>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khdskahdaks.png"/>
                          <pic:cNvPicPr/>
                        </pic:nvPicPr>
                        <pic:blipFill>
                          <a:blip r:embed="rId10">
                            <a:extLst>
                              <a:ext uri="{28A0092B-C50C-407E-A947-70E740481C1C}">
                                <a14:useLocalDpi xmlns:a14="http://schemas.microsoft.com/office/drawing/2010/main" val="0"/>
                              </a:ext>
                            </a:extLst>
                          </a:blip>
                          <a:stretch>
                            <a:fillRect/>
                          </a:stretch>
                        </pic:blipFill>
                        <pic:spPr>
                          <a:xfrm>
                            <a:off x="0" y="0"/>
                            <a:ext cx="3271015" cy="3312000"/>
                          </a:xfrm>
                          <a:prstGeom prst="rect">
                            <a:avLst/>
                          </a:prstGeom>
                        </pic:spPr>
                      </pic:pic>
                    </a:graphicData>
                  </a:graphic>
                </wp:inline>
              </w:drawing>
            </w:r>
          </w:p>
        </w:tc>
      </w:tr>
    </w:tbl>
    <w:p w14:paraId="296D59AB" w14:textId="77777777" w:rsidR="00C359EC" w:rsidRDefault="00C359EC" w:rsidP="00B626BF">
      <w:pPr>
        <w:rPr>
          <w:rFonts w:ascii="Calibri" w:hAnsi="Calibri"/>
        </w:rPr>
      </w:pPr>
    </w:p>
    <w:p w14:paraId="6185AB69" w14:textId="4375C3E8" w:rsidR="001B1709" w:rsidRPr="00FC2B16" w:rsidRDefault="001B1709" w:rsidP="00B626BF">
      <w:pPr>
        <w:rPr>
          <w:rFonts w:ascii="Calibri" w:hAnsi="Calibri"/>
        </w:rPr>
      </w:pPr>
      <w:r>
        <w:rPr>
          <w:rFonts w:ascii="Calibri" w:hAnsi="Calibri"/>
        </w:rPr>
        <w:t>It is clear that the regression is local</w:t>
      </w:r>
      <w:r w:rsidR="001634D5">
        <w:rPr>
          <w:rFonts w:ascii="Calibri" w:hAnsi="Calibri"/>
        </w:rPr>
        <w:t>ly</w:t>
      </w:r>
      <w:r>
        <w:rPr>
          <w:rFonts w:ascii="Calibri" w:hAnsi="Calibri"/>
        </w:rPr>
        <w:t xml:space="preserve"> optimized at e1 millisecond level when delay is around 30 milliseconds, and the universal optimize</w:t>
      </w:r>
      <w:r w:rsidR="005D6465">
        <w:rPr>
          <w:rFonts w:ascii="Calibri" w:hAnsi="Calibri"/>
        </w:rPr>
        <w:t>d point is at e1 seconds level</w:t>
      </w:r>
      <w:r w:rsidR="00F7744F">
        <w:rPr>
          <w:rFonts w:ascii="Calibri" w:hAnsi="Calibri"/>
        </w:rPr>
        <w:t>, around 30 seconds</w:t>
      </w:r>
      <w:r w:rsidR="005D6465">
        <w:rPr>
          <w:rFonts w:ascii="Calibri" w:hAnsi="Calibri"/>
        </w:rPr>
        <w:t xml:space="preserve">. </w:t>
      </w:r>
      <w:r w:rsidR="00486148">
        <w:rPr>
          <w:rFonts w:ascii="Calibri" w:hAnsi="Calibri"/>
        </w:rPr>
        <w:t xml:space="preserve">However, the 30 milliseconds </w:t>
      </w:r>
      <w:r w:rsidR="005D6465">
        <w:rPr>
          <w:rFonts w:ascii="Calibri" w:hAnsi="Calibri"/>
        </w:rPr>
        <w:t>is chosen as the “optimized quotes delay time” becaus</w:t>
      </w:r>
      <w:r w:rsidR="001634D5">
        <w:rPr>
          <w:rFonts w:ascii="Calibri" w:hAnsi="Calibri"/>
        </w:rPr>
        <w:t>e e1 seconds level is contradictory</w:t>
      </w:r>
      <w:r w:rsidR="005D6465">
        <w:rPr>
          <w:rFonts w:ascii="Calibri" w:hAnsi="Calibri"/>
        </w:rPr>
        <w:t xml:space="preserve"> with the fact that the time to transmit data from Exchanges to the t</w:t>
      </w:r>
      <w:r w:rsidR="007054A2">
        <w:rPr>
          <w:rFonts w:ascii="Calibri" w:hAnsi="Calibri"/>
        </w:rPr>
        <w:t xml:space="preserve">ape is at </w:t>
      </w:r>
      <w:r w:rsidR="001634D5">
        <w:rPr>
          <w:rFonts w:ascii="Calibri" w:hAnsi="Calibri"/>
        </w:rPr>
        <w:t xml:space="preserve">a </w:t>
      </w:r>
      <w:r w:rsidR="007054A2">
        <w:rPr>
          <w:rFonts w:ascii="Calibri" w:hAnsi="Calibri"/>
        </w:rPr>
        <w:t xml:space="preserve">millisecond level. </w:t>
      </w:r>
      <w:r w:rsidR="001634D5" w:rsidRPr="00F961D8">
        <w:rPr>
          <w:rFonts w:ascii="Calibri" w:hAnsi="Calibri"/>
        </w:rPr>
        <w:t xml:space="preserve">(In later </w:t>
      </w:r>
      <w:r w:rsidR="001634D5" w:rsidRPr="00F961D8">
        <w:rPr>
          <w:rFonts w:ascii="Calibri" w:hAnsi="Calibri"/>
        </w:rPr>
        <w:lastRenderedPageBreak/>
        <w:t>part of this research report related to venue liquidity, we will use a different methodology in calculating the optimal delay, but we will show that both end results are consistent with each other.</w:t>
      </w:r>
      <w:r w:rsidR="001634D5">
        <w:rPr>
          <w:rFonts w:ascii="Calibri" w:hAnsi="Calibri"/>
          <w:color w:val="FF0000"/>
        </w:rPr>
        <w:t xml:space="preserve"> </w:t>
      </w:r>
      <w:r w:rsidR="00F961D8">
        <w:rPr>
          <w:rFonts w:ascii="Calibri" w:hAnsi="Calibri"/>
        </w:rPr>
        <w:t xml:space="preserve">As for the 30 seconds delay introduces such a high R^2, we defer the discussion to the next follow up report. </w:t>
      </w:r>
    </w:p>
    <w:p w14:paraId="18936B76" w14:textId="3A156B61" w:rsidR="007951ED" w:rsidRDefault="00366976" w:rsidP="00B626BF">
      <w:pPr>
        <w:rPr>
          <w:rFonts w:ascii="Calibri" w:hAnsi="Calibri"/>
        </w:rPr>
      </w:pPr>
      <w:r>
        <w:rPr>
          <w:rFonts w:ascii="Calibri" w:hAnsi="Calibri"/>
        </w:rPr>
        <w:t>Below we show the regression results with only changes in the classification rules employed</w:t>
      </w:r>
      <w:r w:rsidR="008B32D8">
        <w:rPr>
          <w:rFonts w:ascii="Calibri" w:hAnsi="Calibri"/>
        </w:rPr>
        <w:t xml:space="preserve"> (taking out outliers that are 2 standard deviations from the mean)</w:t>
      </w:r>
      <w:r w:rsidR="000C5091">
        <w:rPr>
          <w:rFonts w:ascii="Calibri" w:hAnsi="Calibri"/>
        </w:rPr>
        <w:t>, and according to R^2, classification rule #1 was the clear winner</w:t>
      </w:r>
      <w:r w:rsidR="00BB3B34">
        <w:rPr>
          <w:rFonts w:ascii="Calibri" w:hAnsi="Calibri"/>
        </w:rPr>
        <w:t>:</w:t>
      </w:r>
    </w:p>
    <w:p w14:paraId="13384FAD" w14:textId="0C4AC5B2" w:rsidR="00873BCD" w:rsidRDefault="00B05A2A" w:rsidP="00B626BF">
      <w:pPr>
        <w:rPr>
          <w:rFonts w:ascii="Calibri" w:hAnsi="Calibri"/>
        </w:rPr>
      </w:pPr>
      <w:r>
        <w:rPr>
          <w:noProof/>
        </w:rPr>
        <w:drawing>
          <wp:inline distT="0" distB="0" distL="0" distR="0" wp14:anchorId="2B8EE707" wp14:editId="4ABB1646">
            <wp:extent cx="5943600" cy="2809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240"/>
                    </a:xfrm>
                    <a:prstGeom prst="rect">
                      <a:avLst/>
                    </a:prstGeom>
                  </pic:spPr>
                </pic:pic>
              </a:graphicData>
            </a:graphic>
          </wp:inline>
        </w:drawing>
      </w:r>
    </w:p>
    <w:p w14:paraId="69E58589" w14:textId="77777777" w:rsidR="00850C38" w:rsidRDefault="00850C38" w:rsidP="00B626BF">
      <w:pPr>
        <w:rPr>
          <w:rFonts w:ascii="Calibri" w:hAnsi="Calibri"/>
        </w:rPr>
      </w:pPr>
    </w:p>
    <w:p w14:paraId="06525AF8" w14:textId="507BCAC0" w:rsidR="00B05A2A" w:rsidRDefault="00B05A2A" w:rsidP="00B626BF">
      <w:pPr>
        <w:rPr>
          <w:rFonts w:ascii="Calibri" w:hAnsi="Calibri"/>
        </w:rPr>
      </w:pPr>
      <w:r>
        <w:rPr>
          <w:noProof/>
        </w:rPr>
        <w:drawing>
          <wp:inline distT="0" distB="0" distL="0" distR="0" wp14:anchorId="381E0C61" wp14:editId="645360FB">
            <wp:extent cx="5943600" cy="2724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4150"/>
                    </a:xfrm>
                    <a:prstGeom prst="rect">
                      <a:avLst/>
                    </a:prstGeom>
                  </pic:spPr>
                </pic:pic>
              </a:graphicData>
            </a:graphic>
          </wp:inline>
        </w:drawing>
      </w:r>
    </w:p>
    <w:p w14:paraId="6A8E47A2" w14:textId="32D8B0E7" w:rsidR="007951ED" w:rsidRDefault="00B05A2A" w:rsidP="00431291">
      <w:pPr>
        <w:jc w:val="center"/>
        <w:rPr>
          <w:rFonts w:ascii="Calibri" w:hAnsi="Calibri"/>
        </w:rPr>
      </w:pPr>
      <w:r>
        <w:rPr>
          <w:noProof/>
        </w:rPr>
        <w:lastRenderedPageBreak/>
        <w:drawing>
          <wp:inline distT="0" distB="0" distL="0" distR="0" wp14:anchorId="3E075660" wp14:editId="469BE479">
            <wp:extent cx="5943600" cy="27311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1135"/>
                    </a:xfrm>
                    <a:prstGeom prst="rect">
                      <a:avLst/>
                    </a:prstGeom>
                  </pic:spPr>
                </pic:pic>
              </a:graphicData>
            </a:graphic>
          </wp:inline>
        </w:drawing>
      </w:r>
    </w:p>
    <w:p w14:paraId="2540D168" w14:textId="48E5712F" w:rsidR="00850C38" w:rsidRDefault="00850C38" w:rsidP="00431291">
      <w:pPr>
        <w:jc w:val="center"/>
        <w:rPr>
          <w:rFonts w:ascii="Calibri" w:hAnsi="Calibri"/>
        </w:rPr>
      </w:pPr>
      <w:r>
        <w:rPr>
          <w:noProof/>
        </w:rPr>
        <w:drawing>
          <wp:inline distT="0" distB="0" distL="0" distR="0" wp14:anchorId="2533E388" wp14:editId="084C5CEB">
            <wp:extent cx="5943600" cy="26854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5415"/>
                    </a:xfrm>
                    <a:prstGeom prst="rect">
                      <a:avLst/>
                    </a:prstGeom>
                  </pic:spPr>
                </pic:pic>
              </a:graphicData>
            </a:graphic>
          </wp:inline>
        </w:drawing>
      </w:r>
    </w:p>
    <w:p w14:paraId="5A793618" w14:textId="1585F448" w:rsidR="00245B02" w:rsidRPr="003063D0" w:rsidRDefault="005456DE" w:rsidP="00B626BF">
      <w:pPr>
        <w:rPr>
          <w:rFonts w:ascii="Calibri" w:hAnsi="Calibri"/>
        </w:rPr>
      </w:pPr>
      <w:r>
        <w:rPr>
          <w:rFonts w:ascii="Calibri" w:hAnsi="Calibri"/>
        </w:rPr>
        <w:t xml:space="preserve">Classification rule #1 serves our purpose well. </w:t>
      </w:r>
      <w:r w:rsidR="00E40919">
        <w:rPr>
          <w:rFonts w:ascii="Calibri" w:hAnsi="Calibri"/>
        </w:rPr>
        <w:t>Note it is very likely all these classification methodologies that incorporates quotes delay of 5 seconds are likely to generate similar results; but since we were content with regression result, we moved on to improve this existing model. We were</w:t>
      </w:r>
      <w:r>
        <w:rPr>
          <w:rFonts w:ascii="Calibri" w:hAnsi="Calibri"/>
        </w:rPr>
        <w:t xml:space="preserve"> able to further adjust our model by s</w:t>
      </w:r>
      <w:r w:rsidR="00C00354">
        <w:rPr>
          <w:rFonts w:ascii="Calibri" w:hAnsi="Calibri"/>
        </w:rPr>
        <w:t>caling the SOI. The scaled SOI (SSOI) is obtained by</w:t>
      </w:r>
      <w:r w:rsidR="00DB054E">
        <w:rPr>
          <w:rFonts w:ascii="Calibri" w:hAnsi="Calibri"/>
        </w:rPr>
        <w:t xml:space="preserve"> multiplying </w:t>
      </w:r>
      <w:r w:rsidR="00C00354">
        <w:rPr>
          <w:rFonts w:ascii="Calibri" w:hAnsi="Calibri"/>
        </w:rPr>
        <w:t xml:space="preserve">SOI with the trade price volatility. </w:t>
      </w:r>
      <w:r w:rsidR="00E40919">
        <w:rPr>
          <w:rFonts w:ascii="Calibri" w:hAnsi="Calibri"/>
        </w:rPr>
        <w:t>And</w:t>
      </w:r>
      <w:r>
        <w:rPr>
          <w:rFonts w:ascii="Calibri" w:hAnsi="Calibri"/>
        </w:rPr>
        <w:t xml:space="preserve"> the</w:t>
      </w:r>
      <w:r w:rsidR="00EA6D73">
        <w:rPr>
          <w:rFonts w:ascii="Calibri" w:hAnsi="Calibri"/>
        </w:rPr>
        <w:t xml:space="preserve"> </w:t>
      </w:r>
      <w:r>
        <w:rPr>
          <w:rFonts w:ascii="Calibri" w:hAnsi="Calibri"/>
        </w:rPr>
        <w:t xml:space="preserve">price volatility of a bucket </w:t>
      </w:r>
      <w:r w:rsidR="00E40919">
        <w:rPr>
          <w:rFonts w:ascii="Calibri" w:hAnsi="Calibri"/>
        </w:rPr>
        <w:t xml:space="preserve">is defined </w:t>
      </w:r>
      <w:r>
        <w:rPr>
          <w:rFonts w:ascii="Calibri" w:hAnsi="Calibri"/>
        </w:rPr>
        <w:t xml:space="preserve">as </w:t>
      </w:r>
      <w:r w:rsidR="00EA6D73">
        <w:rPr>
          <w:rFonts w:ascii="Calibri" w:hAnsi="Calibri"/>
        </w:rPr>
        <w:t xml:space="preserve">the standard deviation of </w:t>
      </w:r>
      <w:r w:rsidR="00710AB0">
        <w:rPr>
          <w:rFonts w:ascii="Calibri" w:hAnsi="Calibri"/>
        </w:rPr>
        <w:t xml:space="preserve">all the trade prices within </w:t>
      </w:r>
      <w:r w:rsidR="00C00354">
        <w:rPr>
          <w:rFonts w:ascii="Calibri" w:hAnsi="Calibri"/>
        </w:rPr>
        <w:t>same</w:t>
      </w:r>
      <w:r w:rsidR="00710AB0">
        <w:rPr>
          <w:rFonts w:ascii="Calibri" w:hAnsi="Calibri"/>
        </w:rPr>
        <w:t xml:space="preserve"> bucket.</w:t>
      </w:r>
    </w:p>
    <w:p w14:paraId="43DF0A90" w14:textId="3CA7D2A2" w:rsidR="00593008" w:rsidRDefault="00E31172" w:rsidP="009A4FF7">
      <w:pPr>
        <w:ind w:left="2880" w:firstLine="720"/>
        <w:rPr>
          <w:rFonts w:ascii="Calibri" w:hAnsi="Calibri"/>
        </w:rPr>
      </w:pPr>
      <m:oMath>
        <m:r>
          <w:rPr>
            <w:rFonts w:ascii="Cambria Math" w:hAnsi="Cambria Math"/>
          </w:rPr>
          <m:t>SSOI</m:t>
        </m:r>
        <m:d>
          <m:dPr>
            <m:ctrlPr>
              <w:rPr>
                <w:rFonts w:ascii="Cambria Math" w:hAnsi="Cambria Math"/>
                <w:i/>
              </w:rPr>
            </m:ctrlPr>
          </m:dPr>
          <m:e>
            <m:r>
              <w:rPr>
                <w:rFonts w:ascii="Cambria Math" w:hAnsi="Cambria Math"/>
              </w:rPr>
              <m:t>k</m:t>
            </m:r>
          </m:e>
        </m:d>
        <m:r>
          <w:rPr>
            <w:rFonts w:ascii="Cambria Math" w:hAnsi="Cambria Math"/>
          </w:rPr>
          <m:t>= PVol(k)∙SOI</m:t>
        </m:r>
        <m:d>
          <m:dPr>
            <m:ctrlPr>
              <w:rPr>
                <w:rFonts w:ascii="Cambria Math" w:hAnsi="Cambria Math"/>
                <w:i/>
              </w:rPr>
            </m:ctrlPr>
          </m:dPr>
          <m:e>
            <m:r>
              <w:rPr>
                <w:rFonts w:ascii="Cambria Math" w:hAnsi="Cambria Math"/>
              </w:rPr>
              <m:t>k</m:t>
            </m:r>
          </m:e>
        </m:d>
      </m:oMath>
      <w:r w:rsidR="009A4FF7">
        <w:rPr>
          <w:rFonts w:ascii="Calibri" w:hAnsi="Calibri"/>
        </w:rPr>
        <w:t xml:space="preserve">                                                        </w:t>
      </w:r>
      <w:r w:rsidR="009A4FF7" w:rsidRPr="009A4FF7">
        <w:rPr>
          <w:rFonts w:ascii="Calibri" w:hAnsi="Calibri"/>
          <w:b/>
        </w:rPr>
        <w:t>(7)</w:t>
      </w:r>
    </w:p>
    <w:p w14:paraId="71458896" w14:textId="44F10629" w:rsidR="00A30144" w:rsidRPr="00CA728C" w:rsidRDefault="00D24B48" w:rsidP="000040F4">
      <w:pPr>
        <w:rPr>
          <w:rFonts w:ascii="Calibri" w:hAnsi="Calibri"/>
        </w:rPr>
      </w:pPr>
      <w:r>
        <w:rPr>
          <w:rFonts w:ascii="Calibri" w:hAnsi="Calibri"/>
          <w:noProof/>
        </w:rPr>
        <w:lastRenderedPageBreak/>
        <w:drawing>
          <wp:inline distT="0" distB="0" distL="0" distR="0" wp14:anchorId="2673D856" wp14:editId="60586732">
            <wp:extent cx="5943600" cy="3383811"/>
            <wp:effectExtent l="0" t="0" r="0" b="0"/>
            <wp:docPr id="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83811"/>
                    </a:xfrm>
                    <a:prstGeom prst="rect">
                      <a:avLst/>
                    </a:prstGeom>
                    <a:noFill/>
                    <a:ln>
                      <a:noFill/>
                    </a:ln>
                  </pic:spPr>
                </pic:pic>
              </a:graphicData>
            </a:graphic>
          </wp:inline>
        </w:drawing>
      </w:r>
    </w:p>
    <w:p w14:paraId="2FB5DDD8" w14:textId="0ACA04FA" w:rsidR="00410D8A" w:rsidRPr="00CA728C" w:rsidRDefault="00A525C9" w:rsidP="00410D8A">
      <w:pPr>
        <w:rPr>
          <w:rFonts w:ascii="Calibri" w:hAnsi="Calibri"/>
        </w:rPr>
      </w:pPr>
      <w:r w:rsidRPr="00CA728C">
        <w:rPr>
          <w:rFonts w:ascii="Calibri" w:hAnsi="Calibri"/>
        </w:rPr>
        <w:t>We then tested the model robustnes</w:t>
      </w:r>
      <w:r w:rsidR="00686980" w:rsidRPr="00CA728C">
        <w:rPr>
          <w:rFonts w:ascii="Calibri" w:hAnsi="Calibri"/>
        </w:rPr>
        <w:t>s across time</w:t>
      </w:r>
      <w:r w:rsidR="00C80EAD">
        <w:rPr>
          <w:rFonts w:ascii="Calibri" w:hAnsi="Calibri"/>
        </w:rPr>
        <w:t xml:space="preserve"> by assessing the beta stability</w:t>
      </w:r>
      <w:r w:rsidR="00686980" w:rsidRPr="00CA728C">
        <w:rPr>
          <w:rFonts w:ascii="Calibri" w:hAnsi="Calibri"/>
        </w:rPr>
        <w:t xml:space="preserve">. </w:t>
      </w:r>
      <w:r w:rsidR="00C80EAD">
        <w:rPr>
          <w:rFonts w:ascii="Calibri" w:hAnsi="Calibri"/>
        </w:rPr>
        <w:t>And 4/29/2013’s AMZN</w:t>
      </w:r>
      <w:r w:rsidR="00410D8A" w:rsidRPr="00CA728C">
        <w:rPr>
          <w:rFonts w:ascii="Calibri" w:hAnsi="Calibri"/>
        </w:rPr>
        <w:t xml:space="preserve"> data </w:t>
      </w:r>
      <w:r w:rsidR="00C80EAD">
        <w:rPr>
          <w:rFonts w:ascii="Calibri" w:hAnsi="Calibri"/>
        </w:rPr>
        <w:t xml:space="preserve">is used as an out of sample testing set. </w:t>
      </w:r>
    </w:p>
    <w:p w14:paraId="6F8D4A8A" w14:textId="2ADC36AA" w:rsidR="00B64627" w:rsidRDefault="00C80EAD" w:rsidP="00B64627">
      <w:pPr>
        <w:rPr>
          <w:rFonts w:ascii="Calibri" w:hAnsi="Calibri"/>
        </w:rPr>
      </w:pPr>
      <w:r>
        <w:rPr>
          <w:rFonts w:ascii="Calibri" w:hAnsi="Calibri"/>
        </w:rPr>
        <w:t>Using the same SSOI sensitivity (beta), the concurrent regression</w:t>
      </w:r>
      <w:r w:rsidR="00102122" w:rsidRPr="00CA728C">
        <w:rPr>
          <w:rFonts w:ascii="Calibri" w:hAnsi="Calibri"/>
        </w:rPr>
        <w:t xml:space="preserve"> model captures the </w:t>
      </w:r>
      <w:r>
        <w:rPr>
          <w:rFonts w:ascii="Calibri" w:hAnsi="Calibri"/>
        </w:rPr>
        <w:t xml:space="preserve">price </w:t>
      </w:r>
      <w:r w:rsidR="00102122" w:rsidRPr="00CA728C">
        <w:rPr>
          <w:rFonts w:ascii="Calibri" w:hAnsi="Calibri"/>
        </w:rPr>
        <w:t xml:space="preserve">movement </w:t>
      </w:r>
      <w:r w:rsidR="00502C78" w:rsidRPr="00CA728C">
        <w:rPr>
          <w:rFonts w:ascii="Calibri" w:hAnsi="Calibri"/>
        </w:rPr>
        <w:t>direction</w:t>
      </w:r>
      <w:r w:rsidR="00473541" w:rsidRPr="00CA728C">
        <w:rPr>
          <w:rFonts w:ascii="Calibri" w:hAnsi="Calibri"/>
        </w:rPr>
        <w:t xml:space="preserve"> </w:t>
      </w:r>
      <w:r>
        <w:rPr>
          <w:rFonts w:ascii="Calibri" w:hAnsi="Calibri"/>
        </w:rPr>
        <w:t xml:space="preserve">well, and </w:t>
      </w:r>
      <w:r w:rsidR="00AF1BA1" w:rsidRPr="00CA728C">
        <w:rPr>
          <w:rFonts w:ascii="Calibri" w:hAnsi="Calibri"/>
        </w:rPr>
        <w:t xml:space="preserve">correctly </w:t>
      </w:r>
      <w:r w:rsidR="00102122" w:rsidRPr="00CA728C">
        <w:rPr>
          <w:rFonts w:ascii="Calibri" w:hAnsi="Calibri"/>
        </w:rPr>
        <w:t>predict</w:t>
      </w:r>
      <w:r>
        <w:rPr>
          <w:rFonts w:ascii="Calibri" w:hAnsi="Calibri"/>
        </w:rPr>
        <w:t>s</w:t>
      </w:r>
      <w:r w:rsidR="00102122" w:rsidRPr="00CA728C">
        <w:rPr>
          <w:rFonts w:ascii="Calibri" w:hAnsi="Calibri"/>
        </w:rPr>
        <w:t xml:space="preserve"> 94.2% of the price movement </w:t>
      </w:r>
      <w:r w:rsidR="00684982" w:rsidRPr="00CA728C">
        <w:rPr>
          <w:rFonts w:ascii="Calibri" w:hAnsi="Calibri"/>
        </w:rPr>
        <w:t>d</w:t>
      </w:r>
      <w:r w:rsidR="006D4BDE">
        <w:rPr>
          <w:rFonts w:ascii="Calibri" w:hAnsi="Calibri"/>
        </w:rPr>
        <w:t>irection on 29</w:t>
      </w:r>
      <w:r w:rsidR="00330E6F" w:rsidRPr="00CA728C">
        <w:rPr>
          <w:rFonts w:ascii="Calibri" w:hAnsi="Calibri"/>
          <w:vertAlign w:val="superscript"/>
        </w:rPr>
        <w:t>th</w:t>
      </w:r>
      <w:r w:rsidR="00330E6F" w:rsidRPr="00CA728C">
        <w:rPr>
          <w:rFonts w:ascii="Calibri" w:hAnsi="Calibri"/>
        </w:rPr>
        <w:t>.</w:t>
      </w:r>
      <w:r w:rsidR="00CB3F59">
        <w:rPr>
          <w:rFonts w:ascii="Calibri" w:hAnsi="Calibri"/>
        </w:rPr>
        <w:t xml:space="preserve"> This ratio </w:t>
      </w:r>
      <w:r w:rsidR="006D4BDE">
        <w:rPr>
          <w:rFonts w:ascii="Calibri" w:hAnsi="Calibri"/>
        </w:rPr>
        <w:t>is</w:t>
      </w:r>
      <w:r w:rsidR="00CB3F59">
        <w:rPr>
          <w:rFonts w:ascii="Calibri" w:hAnsi="Calibri"/>
        </w:rPr>
        <w:t xml:space="preserve"> calculated as </w:t>
      </w:r>
      <w:r w:rsidR="007F63D2" w:rsidRPr="00CA728C">
        <w:rPr>
          <w:rFonts w:ascii="Calibri" w:hAnsi="Calibri"/>
        </w:rPr>
        <w:t xml:space="preserve"> </w:t>
      </w:r>
      <m:oMath>
        <m:f>
          <m:fPr>
            <m:ctrlPr>
              <w:rPr>
                <w:rFonts w:ascii="Cambria Math" w:hAnsi="Cambria Math"/>
                <w:i/>
              </w:rPr>
            </m:ctrlPr>
          </m:fPr>
          <m:num>
            <m:nary>
              <m:naryPr>
                <m:chr m:val="∑"/>
                <m:limLoc m:val="undOvr"/>
                <m:subHide m:val="1"/>
                <m:supHide m:val="1"/>
                <m:ctrlPr>
                  <w:rPr>
                    <w:rFonts w:ascii="Cambria Math" w:hAnsi="Cambria Math"/>
                    <w:i/>
                  </w:rPr>
                </m:ctrlPr>
              </m:naryPr>
              <m:sub/>
              <m:sup/>
              <m:e>
                <m:r>
                  <m:rPr>
                    <m:scr m:val="double-struck"/>
                  </m:rPr>
                  <w:rPr>
                    <w:rFonts w:ascii="Cambria Math" w:hAnsi="Cambria Math"/>
                  </w:rPr>
                  <m:t>I{</m:t>
                </m:r>
                <m:r>
                  <w:rPr>
                    <w:rFonts w:ascii="Cambria Math" w:hAnsi="Cambria Math"/>
                  </w:rPr>
                  <m:t>sign</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PReturn</m:t>
                            </m:r>
                          </m:e>
                          <m:sub>
                            <m:r>
                              <w:rPr>
                                <w:rFonts w:ascii="Cambria Math" w:hAnsi="Cambria Math"/>
                              </w:rPr>
                              <m:t>i</m:t>
                            </m:r>
                          </m:sub>
                        </m:sSub>
                      </m:e>
                    </m:acc>
                  </m:e>
                </m:d>
                <m:r>
                  <w:rPr>
                    <w:rFonts w:ascii="Cambria Math" w:hAnsi="Cambria Math"/>
                  </w:rPr>
                  <m:t xml:space="preserve"> = sign</m:t>
                </m:r>
                <m:d>
                  <m:dPr>
                    <m:ctrlPr>
                      <w:rPr>
                        <w:rFonts w:ascii="Cambria Math" w:hAnsi="Cambria Math"/>
                        <w:i/>
                      </w:rPr>
                    </m:ctrlPr>
                  </m:dPr>
                  <m:e>
                    <m:sSub>
                      <m:sSubPr>
                        <m:ctrlPr>
                          <w:rPr>
                            <w:rFonts w:ascii="Cambria Math" w:hAnsi="Cambria Math"/>
                            <w:i/>
                          </w:rPr>
                        </m:ctrlPr>
                      </m:sSubPr>
                      <m:e>
                        <m:r>
                          <w:rPr>
                            <w:rFonts w:ascii="Cambria Math" w:hAnsi="Cambria Math"/>
                          </w:rPr>
                          <m:t>PReturn</m:t>
                        </m:r>
                      </m:e>
                      <m:sub>
                        <m:r>
                          <w:rPr>
                            <w:rFonts w:ascii="Cambria Math" w:hAnsi="Cambria Math"/>
                          </w:rPr>
                          <m:t>i</m:t>
                        </m:r>
                      </m:sub>
                    </m:sSub>
                  </m:e>
                </m:d>
                <m:r>
                  <w:rPr>
                    <w:rFonts w:ascii="Cambria Math" w:hAnsi="Cambria Math"/>
                  </w:rPr>
                  <m:t>}</m:t>
                </m:r>
              </m:e>
            </m:nary>
          </m:num>
          <m:den>
            <m:r>
              <w:rPr>
                <w:rFonts w:ascii="Cambria Math" w:hAnsi="Cambria Math"/>
              </w:rPr>
              <m:t>total # of buckets</m:t>
            </m:r>
          </m:den>
        </m:f>
      </m:oMath>
      <w:r w:rsidR="00050B07" w:rsidRPr="00CA728C">
        <w:rPr>
          <w:rFonts w:ascii="Calibri" w:hAnsi="Calibri"/>
        </w:rPr>
        <w:t>.</w:t>
      </w:r>
      <w:r w:rsidR="00DD53BA" w:rsidRPr="00CA728C">
        <w:rPr>
          <w:rFonts w:ascii="Calibri" w:hAnsi="Calibri"/>
        </w:rPr>
        <w:t xml:space="preserve"> </w:t>
      </w:r>
      <w:r w:rsidR="00CB3F59">
        <w:rPr>
          <w:rFonts w:ascii="Calibri" w:hAnsi="Calibri"/>
        </w:rPr>
        <w:t xml:space="preserve">Therefore, we can conclude the SSOI sensitivity coefficient is relatively stable across days. </w:t>
      </w:r>
    </w:p>
    <w:p w14:paraId="15509295" w14:textId="4EDED92A" w:rsidR="00361CE2" w:rsidRDefault="00B64627" w:rsidP="00B64627">
      <w:pPr>
        <w:rPr>
          <w:rFonts w:ascii="Calibri" w:hAnsi="Calibri"/>
        </w:rPr>
      </w:pPr>
      <w:r w:rsidRPr="00CE3502">
        <w:rPr>
          <w:rFonts w:ascii="Calibri" w:hAnsi="Calibri"/>
        </w:rPr>
        <w:t>This model can also be successfully applied to any stock</w:t>
      </w:r>
      <w:r>
        <w:rPr>
          <w:rFonts w:ascii="Calibri" w:hAnsi="Calibri"/>
        </w:rPr>
        <w:t xml:space="preserve">, and in Appendix I, we include the same concurrent model regression results for a list of different stocks across different sectors. The results corroborate to the conclusion that SOI scaled by volatility has a great explanatory power over mid quote returns. </w:t>
      </w:r>
    </w:p>
    <w:p w14:paraId="20FB994B" w14:textId="7D9893C8" w:rsidR="003A1540" w:rsidRDefault="00645329" w:rsidP="00645329">
      <w:pPr>
        <w:rPr>
          <w:rFonts w:ascii="Calibri" w:hAnsi="Calibri"/>
        </w:rPr>
      </w:pPr>
      <w:r>
        <w:rPr>
          <w:rFonts w:ascii="Calibri" w:hAnsi="Calibri"/>
        </w:rPr>
        <w:t>Next we explore how to use this information to predict mid quote price returns.</w:t>
      </w:r>
      <w:r w:rsidR="00994697">
        <w:rPr>
          <w:rFonts w:ascii="Calibri" w:hAnsi="Calibri"/>
        </w:rPr>
        <w:t xml:space="preserve"> And the equation below summarizes our prediction model:</w:t>
      </w:r>
    </w:p>
    <w:p w14:paraId="341DFDA6" w14:textId="0F5629BB" w:rsidR="00994697" w:rsidRDefault="00A57750" w:rsidP="00645329">
      <w:pPr>
        <w:rPr>
          <w:rFonts w:ascii="Calibri" w:hAnsi="Calibri"/>
        </w:rPr>
      </w:pPr>
      <m:oMath>
        <m:r>
          <w:rPr>
            <w:rFonts w:ascii="Cambria Math" w:hAnsi="Cambria Math"/>
          </w:rPr>
          <m:t>PReturn</m:t>
        </m:r>
        <m:d>
          <m:dPr>
            <m:ctrlPr>
              <w:rPr>
                <w:rFonts w:ascii="Cambria Math" w:hAnsi="Cambria Math"/>
                <w:i/>
              </w:rPr>
            </m:ctrlPr>
          </m:dPr>
          <m:e>
            <m:r>
              <w:rPr>
                <w:rFonts w:ascii="Cambria Math" w:hAnsi="Cambria Math"/>
              </w:rPr>
              <m:t>k+1</m:t>
            </m:r>
          </m:e>
        </m:d>
        <m:r>
          <w:rPr>
            <w:rFonts w:ascii="Cambria Math" w:hAnsi="Cambria Math"/>
          </w:rPr>
          <m:t>= 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SSOI</m:t>
            </m:r>
          </m:e>
          <m:sub>
            <m:r>
              <w:rPr>
                <w:rFonts w:ascii="Cambria Math" w:hAnsi="Cambria Math"/>
              </w:rPr>
              <m:t>tick, t</m:t>
            </m:r>
          </m:sub>
        </m:sSub>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SSOI</m:t>
            </m:r>
          </m:e>
          <m:sub>
            <m:r>
              <w:rPr>
                <w:rFonts w:ascii="Cambria Math" w:hAnsi="Cambria Math"/>
              </w:rPr>
              <m:t>tick, s&gt;</m:t>
            </m:r>
            <m:f>
              <m:fPr>
                <m:ctrlPr>
                  <w:rPr>
                    <w:rFonts w:ascii="Cambria Math" w:hAnsi="Cambria Math"/>
                    <w:i/>
                  </w:rPr>
                </m:ctrlPr>
              </m:fPr>
              <m:num>
                <m:r>
                  <w:rPr>
                    <w:rFonts w:ascii="Cambria Math" w:hAnsi="Cambria Math"/>
                  </w:rPr>
                  <m:t>t</m:t>
                </m:r>
              </m:num>
              <m:den>
                <m:r>
                  <w:rPr>
                    <w:rFonts w:ascii="Cambria Math" w:hAnsi="Cambria Math"/>
                  </w:rPr>
                  <m:t>2</m:t>
                </m:r>
              </m:den>
            </m:f>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∙PReturn</m:t>
        </m:r>
        <m:d>
          <m:dPr>
            <m:ctrlPr>
              <w:rPr>
                <w:rFonts w:ascii="Cambria Math" w:hAnsi="Cambria Math"/>
                <w:i/>
              </w:rPr>
            </m:ctrlPr>
          </m:dPr>
          <m:e>
            <m:r>
              <w:rPr>
                <w:rFonts w:ascii="Cambria Math" w:hAnsi="Cambria Math"/>
              </w:rPr>
              <m:t>k</m:t>
            </m:r>
          </m:e>
        </m:d>
        <m:r>
          <w:rPr>
            <w:rFonts w:ascii="Cambria Math" w:hAnsi="Cambria Math"/>
          </w:rPr>
          <m:t>+ ε</m:t>
        </m:r>
        <m:d>
          <m:dPr>
            <m:ctrlPr>
              <w:rPr>
                <w:rFonts w:ascii="Cambria Math" w:hAnsi="Cambria Math"/>
                <w:i/>
              </w:rPr>
            </m:ctrlPr>
          </m:dPr>
          <m:e>
            <m:r>
              <w:rPr>
                <w:rFonts w:ascii="Cambria Math" w:hAnsi="Cambria Math"/>
              </w:rPr>
              <m:t>k</m:t>
            </m:r>
          </m:e>
        </m:d>
      </m:oMath>
      <w:r w:rsidR="000A45BB">
        <w:rPr>
          <w:rFonts w:ascii="Calibri" w:hAnsi="Calibri"/>
        </w:rPr>
        <w:t xml:space="preserve">          </w:t>
      </w:r>
      <w:r w:rsidR="000A45BB" w:rsidRPr="000A45BB">
        <w:rPr>
          <w:rFonts w:ascii="Calibri" w:hAnsi="Calibri"/>
          <w:b/>
        </w:rPr>
        <w:t>(8)</w:t>
      </w:r>
    </w:p>
    <w:p w14:paraId="5ED01C03" w14:textId="0F8C7925" w:rsidR="0070546B" w:rsidRDefault="0070546B" w:rsidP="00645329">
      <w:pPr>
        <w:rPr>
          <w:rFonts w:ascii="Calibri" w:hAnsi="Calibri"/>
        </w:rPr>
      </w:pPr>
      <w:r>
        <w:rPr>
          <w:rFonts w:ascii="Calibri" w:hAnsi="Calibri"/>
        </w:rPr>
        <w:t xml:space="preserve">where </w:t>
      </w:r>
      <m:oMath>
        <m:sSub>
          <m:sSubPr>
            <m:ctrlPr>
              <w:rPr>
                <w:rFonts w:ascii="Cambria Math" w:hAnsi="Cambria Math"/>
                <w:i/>
              </w:rPr>
            </m:ctrlPr>
          </m:sSubPr>
          <m:e>
            <m:r>
              <w:rPr>
                <w:rFonts w:ascii="Cambria Math" w:hAnsi="Cambria Math"/>
              </w:rPr>
              <m:t>SSOI</m:t>
            </m:r>
          </m:e>
          <m:sub>
            <m:r>
              <w:rPr>
                <w:rFonts w:ascii="Cambria Math" w:hAnsi="Cambria Math"/>
              </w:rPr>
              <m:t>tick, s&gt;</m:t>
            </m:r>
            <m:f>
              <m:fPr>
                <m:ctrlPr>
                  <w:rPr>
                    <w:rFonts w:ascii="Cambria Math" w:hAnsi="Cambria Math"/>
                    <w:i/>
                  </w:rPr>
                </m:ctrlPr>
              </m:fPr>
              <m:num>
                <m:r>
                  <w:rPr>
                    <w:rFonts w:ascii="Cambria Math" w:hAnsi="Cambria Math"/>
                  </w:rPr>
                  <m:t>t</m:t>
                </m:r>
              </m:num>
              <m:den>
                <m:r>
                  <w:rPr>
                    <w:rFonts w:ascii="Cambria Math" w:hAnsi="Cambria Math"/>
                  </w:rPr>
                  <m:t>2</m:t>
                </m:r>
              </m:den>
            </m:f>
          </m:sub>
        </m:sSub>
      </m:oMath>
      <w:r>
        <w:rPr>
          <w:rFonts w:ascii="Calibri" w:hAnsi="Calibri"/>
        </w:rPr>
        <w:t xml:space="preserve"> measures partial SSOI, which only </w:t>
      </w:r>
      <w:r w:rsidR="006A6D11">
        <w:rPr>
          <w:rFonts w:ascii="Calibri" w:hAnsi="Calibri"/>
        </w:rPr>
        <w:t>incorporates trades</w:t>
      </w:r>
      <w:r>
        <w:rPr>
          <w:rFonts w:ascii="Calibri" w:hAnsi="Calibri"/>
        </w:rPr>
        <w:t xml:space="preserve"> </w:t>
      </w:r>
      <w:r w:rsidR="006A6D11">
        <w:rPr>
          <w:rFonts w:ascii="Calibri" w:hAnsi="Calibri"/>
        </w:rPr>
        <w:t>from</w:t>
      </w:r>
      <w:r>
        <w:rPr>
          <w:rFonts w:ascii="Calibri" w:hAnsi="Calibri"/>
        </w:rPr>
        <w:t xml:space="preserve"> the second half of a time bucket.</w:t>
      </w:r>
    </w:p>
    <w:p w14:paraId="4CF51C23" w14:textId="2D29A4D5" w:rsidR="003A1540" w:rsidRDefault="00FB6359" w:rsidP="00645329">
      <w:pPr>
        <w:rPr>
          <w:rFonts w:ascii="Calibri" w:hAnsi="Calibri"/>
        </w:rPr>
      </w:pPr>
      <w:r>
        <w:rPr>
          <w:rFonts w:ascii="Calibri" w:hAnsi="Calibri"/>
        </w:rPr>
        <w:t xml:space="preserve">And we compare this model </w:t>
      </w:r>
      <w:r w:rsidR="00E84B15">
        <w:rPr>
          <w:rFonts w:ascii="Calibri" w:hAnsi="Calibri"/>
        </w:rPr>
        <w:t xml:space="preserve">(equation (8)) </w:t>
      </w:r>
      <w:r>
        <w:rPr>
          <w:rFonts w:ascii="Calibri" w:hAnsi="Calibri"/>
        </w:rPr>
        <w:t>with a simple autoregressive model:</w:t>
      </w:r>
    </w:p>
    <w:p w14:paraId="40B01BB1" w14:textId="0D4056BB" w:rsidR="00FB6359" w:rsidRDefault="00FB6359" w:rsidP="00E84C7B">
      <w:pPr>
        <w:ind w:left="1440" w:firstLine="720"/>
        <w:rPr>
          <w:rFonts w:ascii="Calibri" w:hAnsi="Calibri"/>
        </w:rPr>
      </w:pPr>
      <m:oMath>
        <m:r>
          <w:rPr>
            <w:rFonts w:ascii="Cambria Math" w:hAnsi="Cambria Math"/>
          </w:rPr>
          <m:t>PReturn</m:t>
        </m:r>
        <m:d>
          <m:dPr>
            <m:ctrlPr>
              <w:rPr>
                <w:rFonts w:ascii="Cambria Math" w:hAnsi="Cambria Math"/>
                <w:i/>
              </w:rPr>
            </m:ctrlPr>
          </m:dPr>
          <m:e>
            <m:r>
              <w:rPr>
                <w:rFonts w:ascii="Cambria Math" w:hAnsi="Cambria Math"/>
              </w:rPr>
              <m:t>k+1</m:t>
            </m:r>
          </m:e>
        </m:d>
        <m:r>
          <w:rPr>
            <w:rFonts w:ascii="Cambria Math" w:hAnsi="Cambria Math"/>
          </w:rPr>
          <m:t>= α+β∙PReturn</m:t>
        </m:r>
        <m:d>
          <m:dPr>
            <m:ctrlPr>
              <w:rPr>
                <w:rFonts w:ascii="Cambria Math" w:hAnsi="Cambria Math"/>
                <w:i/>
              </w:rPr>
            </m:ctrlPr>
          </m:dPr>
          <m:e>
            <m:r>
              <w:rPr>
                <w:rFonts w:ascii="Cambria Math" w:hAnsi="Cambria Math"/>
              </w:rPr>
              <m:t>k</m:t>
            </m:r>
          </m:e>
        </m:d>
        <m:r>
          <w:rPr>
            <w:rFonts w:ascii="Cambria Math" w:hAnsi="Cambria Math"/>
          </w:rPr>
          <m:t>+ ε</m:t>
        </m:r>
        <m:d>
          <m:dPr>
            <m:ctrlPr>
              <w:rPr>
                <w:rFonts w:ascii="Cambria Math" w:hAnsi="Cambria Math"/>
                <w:i/>
              </w:rPr>
            </m:ctrlPr>
          </m:dPr>
          <m:e>
            <m:r>
              <w:rPr>
                <w:rFonts w:ascii="Cambria Math" w:hAnsi="Cambria Math"/>
              </w:rPr>
              <m:t>k</m:t>
            </m:r>
          </m:e>
        </m:d>
      </m:oMath>
      <w:r w:rsidR="00E84C7B">
        <w:rPr>
          <w:rFonts w:ascii="Calibri" w:hAnsi="Calibri"/>
        </w:rPr>
        <w:t xml:space="preserve">                                               </w:t>
      </w:r>
      <w:r w:rsidR="00E84C7B" w:rsidRPr="00E84C7B">
        <w:rPr>
          <w:rFonts w:ascii="Calibri" w:hAnsi="Calibri"/>
          <w:b/>
        </w:rPr>
        <w:t>(9)</w:t>
      </w:r>
    </w:p>
    <w:p w14:paraId="7EBBA977" w14:textId="256FFDCD" w:rsidR="002255BC" w:rsidRDefault="00FB6359" w:rsidP="00645329">
      <w:pPr>
        <w:rPr>
          <w:rFonts w:ascii="Calibri" w:hAnsi="Calibri"/>
        </w:rPr>
      </w:pPr>
      <w:r>
        <w:rPr>
          <w:rFonts w:ascii="Calibri" w:hAnsi="Calibri"/>
        </w:rPr>
        <w:lastRenderedPageBreak/>
        <w:t xml:space="preserve">The reason we even consider an autoregressive model is because our initial concurrent plots show good correlation between price movement and SSOI. And one important conclusion we can reach from the previous observation about predictive model based on SSOI is that such a model implicitly makes the assumption that there exists autocorrelation within the price changes! </w:t>
      </w:r>
      <w:r w:rsidR="002255BC">
        <w:rPr>
          <w:rFonts w:ascii="Calibri" w:hAnsi="Calibri"/>
        </w:rPr>
        <w:t>And the value SSOI can add is to make the price prediction more accurate, assuming there exists autocorrelation among the quote prices. To provide an example</w:t>
      </w:r>
      <w:r w:rsidR="0070546B">
        <w:rPr>
          <w:rFonts w:ascii="Calibri" w:hAnsi="Calibri"/>
        </w:rPr>
        <w:t>, we again use AMZN stock for 4/23/13 with 60 seconds time bucket.</w:t>
      </w:r>
    </w:p>
    <w:p w14:paraId="370A2C6D" w14:textId="1C571D34" w:rsidR="0023114C" w:rsidRDefault="0023114C" w:rsidP="00645329">
      <w:pPr>
        <w:rPr>
          <w:rFonts w:ascii="Calibri" w:hAnsi="Calibri"/>
        </w:rPr>
      </w:pPr>
      <w:r>
        <w:rPr>
          <w:rFonts w:ascii="Calibri" w:hAnsi="Calibri"/>
        </w:rPr>
        <w:t>Here are the results:</w:t>
      </w:r>
    </w:p>
    <w:p w14:paraId="4253D71B" w14:textId="46A5E55D" w:rsidR="0070546B" w:rsidRDefault="0070546B" w:rsidP="00645329">
      <w:pPr>
        <w:rPr>
          <w:rFonts w:ascii="Calibri" w:hAnsi="Calibri"/>
        </w:rPr>
      </w:pPr>
      <w:r>
        <w:rPr>
          <w:rFonts w:ascii="Calibri" w:hAnsi="Calibri"/>
        </w:rPr>
        <w:t>If we use only the lag return, the model R</w:t>
      </w:r>
    </w:p>
    <w:p w14:paraId="678EBFCE" w14:textId="4321EAB0" w:rsidR="003A1540" w:rsidRDefault="0070546B" w:rsidP="003629F7">
      <w:pPr>
        <w:jc w:val="center"/>
        <w:rPr>
          <w:rFonts w:ascii="Calibri" w:hAnsi="Calibri"/>
        </w:rPr>
      </w:pPr>
      <w:r>
        <w:rPr>
          <w:noProof/>
        </w:rPr>
        <w:drawing>
          <wp:inline distT="0" distB="0" distL="0" distR="0" wp14:anchorId="07354B4A" wp14:editId="0FEF8034">
            <wp:extent cx="4754880" cy="2191350"/>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3453" cy="2209127"/>
                    </a:xfrm>
                    <a:prstGeom prst="rect">
                      <a:avLst/>
                    </a:prstGeom>
                  </pic:spPr>
                </pic:pic>
              </a:graphicData>
            </a:graphic>
          </wp:inline>
        </w:drawing>
      </w:r>
    </w:p>
    <w:p w14:paraId="547F69BD" w14:textId="4B884629" w:rsidR="0070546B" w:rsidRDefault="0070546B" w:rsidP="00645329">
      <w:pPr>
        <w:rPr>
          <w:rFonts w:ascii="Calibri" w:hAnsi="Calibri"/>
        </w:rPr>
      </w:pPr>
      <w:r>
        <w:rPr>
          <w:rFonts w:ascii="Calibri" w:hAnsi="Calibri"/>
        </w:rPr>
        <w:t>The R^2 = 3.86%, with a p-value = 4.08e-5</w:t>
      </w:r>
    </w:p>
    <w:p w14:paraId="6DD74C1C" w14:textId="77777777" w:rsidR="00F4572A" w:rsidRDefault="00C47B44" w:rsidP="00F4572A">
      <w:pPr>
        <w:rPr>
          <w:rFonts w:ascii="Calibri" w:hAnsi="Calibri"/>
        </w:rPr>
      </w:pPr>
      <w:r>
        <w:rPr>
          <w:rFonts w:ascii="Calibri" w:hAnsi="Calibri"/>
        </w:rPr>
        <w:t xml:space="preserve">After employing model </w:t>
      </w:r>
      <w:r w:rsidRPr="003629F7">
        <w:rPr>
          <w:rFonts w:ascii="Calibri" w:hAnsi="Calibri"/>
          <w:b/>
        </w:rPr>
        <w:t>(8)</w:t>
      </w:r>
      <w:r>
        <w:rPr>
          <w:rFonts w:ascii="Calibri" w:hAnsi="Calibri"/>
        </w:rPr>
        <w:t xml:space="preserve">, the R^2 increases to 6.42%, </w:t>
      </w:r>
      <w:r w:rsidR="003629F7">
        <w:rPr>
          <w:rFonts w:ascii="Calibri" w:hAnsi="Calibri"/>
        </w:rPr>
        <w:t>with an adjusted R^2 of 5.6%, and</w:t>
      </w:r>
      <w:r>
        <w:rPr>
          <w:rFonts w:ascii="Calibri" w:hAnsi="Calibri"/>
        </w:rPr>
        <w:t xml:space="preserve"> a p-value = 4.084e-5. </w:t>
      </w:r>
      <w:r w:rsidR="00F4572A">
        <w:rPr>
          <w:rFonts w:ascii="Calibri" w:hAnsi="Calibri"/>
        </w:rPr>
        <w:t xml:space="preserve">We expand the analysis to multiple stocks for six different days, and we record adjusted R^2 improvement resulted from using our model against R^2 obtained using simple auto-regression. (See Appendix I for details) </w:t>
      </w:r>
    </w:p>
    <w:p w14:paraId="48D4533C" w14:textId="75D1A24B" w:rsidR="000A45BB" w:rsidRDefault="00682C1F" w:rsidP="00F4572A">
      <w:pPr>
        <w:rPr>
          <w:rFonts w:ascii="Calibri" w:hAnsi="Calibri"/>
        </w:rPr>
      </w:pPr>
      <w:r>
        <w:rPr>
          <w:rFonts w:ascii="Calibri" w:hAnsi="Calibri"/>
        </w:rPr>
        <w:t>The results are satisfactory. F</w:t>
      </w:r>
      <w:r w:rsidR="00F4572A">
        <w:rPr>
          <w:rFonts w:ascii="Calibri" w:hAnsi="Calibri"/>
        </w:rPr>
        <w:t>or p-values &lt; 0.1, the model achieves higher adjusted R^2 in 82.5% of the cases. And for p-values &lt;</w:t>
      </w:r>
      <w:r w:rsidR="0039480E">
        <w:rPr>
          <w:rFonts w:ascii="Calibri" w:hAnsi="Calibri"/>
        </w:rPr>
        <w:t xml:space="preserve"> </w:t>
      </w:r>
      <w:r w:rsidR="00F4572A">
        <w:rPr>
          <w:rFonts w:ascii="Calibri" w:hAnsi="Calibri"/>
        </w:rPr>
        <w:t xml:space="preserve">0.05, this model achieves higher adjusted R^2 in 90.91% of the cases. These results suggest when there is autocorrelation present in mid quote returns, adding SSOI as additional </w:t>
      </w:r>
      <w:r w:rsidR="00655851">
        <w:rPr>
          <w:rFonts w:ascii="Calibri" w:hAnsi="Calibri"/>
        </w:rPr>
        <w:t xml:space="preserve">independent variables can improve the performance of our predictive model. </w:t>
      </w:r>
    </w:p>
    <w:p w14:paraId="1DE24D03" w14:textId="77777777" w:rsidR="00EF34DE" w:rsidRPr="00320D6C" w:rsidRDefault="00EF34DE" w:rsidP="00EF34DE">
      <w:pPr>
        <w:rPr>
          <w:rFonts w:ascii="Calibri" w:hAnsi="Calibri"/>
          <w:u w:val="single"/>
        </w:rPr>
      </w:pPr>
      <w:r>
        <w:rPr>
          <w:rFonts w:ascii="Calibri" w:hAnsi="Calibri"/>
          <w:u w:val="single"/>
        </w:rPr>
        <w:t>Discussion</w:t>
      </w:r>
      <w:r w:rsidRPr="00320D6C">
        <w:rPr>
          <w:rFonts w:ascii="Calibri" w:hAnsi="Calibri"/>
          <w:u w:val="single"/>
        </w:rPr>
        <w:t xml:space="preserve"> of SSOI measures</w:t>
      </w:r>
      <w:r>
        <w:rPr>
          <w:rFonts w:ascii="Calibri" w:hAnsi="Calibri"/>
          <w:u w:val="single"/>
        </w:rPr>
        <w:t xml:space="preserve"> as a predictor</w:t>
      </w:r>
      <w:r w:rsidRPr="00320D6C">
        <w:rPr>
          <w:rFonts w:ascii="Calibri" w:hAnsi="Calibri"/>
          <w:u w:val="single"/>
        </w:rPr>
        <w:t>:</w:t>
      </w:r>
    </w:p>
    <w:p w14:paraId="0DB12065" w14:textId="4E95860D" w:rsidR="00EF34DE" w:rsidRDefault="00EF34DE" w:rsidP="00EF34DE">
      <w:pPr>
        <w:rPr>
          <w:rFonts w:ascii="Calibri" w:hAnsi="Calibri"/>
        </w:rPr>
      </w:pPr>
      <w:r>
        <w:rPr>
          <w:rFonts w:ascii="Calibri" w:hAnsi="Calibri"/>
        </w:rPr>
        <w:t xml:space="preserve">SSOI measure as a price change predictor is not strong. This is clearly evident by the weak R^2 results presented in the Appendix. </w:t>
      </w:r>
      <w:r w:rsidR="0068582D">
        <w:rPr>
          <w:rFonts w:ascii="Calibri" w:hAnsi="Calibri"/>
        </w:rPr>
        <w:t xml:space="preserve">Its weak predictive power can potentially be explained by SSOI’s strong correlation with concurrent price change. </w:t>
      </w:r>
    </w:p>
    <w:p w14:paraId="345021A7" w14:textId="7C4CDBD5" w:rsidR="008D7167" w:rsidRDefault="00EF34DE" w:rsidP="00EF34DE">
      <w:pPr>
        <w:rPr>
          <w:rFonts w:ascii="Calibri" w:hAnsi="Calibri"/>
        </w:rPr>
      </w:pPr>
      <w:r>
        <w:rPr>
          <w:rFonts w:ascii="Calibri" w:hAnsi="Calibri"/>
        </w:rPr>
        <w:t>There is significant multicollinearity in this model. Moticollinearity is a statistical phenomenon when two or more predicting variables are highly correlated. In this model, high correlations exist among all th</w:t>
      </w:r>
      <w:r w:rsidR="00CA58AB">
        <w:rPr>
          <w:rFonts w:ascii="Calibri" w:hAnsi="Calibri"/>
        </w:rPr>
        <w:t>ree predictors. The correlation</w:t>
      </w:r>
      <w:r>
        <w:rPr>
          <w:rFonts w:ascii="Calibri" w:hAnsi="Calibri"/>
        </w:rPr>
        <w:t xml:space="preserve"> between lag quote returns and </w:t>
      </w:r>
      <m:oMath>
        <m:sSub>
          <m:sSubPr>
            <m:ctrlPr>
              <w:rPr>
                <w:rFonts w:ascii="Cambria Math" w:hAnsi="Cambria Math"/>
                <w:i/>
              </w:rPr>
            </m:ctrlPr>
          </m:sSubPr>
          <m:e>
            <m:r>
              <w:rPr>
                <w:rFonts w:ascii="Cambria Math" w:hAnsi="Cambria Math"/>
              </w:rPr>
              <m:t>SSOI</m:t>
            </m:r>
          </m:e>
          <m:sub>
            <m:r>
              <w:rPr>
                <w:rFonts w:ascii="Cambria Math" w:hAnsi="Cambria Math"/>
              </w:rPr>
              <m:t>tick, t</m:t>
            </m:r>
          </m:sub>
        </m:sSub>
        <m:d>
          <m:dPr>
            <m:ctrlPr>
              <w:rPr>
                <w:rFonts w:ascii="Cambria Math" w:hAnsi="Cambria Math"/>
                <w:i/>
              </w:rPr>
            </m:ctrlPr>
          </m:dPr>
          <m:e>
            <m:r>
              <w:rPr>
                <w:rFonts w:ascii="Cambria Math" w:hAnsi="Cambria Math"/>
              </w:rPr>
              <m:t>k</m:t>
            </m:r>
          </m:e>
        </m:d>
      </m:oMath>
      <w:r>
        <w:rPr>
          <w:rFonts w:ascii="Calibri" w:hAnsi="Calibri"/>
        </w:rPr>
        <w:t xml:space="preserve"> are already demonstr</w:t>
      </w:r>
      <w:r w:rsidR="00CA58AB">
        <w:rPr>
          <w:rFonts w:ascii="Calibri" w:hAnsi="Calibri"/>
        </w:rPr>
        <w:t xml:space="preserve">ated, and </w:t>
      </w:r>
      <w:r w:rsidR="00CA58AB">
        <w:rPr>
          <w:rFonts w:ascii="Calibri" w:hAnsi="Calibri"/>
        </w:rPr>
        <w:lastRenderedPageBreak/>
        <w:t xml:space="preserve">the correlation between </w:t>
      </w:r>
      <m:oMath>
        <m:sSub>
          <m:sSubPr>
            <m:ctrlPr>
              <w:rPr>
                <w:rFonts w:ascii="Cambria Math" w:hAnsi="Cambria Math"/>
                <w:i/>
              </w:rPr>
            </m:ctrlPr>
          </m:sSubPr>
          <m:e>
            <m:r>
              <w:rPr>
                <w:rFonts w:ascii="Cambria Math" w:hAnsi="Cambria Math"/>
              </w:rPr>
              <m:t>SSOI</m:t>
            </m:r>
          </m:e>
          <m:sub>
            <m:r>
              <w:rPr>
                <w:rFonts w:ascii="Cambria Math" w:hAnsi="Cambria Math"/>
              </w:rPr>
              <m:t>tick, t</m:t>
            </m:r>
          </m:sub>
        </m:sSub>
        <m:d>
          <m:dPr>
            <m:ctrlPr>
              <w:rPr>
                <w:rFonts w:ascii="Cambria Math" w:hAnsi="Cambria Math"/>
                <w:i/>
              </w:rPr>
            </m:ctrlPr>
          </m:dPr>
          <m:e>
            <m:r>
              <w:rPr>
                <w:rFonts w:ascii="Cambria Math" w:hAnsi="Cambria Math"/>
              </w:rPr>
              <m:t>k</m:t>
            </m:r>
          </m:e>
        </m:d>
      </m:oMath>
      <w:r w:rsidR="00CA58AB">
        <w:rPr>
          <w:rFonts w:ascii="Calibri" w:hAnsi="Calibri"/>
        </w:rPr>
        <w:t xml:space="preserve"> and </w:t>
      </w:r>
      <m:oMath>
        <m:sSub>
          <m:sSubPr>
            <m:ctrlPr>
              <w:rPr>
                <w:rFonts w:ascii="Cambria Math" w:hAnsi="Cambria Math"/>
                <w:i/>
              </w:rPr>
            </m:ctrlPr>
          </m:sSubPr>
          <m:e>
            <m:r>
              <w:rPr>
                <w:rFonts w:ascii="Cambria Math" w:hAnsi="Cambria Math"/>
              </w:rPr>
              <m:t>SSOI</m:t>
            </m:r>
          </m:e>
          <m:sub>
            <m:r>
              <w:rPr>
                <w:rFonts w:ascii="Cambria Math" w:hAnsi="Cambria Math"/>
              </w:rPr>
              <m:t>tick,</m:t>
            </m:r>
            <m:r>
              <w:rPr>
                <w:rFonts w:ascii="Cambria Math" w:hAnsi="Cambria Math"/>
              </w:rPr>
              <m:t xml:space="preserve">s &gt; </m:t>
            </m:r>
            <m:r>
              <w:rPr>
                <w:rFonts w:ascii="Cambria Math" w:hAnsi="Cambria Math"/>
              </w:rPr>
              <m:t>t</m:t>
            </m:r>
            <m:r>
              <w:rPr>
                <w:rFonts w:ascii="Cambria Math" w:hAnsi="Cambria Math"/>
              </w:rPr>
              <m:t>/2</m:t>
            </m:r>
          </m:sub>
        </m:sSub>
        <m:d>
          <m:dPr>
            <m:ctrlPr>
              <w:rPr>
                <w:rFonts w:ascii="Cambria Math" w:hAnsi="Cambria Math"/>
                <w:i/>
              </w:rPr>
            </m:ctrlPr>
          </m:dPr>
          <m:e>
            <m:r>
              <w:rPr>
                <w:rFonts w:ascii="Cambria Math" w:hAnsi="Cambria Math"/>
              </w:rPr>
              <m:t>k</m:t>
            </m:r>
          </m:e>
        </m:d>
      </m:oMath>
      <w:r w:rsidR="00CA58AB">
        <w:rPr>
          <w:rFonts w:ascii="Calibri" w:hAnsi="Calibri"/>
        </w:rPr>
        <w:t xml:space="preserve"> </w:t>
      </w:r>
      <w:r w:rsidR="006E4469">
        <w:rPr>
          <w:rFonts w:ascii="Calibri" w:hAnsi="Calibri"/>
        </w:rPr>
        <w:t>is strong sinc</w:t>
      </w:r>
      <w:r w:rsidR="008D7167">
        <w:rPr>
          <w:rFonts w:ascii="Calibri" w:hAnsi="Calibri"/>
        </w:rPr>
        <w:t xml:space="preserve">e </w:t>
      </w:r>
      <w:r w:rsidR="006E4469">
        <w:rPr>
          <w:rFonts w:ascii="Calibri" w:hAnsi="Calibri"/>
        </w:rPr>
        <w:t xml:space="preserve">both measures share the data used for computation. </w:t>
      </w:r>
      <w:r w:rsidR="008D7167">
        <w:rPr>
          <w:rFonts w:ascii="Calibri" w:hAnsi="Calibri"/>
        </w:rPr>
        <w:t>One problematic consequence of multicollinearity is to effectively estimate the coefficients of each independent variable. From our observation, these coefficients fluctuate widely on a daily basis:</w:t>
      </w:r>
    </w:p>
    <w:p w14:paraId="145AEFA2" w14:textId="4BA45B7C" w:rsidR="008D7167" w:rsidRDefault="008D7167" w:rsidP="007A3A7C">
      <w:pPr>
        <w:jc w:val="center"/>
        <w:rPr>
          <w:rFonts w:ascii="Calibri" w:hAnsi="Calibri"/>
        </w:rPr>
      </w:pPr>
      <w:r>
        <w:rPr>
          <w:noProof/>
        </w:rPr>
        <w:drawing>
          <wp:inline distT="0" distB="0" distL="0" distR="0" wp14:anchorId="7B56823A" wp14:editId="37E27C26">
            <wp:extent cx="5181600" cy="1699260"/>
            <wp:effectExtent l="0" t="0" r="0" b="1524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27472D" w14:textId="57212B6A" w:rsidR="00EF34DE" w:rsidRDefault="005F2A3F" w:rsidP="00F4572A">
      <w:pPr>
        <w:rPr>
          <w:rFonts w:ascii="Calibri" w:hAnsi="Calibri"/>
        </w:rPr>
      </w:pPr>
      <w:r>
        <w:rPr>
          <w:rFonts w:ascii="Calibri" w:hAnsi="Calibri"/>
        </w:rPr>
        <w:t>M</w:t>
      </w:r>
      <w:r w:rsidR="00F82C7D">
        <w:rPr>
          <w:rFonts w:ascii="Calibri" w:hAnsi="Calibri"/>
        </w:rPr>
        <w:t>ulticollinearity</w:t>
      </w:r>
      <w:r>
        <w:rPr>
          <w:rFonts w:ascii="Calibri" w:hAnsi="Calibri"/>
        </w:rPr>
        <w:t>, however,</w:t>
      </w:r>
      <w:r w:rsidR="00F82C7D">
        <w:rPr>
          <w:rFonts w:ascii="Calibri" w:hAnsi="Calibri"/>
        </w:rPr>
        <w:t xml:space="preserve"> does not undermine the model’s predictive power as a whole</w:t>
      </w:r>
      <w:r w:rsidR="008D7167">
        <w:rPr>
          <w:rFonts w:ascii="Calibri" w:hAnsi="Calibri"/>
        </w:rPr>
        <w:t>, and</w:t>
      </w:r>
      <w:r w:rsidR="004A739B">
        <w:rPr>
          <w:rFonts w:ascii="Calibri" w:hAnsi="Calibri"/>
        </w:rPr>
        <w:t xml:space="preserve"> </w:t>
      </w:r>
      <w:r w:rsidR="008D7167">
        <w:rPr>
          <w:rFonts w:ascii="Calibri" w:hAnsi="Calibri"/>
        </w:rPr>
        <w:t>R^2 improvements</w:t>
      </w:r>
      <w:r w:rsidR="004A739B">
        <w:rPr>
          <w:rFonts w:ascii="Calibri" w:hAnsi="Calibri"/>
        </w:rPr>
        <w:t xml:space="preserve"> after adjustment</w:t>
      </w:r>
      <w:r w:rsidR="008D7167">
        <w:rPr>
          <w:rFonts w:ascii="Calibri" w:hAnsi="Calibri"/>
        </w:rPr>
        <w:t xml:space="preserve"> introduced by both SSOI measures suggest </w:t>
      </w:r>
      <w:r w:rsidR="004A739B">
        <w:rPr>
          <w:rFonts w:ascii="Calibri" w:hAnsi="Calibri"/>
        </w:rPr>
        <w:t xml:space="preserve">values in using SSOI as a predictive variable. </w:t>
      </w:r>
    </w:p>
    <w:p w14:paraId="2379A242" w14:textId="6684BF04" w:rsidR="00E47A93" w:rsidRPr="00CA728C" w:rsidRDefault="00E47A93" w:rsidP="00E47A93">
      <w:pPr>
        <w:rPr>
          <w:rFonts w:ascii="Calibri" w:hAnsi="Calibri"/>
          <w:b/>
        </w:rPr>
      </w:pPr>
      <w:r>
        <w:rPr>
          <w:rFonts w:ascii="Calibri" w:hAnsi="Calibri"/>
          <w:b/>
        </w:rPr>
        <w:t xml:space="preserve">Tick Data with Volume bucketing </w:t>
      </w:r>
      <w:r w:rsidRPr="00CA728C">
        <w:rPr>
          <w:rFonts w:ascii="Calibri" w:hAnsi="Calibri"/>
          <w:b/>
        </w:rPr>
        <w:t>Analysis:</w:t>
      </w:r>
    </w:p>
    <w:p w14:paraId="33F6F09E" w14:textId="397B0679" w:rsidR="00E47A93" w:rsidRDefault="00AD3A4E" w:rsidP="00F4572A">
      <w:pPr>
        <w:rPr>
          <w:rFonts w:ascii="Calibri" w:hAnsi="Calibri"/>
        </w:rPr>
      </w:pPr>
      <w:r>
        <w:rPr>
          <w:rFonts w:ascii="Calibri" w:hAnsi="Calibri"/>
        </w:rPr>
        <w:t>In this section, we strive to examine the effect of using time bin instead of tick data; and we explore the adjustment we need to make to the previous predictive model and what are the essential differences between the two bucketing mechanisms.</w:t>
      </w:r>
    </w:p>
    <w:p w14:paraId="6C6C4D33" w14:textId="467D9D3C" w:rsidR="00AD3A4E" w:rsidRDefault="00AD3A4E" w:rsidP="00F4572A">
      <w:pPr>
        <w:rPr>
          <w:rFonts w:ascii="Calibri" w:hAnsi="Calibri"/>
        </w:rPr>
      </w:pPr>
      <w:r>
        <w:rPr>
          <w:rFonts w:ascii="Calibri" w:hAnsi="Calibri"/>
        </w:rPr>
        <w:t>First, we compare the difference in using time bins and tick data. We have again used 4/23/2013’s AMZN data as a testing set. Unlike ELO has suggested that using trade-by-trade classification can lead to great misclassification, trade-by trade classification clearly is a winner here:</w:t>
      </w:r>
    </w:p>
    <w:p w14:paraId="2BFD8F9B" w14:textId="723D74DB" w:rsidR="00AD3A4E" w:rsidRDefault="00AD3A4E" w:rsidP="00AD3A4E">
      <w:pPr>
        <w:jc w:val="center"/>
        <w:rPr>
          <w:rFonts w:ascii="Calibri" w:hAnsi="Calibri"/>
        </w:rPr>
      </w:pPr>
      <w:r>
        <w:rPr>
          <w:noProof/>
        </w:rPr>
        <w:drawing>
          <wp:inline distT="0" distB="0" distL="0" distR="0" wp14:anchorId="3AB8EA86" wp14:editId="10269F47">
            <wp:extent cx="4069080" cy="2955248"/>
            <wp:effectExtent l="0" t="0" r="762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1709" cy="2978946"/>
                    </a:xfrm>
                    <a:prstGeom prst="rect">
                      <a:avLst/>
                    </a:prstGeom>
                  </pic:spPr>
                </pic:pic>
              </a:graphicData>
            </a:graphic>
          </wp:inline>
        </w:drawing>
      </w:r>
    </w:p>
    <w:p w14:paraId="5CD30A29" w14:textId="77777777" w:rsidR="00DE5B13" w:rsidRDefault="00DE5B13" w:rsidP="003A1540">
      <w:pPr>
        <w:ind w:left="360"/>
        <w:rPr>
          <w:rFonts w:ascii="Calibri" w:hAnsi="Calibri"/>
        </w:rPr>
      </w:pPr>
      <w:r>
        <w:rPr>
          <w:rFonts w:ascii="Calibri" w:hAnsi="Calibri"/>
        </w:rPr>
        <w:lastRenderedPageBreak/>
        <w:t>Another phenomenon we have noticed is scaling the SOI measure by a volatility measure does not increase model fitting accuracies, the following plot is a clear demonstration:</w:t>
      </w:r>
    </w:p>
    <w:p w14:paraId="40F174E0" w14:textId="0515BA05" w:rsidR="00DE5B13" w:rsidRDefault="00236F01" w:rsidP="00236F01">
      <w:pPr>
        <w:ind w:left="360"/>
        <w:jc w:val="center"/>
        <w:rPr>
          <w:rFonts w:ascii="Calibri" w:hAnsi="Calibri"/>
        </w:rPr>
      </w:pPr>
      <w:r>
        <w:rPr>
          <w:noProof/>
        </w:rPr>
        <w:drawing>
          <wp:inline distT="0" distB="0" distL="0" distR="0" wp14:anchorId="0081EEC7" wp14:editId="02EE2533">
            <wp:extent cx="5280660" cy="1892237"/>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6155" cy="1901373"/>
                    </a:xfrm>
                    <a:prstGeom prst="rect">
                      <a:avLst/>
                    </a:prstGeom>
                  </pic:spPr>
                </pic:pic>
              </a:graphicData>
            </a:graphic>
          </wp:inline>
        </w:drawing>
      </w:r>
    </w:p>
    <w:p w14:paraId="65A9FA74" w14:textId="362AB9F5" w:rsidR="00B9784B" w:rsidRDefault="00B9784B" w:rsidP="00B9784B">
      <w:pPr>
        <w:ind w:left="360"/>
        <w:rPr>
          <w:rFonts w:ascii="Calibri" w:hAnsi="Calibri"/>
        </w:rPr>
      </w:pPr>
      <w:r>
        <w:rPr>
          <w:rFonts w:ascii="Calibri" w:hAnsi="Calibri"/>
        </w:rPr>
        <w:t xml:space="preserve">And for the prediction model, we modify equation </w:t>
      </w:r>
      <w:r w:rsidRPr="00B9784B">
        <w:rPr>
          <w:rFonts w:ascii="Calibri" w:hAnsi="Calibri"/>
          <w:b/>
        </w:rPr>
        <w:t>(8)</w:t>
      </w:r>
      <w:r>
        <w:rPr>
          <w:rFonts w:ascii="Calibri" w:hAnsi="Calibri"/>
        </w:rPr>
        <w:t xml:space="preserve"> to be</w:t>
      </w:r>
    </w:p>
    <w:p w14:paraId="632004C4" w14:textId="06E03221" w:rsidR="005233A7" w:rsidRPr="00B9784B" w:rsidRDefault="005233A7" w:rsidP="00236F01">
      <w:pPr>
        <w:ind w:left="360"/>
        <w:jc w:val="center"/>
        <w:rPr>
          <w:rFonts w:ascii="Calibri" w:hAnsi="Calibri"/>
        </w:rPr>
      </w:pPr>
      <m:oMath>
        <m:r>
          <w:rPr>
            <w:rFonts w:ascii="Cambria Math" w:hAnsi="Cambria Math"/>
          </w:rPr>
          <m:t>PReturn</m:t>
        </m:r>
        <m:d>
          <m:dPr>
            <m:ctrlPr>
              <w:rPr>
                <w:rFonts w:ascii="Cambria Math" w:hAnsi="Cambria Math"/>
                <w:i/>
              </w:rPr>
            </m:ctrlPr>
          </m:dPr>
          <m:e>
            <m:r>
              <w:rPr>
                <w:rFonts w:ascii="Cambria Math" w:hAnsi="Cambria Math"/>
              </w:rPr>
              <m:t>k+1</m:t>
            </m:r>
          </m:e>
        </m:d>
        <m:r>
          <w:rPr>
            <w:rFonts w:ascii="Cambria Math" w:hAnsi="Cambria Math"/>
          </w:rPr>
          <m:t>= 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SOI</m:t>
            </m:r>
          </m:e>
          <m:sub>
            <m:r>
              <w:rPr>
                <w:rFonts w:ascii="Cambria Math" w:hAnsi="Cambria Math"/>
              </w:rPr>
              <m:t>tick, v</m:t>
            </m:r>
          </m:sub>
        </m:sSub>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SOI</m:t>
            </m:r>
          </m:e>
          <m:sub>
            <m:r>
              <w:rPr>
                <w:rFonts w:ascii="Cambria Math" w:hAnsi="Cambria Math"/>
              </w:rPr>
              <m:t>tick, u&gt;</m:t>
            </m:r>
            <m:f>
              <m:fPr>
                <m:ctrlPr>
                  <w:rPr>
                    <w:rFonts w:ascii="Cambria Math" w:hAnsi="Cambria Math"/>
                    <w:i/>
                  </w:rPr>
                </m:ctrlPr>
              </m:fPr>
              <m:num>
                <m:r>
                  <w:rPr>
                    <w:rFonts w:ascii="Cambria Math" w:hAnsi="Cambria Math"/>
                  </w:rPr>
                  <m:t>v</m:t>
                </m:r>
              </m:num>
              <m:den>
                <m:r>
                  <w:rPr>
                    <w:rFonts w:ascii="Cambria Math" w:hAnsi="Cambria Math"/>
                  </w:rPr>
                  <m:t>2</m:t>
                </m:r>
              </m:den>
            </m:f>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∙PReturn</m:t>
        </m:r>
        <m:d>
          <m:dPr>
            <m:ctrlPr>
              <w:rPr>
                <w:rFonts w:ascii="Cambria Math" w:hAnsi="Cambria Math"/>
                <w:i/>
              </w:rPr>
            </m:ctrlPr>
          </m:dPr>
          <m:e>
            <m:r>
              <w:rPr>
                <w:rFonts w:ascii="Cambria Math" w:hAnsi="Cambria Math"/>
              </w:rPr>
              <m:t>k</m:t>
            </m:r>
          </m:e>
        </m:d>
        <m:r>
          <w:rPr>
            <w:rFonts w:ascii="Cambria Math" w:hAnsi="Cambria Math"/>
          </w:rPr>
          <m:t>+ ε</m:t>
        </m:r>
        <m:d>
          <m:dPr>
            <m:ctrlPr>
              <w:rPr>
                <w:rFonts w:ascii="Cambria Math" w:hAnsi="Cambria Math"/>
                <w:i/>
              </w:rPr>
            </m:ctrlPr>
          </m:dPr>
          <m:e>
            <m:r>
              <w:rPr>
                <w:rFonts w:ascii="Cambria Math" w:hAnsi="Cambria Math"/>
              </w:rPr>
              <m:t>k</m:t>
            </m:r>
          </m:e>
        </m:d>
      </m:oMath>
      <w:r w:rsidR="00B9784B">
        <w:rPr>
          <w:rFonts w:ascii="Calibri" w:hAnsi="Calibri"/>
        </w:rPr>
        <w:t xml:space="preserve">    </w:t>
      </w:r>
      <w:r w:rsidR="00B9784B" w:rsidRPr="00B9784B">
        <w:rPr>
          <w:rFonts w:ascii="Calibri" w:hAnsi="Calibri"/>
          <w:b/>
        </w:rPr>
        <w:t>(10)</w:t>
      </w:r>
    </w:p>
    <w:p w14:paraId="45D1D740" w14:textId="3E728ADF" w:rsidR="00B9784B" w:rsidRDefault="00B9784B" w:rsidP="003C06FA">
      <w:pPr>
        <w:ind w:left="360"/>
        <w:rPr>
          <w:rFonts w:ascii="Calibri" w:hAnsi="Calibri"/>
        </w:rPr>
      </w:pPr>
      <w:r>
        <w:rPr>
          <w:rFonts w:ascii="Calibri" w:hAnsi="Calibri"/>
        </w:rPr>
        <w:t xml:space="preserve">And we repeat the same procedure. This time, </w:t>
      </w:r>
      <w:r w:rsidR="003C06FA">
        <w:rPr>
          <w:rFonts w:ascii="Calibri" w:hAnsi="Calibri"/>
        </w:rPr>
        <w:t>for p-value &lt; 0.1, the predictive model beats the autoregressive model only 46.67% of the times, and for p-value &lt; 0.05, this number drops to 40%. (for details, please check Appendix I). Yet we have also noticed the general drop in the % of p-values &lt; 0.1. This is what is happening: b</w:t>
      </w:r>
      <w:r w:rsidR="00C40610">
        <w:rPr>
          <w:rFonts w:ascii="Calibri" w:hAnsi="Calibri"/>
        </w:rPr>
        <w:t>y using volume bucketing, we are creating unequally spaced time forecasting intervals (unless trades occur uniformly throughout the day, and this is clearly false). Therefore, it is not realistic to employ the same autocorrelation model as a benchmark. Yet, if lag bucket mid quote returns no longer have any predictive power, then the same model based on SOI falls apart as well. This is the con</w:t>
      </w:r>
      <w:r w:rsidR="0028500E">
        <w:rPr>
          <w:rFonts w:ascii="Calibri" w:hAnsi="Calibri"/>
        </w:rPr>
        <w:t xml:space="preserve">clusion we have reached in the previous section. </w:t>
      </w:r>
    </w:p>
    <w:p w14:paraId="0953CC37" w14:textId="6ECE0F54" w:rsidR="0028500E" w:rsidRDefault="0028500E" w:rsidP="00B9784B">
      <w:pPr>
        <w:ind w:left="360"/>
        <w:rPr>
          <w:rFonts w:ascii="Calibri" w:hAnsi="Calibri"/>
        </w:rPr>
      </w:pPr>
      <w:r>
        <w:rPr>
          <w:rFonts w:ascii="Calibri" w:hAnsi="Calibri"/>
        </w:rPr>
        <w:t xml:space="preserve">Therefore, we conclude Tick Data/time bin with time bucketing should be the ideal way to construct SOI, which can be further utilized to improve an existing price change prediction model, given we can observe autocorrelation among short-term lags. </w:t>
      </w:r>
    </w:p>
    <w:p w14:paraId="7D3793E2" w14:textId="77777777" w:rsidR="007A187B" w:rsidRDefault="007A187B" w:rsidP="006706EC">
      <w:pPr>
        <w:rPr>
          <w:rFonts w:ascii="Calibri" w:hAnsi="Calibri"/>
        </w:rPr>
      </w:pPr>
    </w:p>
    <w:p w14:paraId="6CD24F02" w14:textId="56DABEDA" w:rsidR="00101293" w:rsidRDefault="00101293" w:rsidP="006706EC">
      <w:pPr>
        <w:rPr>
          <w:rFonts w:ascii="Calibri" w:hAnsi="Calibri"/>
        </w:rPr>
      </w:pPr>
    </w:p>
    <w:sectPr w:rsidR="00101293" w:rsidSect="007A187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05F35" w14:textId="77777777" w:rsidR="002226D8" w:rsidRDefault="002226D8" w:rsidP="00065423">
      <w:pPr>
        <w:spacing w:after="0" w:line="240" w:lineRule="auto"/>
      </w:pPr>
      <w:r>
        <w:separator/>
      </w:r>
    </w:p>
  </w:endnote>
  <w:endnote w:type="continuationSeparator" w:id="0">
    <w:p w14:paraId="554F24F9" w14:textId="77777777" w:rsidR="002226D8" w:rsidRDefault="002226D8" w:rsidP="0006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3CFE0" w14:textId="77777777" w:rsidR="002226D8" w:rsidRDefault="002226D8" w:rsidP="00065423">
      <w:pPr>
        <w:spacing w:after="0" w:line="240" w:lineRule="auto"/>
      </w:pPr>
      <w:r>
        <w:separator/>
      </w:r>
    </w:p>
  </w:footnote>
  <w:footnote w:type="continuationSeparator" w:id="0">
    <w:p w14:paraId="52B692AD" w14:textId="77777777" w:rsidR="002226D8" w:rsidRDefault="002226D8" w:rsidP="000654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17A63"/>
    <w:multiLevelType w:val="hybridMultilevel"/>
    <w:tmpl w:val="25F0CF86"/>
    <w:lvl w:ilvl="0" w:tplc="01A46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A70EA6"/>
    <w:multiLevelType w:val="hybridMultilevel"/>
    <w:tmpl w:val="375633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42959"/>
    <w:multiLevelType w:val="hybridMultilevel"/>
    <w:tmpl w:val="0020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733C1"/>
    <w:multiLevelType w:val="hybridMultilevel"/>
    <w:tmpl w:val="0AAE1C8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66346"/>
    <w:multiLevelType w:val="hybridMultilevel"/>
    <w:tmpl w:val="B6C05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54B0"/>
    <w:multiLevelType w:val="hybridMultilevel"/>
    <w:tmpl w:val="FF06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4504D"/>
    <w:multiLevelType w:val="hybridMultilevel"/>
    <w:tmpl w:val="C2746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FB90041"/>
    <w:multiLevelType w:val="hybridMultilevel"/>
    <w:tmpl w:val="827677DA"/>
    <w:lvl w:ilvl="0" w:tplc="242057D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1EA2C74"/>
    <w:multiLevelType w:val="hybridMultilevel"/>
    <w:tmpl w:val="9AA074AA"/>
    <w:lvl w:ilvl="0" w:tplc="2EB8D3D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B8C389E"/>
    <w:multiLevelType w:val="hybridMultilevel"/>
    <w:tmpl w:val="82A4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3303D2"/>
    <w:multiLevelType w:val="hybridMultilevel"/>
    <w:tmpl w:val="96D4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B4724C"/>
    <w:multiLevelType w:val="hybridMultilevel"/>
    <w:tmpl w:val="61C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D52D50"/>
    <w:multiLevelType w:val="hybridMultilevel"/>
    <w:tmpl w:val="424E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6D0A58"/>
    <w:multiLevelType w:val="hybridMultilevel"/>
    <w:tmpl w:val="FBF4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13"/>
  </w:num>
  <w:num w:numId="5">
    <w:abstractNumId w:val="2"/>
  </w:num>
  <w:num w:numId="6">
    <w:abstractNumId w:val="11"/>
  </w:num>
  <w:num w:numId="7">
    <w:abstractNumId w:val="10"/>
  </w:num>
  <w:num w:numId="8">
    <w:abstractNumId w:val="6"/>
  </w:num>
  <w:num w:numId="9">
    <w:abstractNumId w:val="5"/>
  </w:num>
  <w:num w:numId="10">
    <w:abstractNumId w:val="0"/>
  </w:num>
  <w:num w:numId="11">
    <w:abstractNumId w:val="12"/>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FD"/>
    <w:rsid w:val="000028F5"/>
    <w:rsid w:val="000040F4"/>
    <w:rsid w:val="00006824"/>
    <w:rsid w:val="00006CEE"/>
    <w:rsid w:val="0001062C"/>
    <w:rsid w:val="00016609"/>
    <w:rsid w:val="000223D1"/>
    <w:rsid w:val="00024BD9"/>
    <w:rsid w:val="0004226E"/>
    <w:rsid w:val="000428D4"/>
    <w:rsid w:val="00046B26"/>
    <w:rsid w:val="00050B07"/>
    <w:rsid w:val="00051B2F"/>
    <w:rsid w:val="000536C2"/>
    <w:rsid w:val="00055B51"/>
    <w:rsid w:val="00061E4F"/>
    <w:rsid w:val="00062EA8"/>
    <w:rsid w:val="00065423"/>
    <w:rsid w:val="00065DC3"/>
    <w:rsid w:val="000715E7"/>
    <w:rsid w:val="00075E66"/>
    <w:rsid w:val="000814AD"/>
    <w:rsid w:val="00081EBB"/>
    <w:rsid w:val="000846DF"/>
    <w:rsid w:val="00086E92"/>
    <w:rsid w:val="000961C8"/>
    <w:rsid w:val="000A061F"/>
    <w:rsid w:val="000A1C4E"/>
    <w:rsid w:val="000A2779"/>
    <w:rsid w:val="000A397E"/>
    <w:rsid w:val="000A45BB"/>
    <w:rsid w:val="000A7670"/>
    <w:rsid w:val="000B28AF"/>
    <w:rsid w:val="000B35B5"/>
    <w:rsid w:val="000B5937"/>
    <w:rsid w:val="000B795A"/>
    <w:rsid w:val="000C02AC"/>
    <w:rsid w:val="000C34C0"/>
    <w:rsid w:val="000C45C7"/>
    <w:rsid w:val="000C5091"/>
    <w:rsid w:val="000C6AED"/>
    <w:rsid w:val="000D010C"/>
    <w:rsid w:val="000D0E14"/>
    <w:rsid w:val="000D52D8"/>
    <w:rsid w:val="000D6083"/>
    <w:rsid w:val="000D7C1D"/>
    <w:rsid w:val="00101293"/>
    <w:rsid w:val="00102122"/>
    <w:rsid w:val="00105EF5"/>
    <w:rsid w:val="001118BD"/>
    <w:rsid w:val="001153F7"/>
    <w:rsid w:val="0011574C"/>
    <w:rsid w:val="00116710"/>
    <w:rsid w:val="00117D78"/>
    <w:rsid w:val="001200D0"/>
    <w:rsid w:val="00120E6E"/>
    <w:rsid w:val="00125D70"/>
    <w:rsid w:val="00130EFB"/>
    <w:rsid w:val="00134448"/>
    <w:rsid w:val="00134B78"/>
    <w:rsid w:val="001362B3"/>
    <w:rsid w:val="0014002F"/>
    <w:rsid w:val="0014117E"/>
    <w:rsid w:val="001433A3"/>
    <w:rsid w:val="00152767"/>
    <w:rsid w:val="001634D5"/>
    <w:rsid w:val="00171FD6"/>
    <w:rsid w:val="00177384"/>
    <w:rsid w:val="00182139"/>
    <w:rsid w:val="001845F2"/>
    <w:rsid w:val="00186188"/>
    <w:rsid w:val="00186280"/>
    <w:rsid w:val="00195F56"/>
    <w:rsid w:val="001A0AC1"/>
    <w:rsid w:val="001A1E25"/>
    <w:rsid w:val="001A47BE"/>
    <w:rsid w:val="001B1709"/>
    <w:rsid w:val="001B3022"/>
    <w:rsid w:val="001B4281"/>
    <w:rsid w:val="001B4331"/>
    <w:rsid w:val="001B4381"/>
    <w:rsid w:val="001B5B7D"/>
    <w:rsid w:val="001B719B"/>
    <w:rsid w:val="001B7AB4"/>
    <w:rsid w:val="001C7CDD"/>
    <w:rsid w:val="001D1B6A"/>
    <w:rsid w:val="001D4BA1"/>
    <w:rsid w:val="001D4F8D"/>
    <w:rsid w:val="001D5B71"/>
    <w:rsid w:val="001E1212"/>
    <w:rsid w:val="001E41B3"/>
    <w:rsid w:val="001E5414"/>
    <w:rsid w:val="002005C4"/>
    <w:rsid w:val="0020243F"/>
    <w:rsid w:val="00205277"/>
    <w:rsid w:val="00212777"/>
    <w:rsid w:val="0021661E"/>
    <w:rsid w:val="00216DE8"/>
    <w:rsid w:val="002226D8"/>
    <w:rsid w:val="002255BC"/>
    <w:rsid w:val="00225671"/>
    <w:rsid w:val="00230373"/>
    <w:rsid w:val="002303FA"/>
    <w:rsid w:val="0023114C"/>
    <w:rsid w:val="002330E8"/>
    <w:rsid w:val="00235F53"/>
    <w:rsid w:val="0023603D"/>
    <w:rsid w:val="00236F01"/>
    <w:rsid w:val="00241F05"/>
    <w:rsid w:val="002422A2"/>
    <w:rsid w:val="00245B02"/>
    <w:rsid w:val="002465AB"/>
    <w:rsid w:val="00246A7C"/>
    <w:rsid w:val="00255361"/>
    <w:rsid w:val="00257297"/>
    <w:rsid w:val="00257CE1"/>
    <w:rsid w:val="00257F01"/>
    <w:rsid w:val="00262361"/>
    <w:rsid w:val="00265826"/>
    <w:rsid w:val="002741FC"/>
    <w:rsid w:val="0028500E"/>
    <w:rsid w:val="00286577"/>
    <w:rsid w:val="0029562B"/>
    <w:rsid w:val="00297440"/>
    <w:rsid w:val="002A055B"/>
    <w:rsid w:val="002A098F"/>
    <w:rsid w:val="002A1AA1"/>
    <w:rsid w:val="002A600A"/>
    <w:rsid w:val="002A6C03"/>
    <w:rsid w:val="002B1ADA"/>
    <w:rsid w:val="002B2329"/>
    <w:rsid w:val="002B2DC8"/>
    <w:rsid w:val="002B615D"/>
    <w:rsid w:val="002B6530"/>
    <w:rsid w:val="002C22E5"/>
    <w:rsid w:val="002C34FC"/>
    <w:rsid w:val="002C4773"/>
    <w:rsid w:val="002D15D0"/>
    <w:rsid w:val="002E0D61"/>
    <w:rsid w:val="002E4D74"/>
    <w:rsid w:val="002F101E"/>
    <w:rsid w:val="002F4D5F"/>
    <w:rsid w:val="002F6DD3"/>
    <w:rsid w:val="00304165"/>
    <w:rsid w:val="003063D0"/>
    <w:rsid w:val="00314B9C"/>
    <w:rsid w:val="003159FB"/>
    <w:rsid w:val="00320F13"/>
    <w:rsid w:val="0032752F"/>
    <w:rsid w:val="00330E6F"/>
    <w:rsid w:val="0034354D"/>
    <w:rsid w:val="00361CE2"/>
    <w:rsid w:val="00361DEE"/>
    <w:rsid w:val="00361E32"/>
    <w:rsid w:val="003629F7"/>
    <w:rsid w:val="00365D2F"/>
    <w:rsid w:val="00365E82"/>
    <w:rsid w:val="00366976"/>
    <w:rsid w:val="003710D1"/>
    <w:rsid w:val="00376AA3"/>
    <w:rsid w:val="00376C22"/>
    <w:rsid w:val="00380274"/>
    <w:rsid w:val="003804E3"/>
    <w:rsid w:val="0038375D"/>
    <w:rsid w:val="00392F38"/>
    <w:rsid w:val="00393443"/>
    <w:rsid w:val="0039480E"/>
    <w:rsid w:val="003A1540"/>
    <w:rsid w:val="003A1ACE"/>
    <w:rsid w:val="003A671A"/>
    <w:rsid w:val="003B1D23"/>
    <w:rsid w:val="003B41F1"/>
    <w:rsid w:val="003B5A1C"/>
    <w:rsid w:val="003B6A44"/>
    <w:rsid w:val="003B7677"/>
    <w:rsid w:val="003C0304"/>
    <w:rsid w:val="003C06FA"/>
    <w:rsid w:val="003C1E03"/>
    <w:rsid w:val="003C2F66"/>
    <w:rsid w:val="003C6C23"/>
    <w:rsid w:val="003C6FE7"/>
    <w:rsid w:val="003C720B"/>
    <w:rsid w:val="003C7E53"/>
    <w:rsid w:val="003D1326"/>
    <w:rsid w:val="003D1EBF"/>
    <w:rsid w:val="003D4AA0"/>
    <w:rsid w:val="003D4EE9"/>
    <w:rsid w:val="003E067C"/>
    <w:rsid w:val="003E183C"/>
    <w:rsid w:val="004025AD"/>
    <w:rsid w:val="00402E82"/>
    <w:rsid w:val="004052B1"/>
    <w:rsid w:val="00410D8A"/>
    <w:rsid w:val="00412B69"/>
    <w:rsid w:val="00415B26"/>
    <w:rsid w:val="004162EC"/>
    <w:rsid w:val="004207D9"/>
    <w:rsid w:val="004215EC"/>
    <w:rsid w:val="00423846"/>
    <w:rsid w:val="00424F3B"/>
    <w:rsid w:val="004251FE"/>
    <w:rsid w:val="00425D5E"/>
    <w:rsid w:val="00425D83"/>
    <w:rsid w:val="00431291"/>
    <w:rsid w:val="004432DB"/>
    <w:rsid w:val="00443962"/>
    <w:rsid w:val="004509FF"/>
    <w:rsid w:val="00452F4A"/>
    <w:rsid w:val="00470D12"/>
    <w:rsid w:val="00472F9C"/>
    <w:rsid w:val="00473541"/>
    <w:rsid w:val="004738CF"/>
    <w:rsid w:val="00475A20"/>
    <w:rsid w:val="00475AFC"/>
    <w:rsid w:val="00480071"/>
    <w:rsid w:val="00485128"/>
    <w:rsid w:val="00486148"/>
    <w:rsid w:val="0048743E"/>
    <w:rsid w:val="00492832"/>
    <w:rsid w:val="004942E5"/>
    <w:rsid w:val="0049681F"/>
    <w:rsid w:val="004A739B"/>
    <w:rsid w:val="004A7BBA"/>
    <w:rsid w:val="004B117F"/>
    <w:rsid w:val="004B1591"/>
    <w:rsid w:val="004B42EC"/>
    <w:rsid w:val="004C715F"/>
    <w:rsid w:val="004D02E4"/>
    <w:rsid w:val="004D5F96"/>
    <w:rsid w:val="004E1717"/>
    <w:rsid w:val="004E1C6C"/>
    <w:rsid w:val="004F0557"/>
    <w:rsid w:val="004F78AC"/>
    <w:rsid w:val="00502C78"/>
    <w:rsid w:val="00507F19"/>
    <w:rsid w:val="005127EF"/>
    <w:rsid w:val="00513BEF"/>
    <w:rsid w:val="00516543"/>
    <w:rsid w:val="005233A7"/>
    <w:rsid w:val="005242E4"/>
    <w:rsid w:val="00530D0D"/>
    <w:rsid w:val="00535658"/>
    <w:rsid w:val="005360AB"/>
    <w:rsid w:val="005362C2"/>
    <w:rsid w:val="00536B73"/>
    <w:rsid w:val="00544DE3"/>
    <w:rsid w:val="005456DE"/>
    <w:rsid w:val="00546C2E"/>
    <w:rsid w:val="0054733A"/>
    <w:rsid w:val="00551111"/>
    <w:rsid w:val="005526BE"/>
    <w:rsid w:val="00557DFC"/>
    <w:rsid w:val="00565171"/>
    <w:rsid w:val="00573535"/>
    <w:rsid w:val="0057456A"/>
    <w:rsid w:val="00574941"/>
    <w:rsid w:val="00574B34"/>
    <w:rsid w:val="00581888"/>
    <w:rsid w:val="00584ABB"/>
    <w:rsid w:val="00585166"/>
    <w:rsid w:val="00590169"/>
    <w:rsid w:val="00591491"/>
    <w:rsid w:val="00593008"/>
    <w:rsid w:val="005945E0"/>
    <w:rsid w:val="00594952"/>
    <w:rsid w:val="005A0394"/>
    <w:rsid w:val="005A22E5"/>
    <w:rsid w:val="005A2783"/>
    <w:rsid w:val="005A31ED"/>
    <w:rsid w:val="005A7D62"/>
    <w:rsid w:val="005B1D17"/>
    <w:rsid w:val="005B1E4F"/>
    <w:rsid w:val="005B49FF"/>
    <w:rsid w:val="005B5E3F"/>
    <w:rsid w:val="005C12D8"/>
    <w:rsid w:val="005C61C9"/>
    <w:rsid w:val="005D5B4F"/>
    <w:rsid w:val="005D63FB"/>
    <w:rsid w:val="005D6465"/>
    <w:rsid w:val="005E1D73"/>
    <w:rsid w:val="005F1442"/>
    <w:rsid w:val="005F2A3F"/>
    <w:rsid w:val="0061098D"/>
    <w:rsid w:val="0061373C"/>
    <w:rsid w:val="00617A9F"/>
    <w:rsid w:val="00632F4D"/>
    <w:rsid w:val="00640267"/>
    <w:rsid w:val="0064181B"/>
    <w:rsid w:val="0064251F"/>
    <w:rsid w:val="00644D81"/>
    <w:rsid w:val="00645329"/>
    <w:rsid w:val="00650285"/>
    <w:rsid w:val="006513D1"/>
    <w:rsid w:val="00655851"/>
    <w:rsid w:val="00660DE4"/>
    <w:rsid w:val="006616DF"/>
    <w:rsid w:val="00662CA3"/>
    <w:rsid w:val="00665ADF"/>
    <w:rsid w:val="006706EC"/>
    <w:rsid w:val="00670A27"/>
    <w:rsid w:val="0067674A"/>
    <w:rsid w:val="006776D4"/>
    <w:rsid w:val="00680B27"/>
    <w:rsid w:val="00682350"/>
    <w:rsid w:val="00682C1F"/>
    <w:rsid w:val="00684982"/>
    <w:rsid w:val="0068582D"/>
    <w:rsid w:val="00686980"/>
    <w:rsid w:val="00687E7C"/>
    <w:rsid w:val="00691BD0"/>
    <w:rsid w:val="00694356"/>
    <w:rsid w:val="006A3DCC"/>
    <w:rsid w:val="006A4E4F"/>
    <w:rsid w:val="006A6D11"/>
    <w:rsid w:val="006B3DEC"/>
    <w:rsid w:val="006B4376"/>
    <w:rsid w:val="006B682C"/>
    <w:rsid w:val="006C2DFD"/>
    <w:rsid w:val="006C3F8F"/>
    <w:rsid w:val="006C5B2E"/>
    <w:rsid w:val="006D20D3"/>
    <w:rsid w:val="006D3B62"/>
    <w:rsid w:val="006D418F"/>
    <w:rsid w:val="006D4BDE"/>
    <w:rsid w:val="006E288D"/>
    <w:rsid w:val="006E4469"/>
    <w:rsid w:val="006E4F1B"/>
    <w:rsid w:val="006E71ED"/>
    <w:rsid w:val="006F2EB4"/>
    <w:rsid w:val="006F31A1"/>
    <w:rsid w:val="006F3E43"/>
    <w:rsid w:val="006F67D8"/>
    <w:rsid w:val="0070546B"/>
    <w:rsid w:val="007054A2"/>
    <w:rsid w:val="007067D1"/>
    <w:rsid w:val="007108C9"/>
    <w:rsid w:val="0071094A"/>
    <w:rsid w:val="00710AB0"/>
    <w:rsid w:val="00717C80"/>
    <w:rsid w:val="00717D6A"/>
    <w:rsid w:val="00720117"/>
    <w:rsid w:val="00721358"/>
    <w:rsid w:val="0072330F"/>
    <w:rsid w:val="007239BA"/>
    <w:rsid w:val="00724FA7"/>
    <w:rsid w:val="00725F0B"/>
    <w:rsid w:val="00732998"/>
    <w:rsid w:val="00732E91"/>
    <w:rsid w:val="007348D7"/>
    <w:rsid w:val="0073778D"/>
    <w:rsid w:val="00742059"/>
    <w:rsid w:val="0074543A"/>
    <w:rsid w:val="0075275B"/>
    <w:rsid w:val="00754078"/>
    <w:rsid w:val="00761416"/>
    <w:rsid w:val="00762834"/>
    <w:rsid w:val="007656EA"/>
    <w:rsid w:val="0076747A"/>
    <w:rsid w:val="00771DA1"/>
    <w:rsid w:val="00773519"/>
    <w:rsid w:val="00777A90"/>
    <w:rsid w:val="007804C2"/>
    <w:rsid w:val="00780D12"/>
    <w:rsid w:val="007812DB"/>
    <w:rsid w:val="00781CD4"/>
    <w:rsid w:val="00784A42"/>
    <w:rsid w:val="007868D3"/>
    <w:rsid w:val="00792015"/>
    <w:rsid w:val="0079221E"/>
    <w:rsid w:val="007951ED"/>
    <w:rsid w:val="007A187B"/>
    <w:rsid w:val="007A3A7C"/>
    <w:rsid w:val="007A69CF"/>
    <w:rsid w:val="007A7B0A"/>
    <w:rsid w:val="007C00AD"/>
    <w:rsid w:val="007C7B9D"/>
    <w:rsid w:val="007D0333"/>
    <w:rsid w:val="007D0B4F"/>
    <w:rsid w:val="007D2213"/>
    <w:rsid w:val="007D2CBE"/>
    <w:rsid w:val="007D30A1"/>
    <w:rsid w:val="007D3899"/>
    <w:rsid w:val="007D4693"/>
    <w:rsid w:val="007E5BD3"/>
    <w:rsid w:val="007F32A6"/>
    <w:rsid w:val="007F63D2"/>
    <w:rsid w:val="007F6862"/>
    <w:rsid w:val="0080368B"/>
    <w:rsid w:val="008178E3"/>
    <w:rsid w:val="0082131C"/>
    <w:rsid w:val="00823B62"/>
    <w:rsid w:val="00837313"/>
    <w:rsid w:val="00843F43"/>
    <w:rsid w:val="00844E18"/>
    <w:rsid w:val="00850C38"/>
    <w:rsid w:val="00851560"/>
    <w:rsid w:val="00851612"/>
    <w:rsid w:val="00854CD8"/>
    <w:rsid w:val="00863EC9"/>
    <w:rsid w:val="008659BA"/>
    <w:rsid w:val="0086748E"/>
    <w:rsid w:val="0087110D"/>
    <w:rsid w:val="00872542"/>
    <w:rsid w:val="00873BCD"/>
    <w:rsid w:val="00876F0D"/>
    <w:rsid w:val="00897E0C"/>
    <w:rsid w:val="008A3EC3"/>
    <w:rsid w:val="008A63FC"/>
    <w:rsid w:val="008A7F04"/>
    <w:rsid w:val="008B1A1B"/>
    <w:rsid w:val="008B32D8"/>
    <w:rsid w:val="008B3E13"/>
    <w:rsid w:val="008B7879"/>
    <w:rsid w:val="008B7CBC"/>
    <w:rsid w:val="008C05A3"/>
    <w:rsid w:val="008C12FC"/>
    <w:rsid w:val="008C620C"/>
    <w:rsid w:val="008C628F"/>
    <w:rsid w:val="008D30C5"/>
    <w:rsid w:val="008D331D"/>
    <w:rsid w:val="008D3BB6"/>
    <w:rsid w:val="008D4C0F"/>
    <w:rsid w:val="008D6D0C"/>
    <w:rsid w:val="008D7167"/>
    <w:rsid w:val="008E1C6D"/>
    <w:rsid w:val="008E48DE"/>
    <w:rsid w:val="008E6B2E"/>
    <w:rsid w:val="008F1F4A"/>
    <w:rsid w:val="008F3740"/>
    <w:rsid w:val="008F4D68"/>
    <w:rsid w:val="009133A8"/>
    <w:rsid w:val="009171CB"/>
    <w:rsid w:val="00925ACD"/>
    <w:rsid w:val="00927442"/>
    <w:rsid w:val="00931851"/>
    <w:rsid w:val="009338FF"/>
    <w:rsid w:val="00933BED"/>
    <w:rsid w:val="00941B8F"/>
    <w:rsid w:val="00954386"/>
    <w:rsid w:val="00956462"/>
    <w:rsid w:val="00960CA3"/>
    <w:rsid w:val="00967DB9"/>
    <w:rsid w:val="00972A74"/>
    <w:rsid w:val="00975BCB"/>
    <w:rsid w:val="009766DA"/>
    <w:rsid w:val="00986408"/>
    <w:rsid w:val="009875B7"/>
    <w:rsid w:val="009875E3"/>
    <w:rsid w:val="00987D6E"/>
    <w:rsid w:val="009914B2"/>
    <w:rsid w:val="00994697"/>
    <w:rsid w:val="009952B8"/>
    <w:rsid w:val="00996AE2"/>
    <w:rsid w:val="009A4FF7"/>
    <w:rsid w:val="009A7E61"/>
    <w:rsid w:val="009B2CE3"/>
    <w:rsid w:val="009B4A57"/>
    <w:rsid w:val="009C263B"/>
    <w:rsid w:val="009C353B"/>
    <w:rsid w:val="009D56D3"/>
    <w:rsid w:val="009D7799"/>
    <w:rsid w:val="009E0EF2"/>
    <w:rsid w:val="009E235F"/>
    <w:rsid w:val="009E3531"/>
    <w:rsid w:val="009E3700"/>
    <w:rsid w:val="009E3CFD"/>
    <w:rsid w:val="009F10C8"/>
    <w:rsid w:val="009F2FED"/>
    <w:rsid w:val="009F3F34"/>
    <w:rsid w:val="009F5A1A"/>
    <w:rsid w:val="00A01CB4"/>
    <w:rsid w:val="00A02A31"/>
    <w:rsid w:val="00A100E5"/>
    <w:rsid w:val="00A12B98"/>
    <w:rsid w:val="00A14E66"/>
    <w:rsid w:val="00A1536D"/>
    <w:rsid w:val="00A16D84"/>
    <w:rsid w:val="00A16EA9"/>
    <w:rsid w:val="00A24D09"/>
    <w:rsid w:val="00A30144"/>
    <w:rsid w:val="00A33ADF"/>
    <w:rsid w:val="00A35926"/>
    <w:rsid w:val="00A36D7D"/>
    <w:rsid w:val="00A43E1D"/>
    <w:rsid w:val="00A50623"/>
    <w:rsid w:val="00A525C9"/>
    <w:rsid w:val="00A545F9"/>
    <w:rsid w:val="00A57750"/>
    <w:rsid w:val="00A73176"/>
    <w:rsid w:val="00A74E1A"/>
    <w:rsid w:val="00A86C93"/>
    <w:rsid w:val="00A871B8"/>
    <w:rsid w:val="00A9180C"/>
    <w:rsid w:val="00A94203"/>
    <w:rsid w:val="00A96B8A"/>
    <w:rsid w:val="00A97AB6"/>
    <w:rsid w:val="00AA022B"/>
    <w:rsid w:val="00AB2634"/>
    <w:rsid w:val="00AB56AD"/>
    <w:rsid w:val="00AC6961"/>
    <w:rsid w:val="00AD1128"/>
    <w:rsid w:val="00AD3A4E"/>
    <w:rsid w:val="00AD67DB"/>
    <w:rsid w:val="00AD7121"/>
    <w:rsid w:val="00AE2B49"/>
    <w:rsid w:val="00AE69B2"/>
    <w:rsid w:val="00AF0F56"/>
    <w:rsid w:val="00AF15C8"/>
    <w:rsid w:val="00AF1BA1"/>
    <w:rsid w:val="00AF3BAE"/>
    <w:rsid w:val="00AF4928"/>
    <w:rsid w:val="00AF5912"/>
    <w:rsid w:val="00B0071F"/>
    <w:rsid w:val="00B009AE"/>
    <w:rsid w:val="00B00EE7"/>
    <w:rsid w:val="00B01531"/>
    <w:rsid w:val="00B024B0"/>
    <w:rsid w:val="00B02BD5"/>
    <w:rsid w:val="00B05A2A"/>
    <w:rsid w:val="00B07558"/>
    <w:rsid w:val="00B102F2"/>
    <w:rsid w:val="00B22C41"/>
    <w:rsid w:val="00B23DA3"/>
    <w:rsid w:val="00B245AA"/>
    <w:rsid w:val="00B31181"/>
    <w:rsid w:val="00B33C0B"/>
    <w:rsid w:val="00B3798E"/>
    <w:rsid w:val="00B4323D"/>
    <w:rsid w:val="00B45FA6"/>
    <w:rsid w:val="00B46292"/>
    <w:rsid w:val="00B4646D"/>
    <w:rsid w:val="00B47A1C"/>
    <w:rsid w:val="00B5188A"/>
    <w:rsid w:val="00B5401C"/>
    <w:rsid w:val="00B55FA8"/>
    <w:rsid w:val="00B56CBF"/>
    <w:rsid w:val="00B626BF"/>
    <w:rsid w:val="00B64627"/>
    <w:rsid w:val="00B64BB9"/>
    <w:rsid w:val="00B65253"/>
    <w:rsid w:val="00B663BE"/>
    <w:rsid w:val="00B66D17"/>
    <w:rsid w:val="00B67354"/>
    <w:rsid w:val="00B67765"/>
    <w:rsid w:val="00B80EE1"/>
    <w:rsid w:val="00B86F46"/>
    <w:rsid w:val="00B8765E"/>
    <w:rsid w:val="00B87ACF"/>
    <w:rsid w:val="00B90B9D"/>
    <w:rsid w:val="00B97548"/>
    <w:rsid w:val="00B9784B"/>
    <w:rsid w:val="00BA4B00"/>
    <w:rsid w:val="00BA4C46"/>
    <w:rsid w:val="00BA6210"/>
    <w:rsid w:val="00BA768C"/>
    <w:rsid w:val="00BB0E6F"/>
    <w:rsid w:val="00BB3B34"/>
    <w:rsid w:val="00BB7020"/>
    <w:rsid w:val="00BC2F9D"/>
    <w:rsid w:val="00BC55DD"/>
    <w:rsid w:val="00BD0CD8"/>
    <w:rsid w:val="00BD3013"/>
    <w:rsid w:val="00BD36DD"/>
    <w:rsid w:val="00BD4900"/>
    <w:rsid w:val="00BD680C"/>
    <w:rsid w:val="00BE506D"/>
    <w:rsid w:val="00BE79E4"/>
    <w:rsid w:val="00BF07ED"/>
    <w:rsid w:val="00BF3AA9"/>
    <w:rsid w:val="00C00354"/>
    <w:rsid w:val="00C125ED"/>
    <w:rsid w:val="00C14BC0"/>
    <w:rsid w:val="00C21AD1"/>
    <w:rsid w:val="00C25531"/>
    <w:rsid w:val="00C3490D"/>
    <w:rsid w:val="00C34F43"/>
    <w:rsid w:val="00C359EC"/>
    <w:rsid w:val="00C377AB"/>
    <w:rsid w:val="00C3781A"/>
    <w:rsid w:val="00C40610"/>
    <w:rsid w:val="00C40A47"/>
    <w:rsid w:val="00C42E10"/>
    <w:rsid w:val="00C450B5"/>
    <w:rsid w:val="00C46555"/>
    <w:rsid w:val="00C47B44"/>
    <w:rsid w:val="00C47DA5"/>
    <w:rsid w:val="00C52389"/>
    <w:rsid w:val="00C52A6C"/>
    <w:rsid w:val="00C54144"/>
    <w:rsid w:val="00C54C93"/>
    <w:rsid w:val="00C626C2"/>
    <w:rsid w:val="00C66300"/>
    <w:rsid w:val="00C710CC"/>
    <w:rsid w:val="00C76B3F"/>
    <w:rsid w:val="00C779A2"/>
    <w:rsid w:val="00C80EAD"/>
    <w:rsid w:val="00C8106C"/>
    <w:rsid w:val="00C8365B"/>
    <w:rsid w:val="00C94EAC"/>
    <w:rsid w:val="00C95534"/>
    <w:rsid w:val="00CA38C2"/>
    <w:rsid w:val="00CA58AB"/>
    <w:rsid w:val="00CA5CE0"/>
    <w:rsid w:val="00CA6778"/>
    <w:rsid w:val="00CA6A5A"/>
    <w:rsid w:val="00CA728C"/>
    <w:rsid w:val="00CB0441"/>
    <w:rsid w:val="00CB3F59"/>
    <w:rsid w:val="00CB6053"/>
    <w:rsid w:val="00CC25AA"/>
    <w:rsid w:val="00CC6928"/>
    <w:rsid w:val="00CD3F3C"/>
    <w:rsid w:val="00CD4834"/>
    <w:rsid w:val="00CD4B9E"/>
    <w:rsid w:val="00CD703C"/>
    <w:rsid w:val="00CE1BFD"/>
    <w:rsid w:val="00CE3502"/>
    <w:rsid w:val="00CF24D4"/>
    <w:rsid w:val="00CF33BA"/>
    <w:rsid w:val="00CF5E8A"/>
    <w:rsid w:val="00CF74EA"/>
    <w:rsid w:val="00D04128"/>
    <w:rsid w:val="00D04135"/>
    <w:rsid w:val="00D13B8E"/>
    <w:rsid w:val="00D1435D"/>
    <w:rsid w:val="00D17732"/>
    <w:rsid w:val="00D17FEB"/>
    <w:rsid w:val="00D222FD"/>
    <w:rsid w:val="00D24B48"/>
    <w:rsid w:val="00D31ED8"/>
    <w:rsid w:val="00D325F8"/>
    <w:rsid w:val="00D34C5A"/>
    <w:rsid w:val="00D40275"/>
    <w:rsid w:val="00D42056"/>
    <w:rsid w:val="00D501A2"/>
    <w:rsid w:val="00D52DFB"/>
    <w:rsid w:val="00D54BAF"/>
    <w:rsid w:val="00D56455"/>
    <w:rsid w:val="00D56B6A"/>
    <w:rsid w:val="00D62813"/>
    <w:rsid w:val="00D72971"/>
    <w:rsid w:val="00D805AE"/>
    <w:rsid w:val="00D80C89"/>
    <w:rsid w:val="00D81911"/>
    <w:rsid w:val="00D86B82"/>
    <w:rsid w:val="00D87DAA"/>
    <w:rsid w:val="00D9001A"/>
    <w:rsid w:val="00DA0634"/>
    <w:rsid w:val="00DB054E"/>
    <w:rsid w:val="00DB1A65"/>
    <w:rsid w:val="00DB1EA4"/>
    <w:rsid w:val="00DB2593"/>
    <w:rsid w:val="00DB27E3"/>
    <w:rsid w:val="00DB5901"/>
    <w:rsid w:val="00DB5CE0"/>
    <w:rsid w:val="00DC1CB5"/>
    <w:rsid w:val="00DC5694"/>
    <w:rsid w:val="00DD0A5E"/>
    <w:rsid w:val="00DD30B1"/>
    <w:rsid w:val="00DD53BA"/>
    <w:rsid w:val="00DD774B"/>
    <w:rsid w:val="00DE5B13"/>
    <w:rsid w:val="00DF593F"/>
    <w:rsid w:val="00E004F0"/>
    <w:rsid w:val="00E0160F"/>
    <w:rsid w:val="00E01630"/>
    <w:rsid w:val="00E0639C"/>
    <w:rsid w:val="00E16F27"/>
    <w:rsid w:val="00E17731"/>
    <w:rsid w:val="00E24EA3"/>
    <w:rsid w:val="00E26AC1"/>
    <w:rsid w:val="00E30EF7"/>
    <w:rsid w:val="00E31172"/>
    <w:rsid w:val="00E331F4"/>
    <w:rsid w:val="00E339DA"/>
    <w:rsid w:val="00E34517"/>
    <w:rsid w:val="00E40919"/>
    <w:rsid w:val="00E41608"/>
    <w:rsid w:val="00E41EEB"/>
    <w:rsid w:val="00E4237D"/>
    <w:rsid w:val="00E43831"/>
    <w:rsid w:val="00E43B8D"/>
    <w:rsid w:val="00E45349"/>
    <w:rsid w:val="00E467DA"/>
    <w:rsid w:val="00E47A93"/>
    <w:rsid w:val="00E5629E"/>
    <w:rsid w:val="00E56C02"/>
    <w:rsid w:val="00E6063C"/>
    <w:rsid w:val="00E62E26"/>
    <w:rsid w:val="00E631AE"/>
    <w:rsid w:val="00E64002"/>
    <w:rsid w:val="00E7051D"/>
    <w:rsid w:val="00E715EE"/>
    <w:rsid w:val="00E76683"/>
    <w:rsid w:val="00E829ED"/>
    <w:rsid w:val="00E84B15"/>
    <w:rsid w:val="00E84C7B"/>
    <w:rsid w:val="00E85402"/>
    <w:rsid w:val="00E95788"/>
    <w:rsid w:val="00E95D63"/>
    <w:rsid w:val="00EA2E31"/>
    <w:rsid w:val="00EA6D73"/>
    <w:rsid w:val="00EB0C97"/>
    <w:rsid w:val="00EB2FF3"/>
    <w:rsid w:val="00EC7F23"/>
    <w:rsid w:val="00ED0CC4"/>
    <w:rsid w:val="00ED1160"/>
    <w:rsid w:val="00ED3706"/>
    <w:rsid w:val="00EE1936"/>
    <w:rsid w:val="00EE22F1"/>
    <w:rsid w:val="00EE64EC"/>
    <w:rsid w:val="00EF1D91"/>
    <w:rsid w:val="00EF34DE"/>
    <w:rsid w:val="00EF3F6F"/>
    <w:rsid w:val="00EF65FB"/>
    <w:rsid w:val="00EF7CA2"/>
    <w:rsid w:val="00EF7CF5"/>
    <w:rsid w:val="00F10BED"/>
    <w:rsid w:val="00F10D6D"/>
    <w:rsid w:val="00F11C58"/>
    <w:rsid w:val="00F208BA"/>
    <w:rsid w:val="00F2129B"/>
    <w:rsid w:val="00F23EE2"/>
    <w:rsid w:val="00F24936"/>
    <w:rsid w:val="00F24FB8"/>
    <w:rsid w:val="00F2632D"/>
    <w:rsid w:val="00F27219"/>
    <w:rsid w:val="00F30290"/>
    <w:rsid w:val="00F30D07"/>
    <w:rsid w:val="00F3148E"/>
    <w:rsid w:val="00F32A3A"/>
    <w:rsid w:val="00F331FA"/>
    <w:rsid w:val="00F41B18"/>
    <w:rsid w:val="00F43428"/>
    <w:rsid w:val="00F441CC"/>
    <w:rsid w:val="00F4572A"/>
    <w:rsid w:val="00F5116B"/>
    <w:rsid w:val="00F511F0"/>
    <w:rsid w:val="00F53D00"/>
    <w:rsid w:val="00F56A52"/>
    <w:rsid w:val="00F606DB"/>
    <w:rsid w:val="00F60AA1"/>
    <w:rsid w:val="00F624DC"/>
    <w:rsid w:val="00F658B4"/>
    <w:rsid w:val="00F67212"/>
    <w:rsid w:val="00F67DEB"/>
    <w:rsid w:val="00F7744F"/>
    <w:rsid w:val="00F81E61"/>
    <w:rsid w:val="00F821ED"/>
    <w:rsid w:val="00F82C7D"/>
    <w:rsid w:val="00F8523D"/>
    <w:rsid w:val="00F87CBC"/>
    <w:rsid w:val="00F961D8"/>
    <w:rsid w:val="00FA27E0"/>
    <w:rsid w:val="00FB6359"/>
    <w:rsid w:val="00FB6DCA"/>
    <w:rsid w:val="00FB7363"/>
    <w:rsid w:val="00FC2B16"/>
    <w:rsid w:val="00FC386A"/>
    <w:rsid w:val="00FD153D"/>
    <w:rsid w:val="00FE3D81"/>
    <w:rsid w:val="00FE52FC"/>
    <w:rsid w:val="00FE6FEE"/>
    <w:rsid w:val="00FE72DA"/>
    <w:rsid w:val="00FF4C7C"/>
    <w:rsid w:val="00FF6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853F7"/>
  <w15:docId w15:val="{70B3663E-AE70-4159-9D2D-944ACB60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509FF"/>
    <w:pPr>
      <w:keepNext/>
      <w:keepLines/>
      <w:widowControl w:val="0"/>
      <w:spacing w:before="340" w:after="330" w:line="578" w:lineRule="auto"/>
      <w:jc w:val="both"/>
      <w:outlineLvl w:val="0"/>
    </w:pPr>
    <w:rPr>
      <w:b/>
      <w:bCs/>
      <w:kern w:val="44"/>
      <w:sz w:val="44"/>
      <w:szCs w:val="44"/>
    </w:rPr>
  </w:style>
  <w:style w:type="paragraph" w:styleId="2">
    <w:name w:val="heading 2"/>
    <w:basedOn w:val="a"/>
    <w:next w:val="a"/>
    <w:link w:val="2Char"/>
    <w:uiPriority w:val="9"/>
    <w:unhideWhenUsed/>
    <w:qFormat/>
    <w:rsid w:val="004509FF"/>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15F"/>
    <w:pPr>
      <w:ind w:left="720"/>
      <w:contextualSpacing/>
    </w:pPr>
  </w:style>
  <w:style w:type="character" w:styleId="a4">
    <w:name w:val="Placeholder Text"/>
    <w:basedOn w:val="a0"/>
    <w:uiPriority w:val="99"/>
    <w:semiHidden/>
    <w:rsid w:val="00725F0B"/>
    <w:rPr>
      <w:color w:val="808080"/>
    </w:rPr>
  </w:style>
  <w:style w:type="paragraph" w:styleId="a5">
    <w:name w:val="Balloon Text"/>
    <w:basedOn w:val="a"/>
    <w:link w:val="Char"/>
    <w:uiPriority w:val="99"/>
    <w:semiHidden/>
    <w:unhideWhenUsed/>
    <w:rsid w:val="00725F0B"/>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725F0B"/>
    <w:rPr>
      <w:rFonts w:ascii="Tahoma" w:hAnsi="Tahoma" w:cs="Tahoma"/>
      <w:sz w:val="16"/>
      <w:szCs w:val="16"/>
    </w:rPr>
  </w:style>
  <w:style w:type="paragraph" w:styleId="a6">
    <w:name w:val="Plain Text"/>
    <w:basedOn w:val="a"/>
    <w:link w:val="Char0"/>
    <w:uiPriority w:val="99"/>
    <w:unhideWhenUsed/>
    <w:rsid w:val="0014117E"/>
    <w:pPr>
      <w:spacing w:after="0" w:line="240" w:lineRule="auto"/>
    </w:pPr>
    <w:rPr>
      <w:rFonts w:ascii="Consolas" w:hAnsi="Consolas" w:cs="Consolas"/>
      <w:sz w:val="21"/>
      <w:szCs w:val="21"/>
    </w:rPr>
  </w:style>
  <w:style w:type="character" w:customStyle="1" w:styleId="Char0">
    <w:name w:val="纯文本 Char"/>
    <w:basedOn w:val="a0"/>
    <w:link w:val="a6"/>
    <w:uiPriority w:val="99"/>
    <w:rsid w:val="0014117E"/>
    <w:rPr>
      <w:rFonts w:ascii="Consolas" w:hAnsi="Consolas" w:cs="Consolas"/>
      <w:sz w:val="21"/>
      <w:szCs w:val="21"/>
    </w:rPr>
  </w:style>
  <w:style w:type="character" w:customStyle="1" w:styleId="1Char">
    <w:name w:val="标题 1 Char"/>
    <w:basedOn w:val="a0"/>
    <w:link w:val="1"/>
    <w:uiPriority w:val="9"/>
    <w:rsid w:val="004509FF"/>
    <w:rPr>
      <w:b/>
      <w:bCs/>
      <w:kern w:val="44"/>
      <w:sz w:val="44"/>
      <w:szCs w:val="44"/>
    </w:rPr>
  </w:style>
  <w:style w:type="character" w:customStyle="1" w:styleId="2Char">
    <w:name w:val="标题 2 Char"/>
    <w:basedOn w:val="a0"/>
    <w:link w:val="2"/>
    <w:uiPriority w:val="9"/>
    <w:rsid w:val="004509FF"/>
    <w:rPr>
      <w:rFonts w:asciiTheme="majorHAnsi" w:eastAsiaTheme="majorEastAsia" w:hAnsiTheme="majorHAnsi" w:cstheme="majorBidi"/>
      <w:b/>
      <w:bCs/>
      <w:kern w:val="2"/>
      <w:sz w:val="32"/>
      <w:szCs w:val="32"/>
    </w:rPr>
  </w:style>
  <w:style w:type="paragraph" w:styleId="a7">
    <w:name w:val="Normal (Web)"/>
    <w:basedOn w:val="a"/>
    <w:uiPriority w:val="99"/>
    <w:semiHidden/>
    <w:unhideWhenUsed/>
    <w:rsid w:val="004509FF"/>
    <w:pPr>
      <w:spacing w:before="100" w:beforeAutospacing="1" w:after="100" w:afterAutospacing="1" w:line="240" w:lineRule="auto"/>
    </w:pPr>
    <w:rPr>
      <w:rFonts w:ascii="SimSun" w:eastAsia="SimSun" w:hAnsi="SimSun" w:cs="SimSun"/>
      <w:sz w:val="24"/>
      <w:szCs w:val="24"/>
    </w:rPr>
  </w:style>
  <w:style w:type="character" w:customStyle="1" w:styleId="apple-tab-span">
    <w:name w:val="apple-tab-span"/>
    <w:basedOn w:val="a0"/>
    <w:rsid w:val="004509FF"/>
  </w:style>
  <w:style w:type="table" w:styleId="a8">
    <w:name w:val="Table Grid"/>
    <w:basedOn w:val="a1"/>
    <w:uiPriority w:val="59"/>
    <w:rsid w:val="004509FF"/>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45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rPr>
  </w:style>
  <w:style w:type="character" w:customStyle="1" w:styleId="HTMLChar">
    <w:name w:val="HTML 预设格式 Char"/>
    <w:basedOn w:val="a0"/>
    <w:link w:val="HTML"/>
    <w:uiPriority w:val="99"/>
    <w:rsid w:val="004509FF"/>
    <w:rPr>
      <w:rFonts w:ascii="SimSun" w:eastAsia="SimSun" w:hAnsi="SimSun" w:cs="SimSun"/>
      <w:sz w:val="24"/>
      <w:szCs w:val="24"/>
    </w:rPr>
  </w:style>
  <w:style w:type="paragraph" w:styleId="a9">
    <w:name w:val="header"/>
    <w:basedOn w:val="a"/>
    <w:link w:val="Char1"/>
    <w:uiPriority w:val="99"/>
    <w:unhideWhenUsed/>
    <w:rsid w:val="004509FF"/>
    <w:pPr>
      <w:tabs>
        <w:tab w:val="center" w:pos="4320"/>
        <w:tab w:val="right" w:pos="8640"/>
      </w:tabs>
      <w:spacing w:after="0" w:line="240" w:lineRule="auto"/>
    </w:pPr>
    <w:rPr>
      <w:sz w:val="24"/>
      <w:szCs w:val="24"/>
    </w:rPr>
  </w:style>
  <w:style w:type="character" w:customStyle="1" w:styleId="Char1">
    <w:name w:val="页眉 Char"/>
    <w:basedOn w:val="a0"/>
    <w:link w:val="a9"/>
    <w:uiPriority w:val="99"/>
    <w:rsid w:val="004509FF"/>
    <w:rPr>
      <w:sz w:val="24"/>
      <w:szCs w:val="24"/>
    </w:rPr>
  </w:style>
  <w:style w:type="paragraph" w:styleId="aa">
    <w:name w:val="footer"/>
    <w:basedOn w:val="a"/>
    <w:link w:val="Char2"/>
    <w:uiPriority w:val="99"/>
    <w:unhideWhenUsed/>
    <w:rsid w:val="004509FF"/>
    <w:pPr>
      <w:tabs>
        <w:tab w:val="center" w:pos="4320"/>
        <w:tab w:val="right" w:pos="8640"/>
      </w:tabs>
      <w:spacing w:after="0" w:line="240" w:lineRule="auto"/>
    </w:pPr>
    <w:rPr>
      <w:sz w:val="24"/>
      <w:szCs w:val="24"/>
    </w:rPr>
  </w:style>
  <w:style w:type="character" w:customStyle="1" w:styleId="Char2">
    <w:name w:val="页脚 Char"/>
    <w:basedOn w:val="a0"/>
    <w:link w:val="aa"/>
    <w:uiPriority w:val="99"/>
    <w:rsid w:val="004509FF"/>
    <w:rPr>
      <w:sz w:val="24"/>
      <w:szCs w:val="24"/>
    </w:rPr>
  </w:style>
  <w:style w:type="paragraph" w:styleId="TOC">
    <w:name w:val="TOC Heading"/>
    <w:basedOn w:val="1"/>
    <w:next w:val="a"/>
    <w:uiPriority w:val="39"/>
    <w:unhideWhenUsed/>
    <w:qFormat/>
    <w:rsid w:val="003D4E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D4EE9"/>
    <w:pPr>
      <w:spacing w:after="0"/>
      <w:ind w:left="220"/>
    </w:pPr>
    <w:rPr>
      <w:smallCaps/>
    </w:rPr>
  </w:style>
  <w:style w:type="paragraph" w:styleId="10">
    <w:name w:val="toc 1"/>
    <w:basedOn w:val="a"/>
    <w:next w:val="a"/>
    <w:autoRedefine/>
    <w:uiPriority w:val="39"/>
    <w:semiHidden/>
    <w:unhideWhenUsed/>
    <w:rsid w:val="003D4EE9"/>
    <w:pPr>
      <w:spacing w:before="120" w:after="0"/>
    </w:pPr>
    <w:rPr>
      <w:b/>
      <w:caps/>
    </w:rPr>
  </w:style>
  <w:style w:type="paragraph" w:styleId="3">
    <w:name w:val="toc 3"/>
    <w:basedOn w:val="a"/>
    <w:next w:val="a"/>
    <w:autoRedefine/>
    <w:uiPriority w:val="39"/>
    <w:semiHidden/>
    <w:unhideWhenUsed/>
    <w:rsid w:val="003D4EE9"/>
    <w:pPr>
      <w:spacing w:after="0"/>
      <w:ind w:left="440"/>
    </w:pPr>
    <w:rPr>
      <w:i/>
    </w:rPr>
  </w:style>
  <w:style w:type="paragraph" w:styleId="4">
    <w:name w:val="toc 4"/>
    <w:basedOn w:val="a"/>
    <w:next w:val="a"/>
    <w:autoRedefine/>
    <w:uiPriority w:val="39"/>
    <w:semiHidden/>
    <w:unhideWhenUsed/>
    <w:rsid w:val="003D4EE9"/>
    <w:pPr>
      <w:spacing w:after="0"/>
      <w:ind w:left="660"/>
    </w:pPr>
    <w:rPr>
      <w:sz w:val="18"/>
      <w:szCs w:val="18"/>
    </w:rPr>
  </w:style>
  <w:style w:type="paragraph" w:styleId="5">
    <w:name w:val="toc 5"/>
    <w:basedOn w:val="a"/>
    <w:next w:val="a"/>
    <w:autoRedefine/>
    <w:uiPriority w:val="39"/>
    <w:semiHidden/>
    <w:unhideWhenUsed/>
    <w:rsid w:val="003D4EE9"/>
    <w:pPr>
      <w:spacing w:after="0"/>
      <w:ind w:left="880"/>
    </w:pPr>
    <w:rPr>
      <w:sz w:val="18"/>
      <w:szCs w:val="18"/>
    </w:rPr>
  </w:style>
  <w:style w:type="paragraph" w:styleId="6">
    <w:name w:val="toc 6"/>
    <w:basedOn w:val="a"/>
    <w:next w:val="a"/>
    <w:autoRedefine/>
    <w:uiPriority w:val="39"/>
    <w:semiHidden/>
    <w:unhideWhenUsed/>
    <w:rsid w:val="003D4EE9"/>
    <w:pPr>
      <w:spacing w:after="0"/>
      <w:ind w:left="1100"/>
    </w:pPr>
    <w:rPr>
      <w:sz w:val="18"/>
      <w:szCs w:val="18"/>
    </w:rPr>
  </w:style>
  <w:style w:type="paragraph" w:styleId="7">
    <w:name w:val="toc 7"/>
    <w:basedOn w:val="a"/>
    <w:next w:val="a"/>
    <w:autoRedefine/>
    <w:uiPriority w:val="39"/>
    <w:semiHidden/>
    <w:unhideWhenUsed/>
    <w:rsid w:val="003D4EE9"/>
    <w:pPr>
      <w:spacing w:after="0"/>
      <w:ind w:left="1320"/>
    </w:pPr>
    <w:rPr>
      <w:sz w:val="18"/>
      <w:szCs w:val="18"/>
    </w:rPr>
  </w:style>
  <w:style w:type="paragraph" w:styleId="8">
    <w:name w:val="toc 8"/>
    <w:basedOn w:val="a"/>
    <w:next w:val="a"/>
    <w:autoRedefine/>
    <w:uiPriority w:val="39"/>
    <w:semiHidden/>
    <w:unhideWhenUsed/>
    <w:rsid w:val="003D4EE9"/>
    <w:pPr>
      <w:spacing w:after="0"/>
      <w:ind w:left="1540"/>
    </w:pPr>
    <w:rPr>
      <w:sz w:val="18"/>
      <w:szCs w:val="18"/>
    </w:rPr>
  </w:style>
  <w:style w:type="paragraph" w:styleId="9">
    <w:name w:val="toc 9"/>
    <w:basedOn w:val="a"/>
    <w:next w:val="a"/>
    <w:autoRedefine/>
    <w:uiPriority w:val="39"/>
    <w:semiHidden/>
    <w:unhideWhenUsed/>
    <w:rsid w:val="003D4EE9"/>
    <w:pPr>
      <w:spacing w:after="0"/>
      <w:ind w:left="1760"/>
    </w:pPr>
    <w:rPr>
      <w:sz w:val="18"/>
      <w:szCs w:val="18"/>
    </w:rPr>
  </w:style>
  <w:style w:type="character" w:styleId="ab">
    <w:name w:val="page number"/>
    <w:basedOn w:val="a0"/>
    <w:uiPriority w:val="99"/>
    <w:semiHidden/>
    <w:unhideWhenUsed/>
    <w:rsid w:val="00065423"/>
  </w:style>
  <w:style w:type="paragraph" w:styleId="ac">
    <w:name w:val="footnote text"/>
    <w:basedOn w:val="a"/>
    <w:link w:val="Char3"/>
    <w:uiPriority w:val="99"/>
    <w:unhideWhenUsed/>
    <w:rsid w:val="003E067C"/>
    <w:pPr>
      <w:snapToGrid w:val="0"/>
    </w:pPr>
    <w:rPr>
      <w:sz w:val="18"/>
      <w:szCs w:val="18"/>
    </w:rPr>
  </w:style>
  <w:style w:type="character" w:customStyle="1" w:styleId="Char3">
    <w:name w:val="脚注文本 Char"/>
    <w:basedOn w:val="a0"/>
    <w:link w:val="ac"/>
    <w:uiPriority w:val="99"/>
    <w:rsid w:val="003E067C"/>
    <w:rPr>
      <w:sz w:val="18"/>
      <w:szCs w:val="18"/>
    </w:rPr>
  </w:style>
  <w:style w:type="character" w:styleId="ad">
    <w:name w:val="footnote reference"/>
    <w:basedOn w:val="a0"/>
    <w:uiPriority w:val="99"/>
    <w:unhideWhenUsed/>
    <w:rsid w:val="003E06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5788">
      <w:bodyDiv w:val="1"/>
      <w:marLeft w:val="0"/>
      <w:marRight w:val="0"/>
      <w:marTop w:val="0"/>
      <w:marBottom w:val="0"/>
      <w:divBdr>
        <w:top w:val="none" w:sz="0" w:space="0" w:color="auto"/>
        <w:left w:val="none" w:sz="0" w:space="0" w:color="auto"/>
        <w:bottom w:val="none" w:sz="0" w:space="0" w:color="auto"/>
        <w:right w:val="none" w:sz="0" w:space="0" w:color="auto"/>
      </w:divBdr>
    </w:div>
    <w:div w:id="76708758">
      <w:bodyDiv w:val="1"/>
      <w:marLeft w:val="0"/>
      <w:marRight w:val="0"/>
      <w:marTop w:val="0"/>
      <w:marBottom w:val="0"/>
      <w:divBdr>
        <w:top w:val="none" w:sz="0" w:space="0" w:color="auto"/>
        <w:left w:val="none" w:sz="0" w:space="0" w:color="auto"/>
        <w:bottom w:val="none" w:sz="0" w:space="0" w:color="auto"/>
        <w:right w:val="none" w:sz="0" w:space="0" w:color="auto"/>
      </w:divBdr>
    </w:div>
    <w:div w:id="138886965">
      <w:bodyDiv w:val="1"/>
      <w:marLeft w:val="0"/>
      <w:marRight w:val="0"/>
      <w:marTop w:val="0"/>
      <w:marBottom w:val="0"/>
      <w:divBdr>
        <w:top w:val="none" w:sz="0" w:space="0" w:color="auto"/>
        <w:left w:val="none" w:sz="0" w:space="0" w:color="auto"/>
        <w:bottom w:val="none" w:sz="0" w:space="0" w:color="auto"/>
        <w:right w:val="none" w:sz="0" w:space="0" w:color="auto"/>
      </w:divBdr>
    </w:div>
    <w:div w:id="195851299">
      <w:bodyDiv w:val="1"/>
      <w:marLeft w:val="0"/>
      <w:marRight w:val="0"/>
      <w:marTop w:val="0"/>
      <w:marBottom w:val="0"/>
      <w:divBdr>
        <w:top w:val="none" w:sz="0" w:space="0" w:color="auto"/>
        <w:left w:val="none" w:sz="0" w:space="0" w:color="auto"/>
        <w:bottom w:val="none" w:sz="0" w:space="0" w:color="auto"/>
        <w:right w:val="none" w:sz="0" w:space="0" w:color="auto"/>
      </w:divBdr>
    </w:div>
    <w:div w:id="296910185">
      <w:bodyDiv w:val="1"/>
      <w:marLeft w:val="0"/>
      <w:marRight w:val="0"/>
      <w:marTop w:val="0"/>
      <w:marBottom w:val="0"/>
      <w:divBdr>
        <w:top w:val="none" w:sz="0" w:space="0" w:color="auto"/>
        <w:left w:val="none" w:sz="0" w:space="0" w:color="auto"/>
        <w:bottom w:val="none" w:sz="0" w:space="0" w:color="auto"/>
        <w:right w:val="none" w:sz="0" w:space="0" w:color="auto"/>
      </w:divBdr>
    </w:div>
    <w:div w:id="331417457">
      <w:bodyDiv w:val="1"/>
      <w:marLeft w:val="0"/>
      <w:marRight w:val="0"/>
      <w:marTop w:val="0"/>
      <w:marBottom w:val="0"/>
      <w:divBdr>
        <w:top w:val="none" w:sz="0" w:space="0" w:color="auto"/>
        <w:left w:val="none" w:sz="0" w:space="0" w:color="auto"/>
        <w:bottom w:val="none" w:sz="0" w:space="0" w:color="auto"/>
        <w:right w:val="none" w:sz="0" w:space="0" w:color="auto"/>
      </w:divBdr>
    </w:div>
    <w:div w:id="353070621">
      <w:bodyDiv w:val="1"/>
      <w:marLeft w:val="0"/>
      <w:marRight w:val="0"/>
      <w:marTop w:val="0"/>
      <w:marBottom w:val="0"/>
      <w:divBdr>
        <w:top w:val="none" w:sz="0" w:space="0" w:color="auto"/>
        <w:left w:val="none" w:sz="0" w:space="0" w:color="auto"/>
        <w:bottom w:val="none" w:sz="0" w:space="0" w:color="auto"/>
        <w:right w:val="none" w:sz="0" w:space="0" w:color="auto"/>
      </w:divBdr>
    </w:div>
    <w:div w:id="478690039">
      <w:bodyDiv w:val="1"/>
      <w:marLeft w:val="0"/>
      <w:marRight w:val="0"/>
      <w:marTop w:val="0"/>
      <w:marBottom w:val="0"/>
      <w:divBdr>
        <w:top w:val="none" w:sz="0" w:space="0" w:color="auto"/>
        <w:left w:val="none" w:sz="0" w:space="0" w:color="auto"/>
        <w:bottom w:val="none" w:sz="0" w:space="0" w:color="auto"/>
        <w:right w:val="none" w:sz="0" w:space="0" w:color="auto"/>
      </w:divBdr>
    </w:div>
    <w:div w:id="508562063">
      <w:bodyDiv w:val="1"/>
      <w:marLeft w:val="0"/>
      <w:marRight w:val="0"/>
      <w:marTop w:val="0"/>
      <w:marBottom w:val="0"/>
      <w:divBdr>
        <w:top w:val="none" w:sz="0" w:space="0" w:color="auto"/>
        <w:left w:val="none" w:sz="0" w:space="0" w:color="auto"/>
        <w:bottom w:val="none" w:sz="0" w:space="0" w:color="auto"/>
        <w:right w:val="none" w:sz="0" w:space="0" w:color="auto"/>
      </w:divBdr>
    </w:div>
    <w:div w:id="548297160">
      <w:bodyDiv w:val="1"/>
      <w:marLeft w:val="0"/>
      <w:marRight w:val="0"/>
      <w:marTop w:val="0"/>
      <w:marBottom w:val="0"/>
      <w:divBdr>
        <w:top w:val="none" w:sz="0" w:space="0" w:color="auto"/>
        <w:left w:val="none" w:sz="0" w:space="0" w:color="auto"/>
        <w:bottom w:val="none" w:sz="0" w:space="0" w:color="auto"/>
        <w:right w:val="none" w:sz="0" w:space="0" w:color="auto"/>
      </w:divBdr>
    </w:div>
    <w:div w:id="555747840">
      <w:bodyDiv w:val="1"/>
      <w:marLeft w:val="0"/>
      <w:marRight w:val="0"/>
      <w:marTop w:val="0"/>
      <w:marBottom w:val="0"/>
      <w:divBdr>
        <w:top w:val="none" w:sz="0" w:space="0" w:color="auto"/>
        <w:left w:val="none" w:sz="0" w:space="0" w:color="auto"/>
        <w:bottom w:val="none" w:sz="0" w:space="0" w:color="auto"/>
        <w:right w:val="none" w:sz="0" w:space="0" w:color="auto"/>
      </w:divBdr>
    </w:div>
    <w:div w:id="847254322">
      <w:bodyDiv w:val="1"/>
      <w:marLeft w:val="0"/>
      <w:marRight w:val="0"/>
      <w:marTop w:val="0"/>
      <w:marBottom w:val="0"/>
      <w:divBdr>
        <w:top w:val="none" w:sz="0" w:space="0" w:color="auto"/>
        <w:left w:val="none" w:sz="0" w:space="0" w:color="auto"/>
        <w:bottom w:val="none" w:sz="0" w:space="0" w:color="auto"/>
        <w:right w:val="none" w:sz="0" w:space="0" w:color="auto"/>
      </w:divBdr>
    </w:div>
    <w:div w:id="1168522058">
      <w:bodyDiv w:val="1"/>
      <w:marLeft w:val="0"/>
      <w:marRight w:val="0"/>
      <w:marTop w:val="0"/>
      <w:marBottom w:val="0"/>
      <w:divBdr>
        <w:top w:val="none" w:sz="0" w:space="0" w:color="auto"/>
        <w:left w:val="none" w:sz="0" w:space="0" w:color="auto"/>
        <w:bottom w:val="none" w:sz="0" w:space="0" w:color="auto"/>
        <w:right w:val="none" w:sz="0" w:space="0" w:color="auto"/>
      </w:divBdr>
    </w:div>
    <w:div w:id="1365862482">
      <w:bodyDiv w:val="1"/>
      <w:marLeft w:val="0"/>
      <w:marRight w:val="0"/>
      <w:marTop w:val="0"/>
      <w:marBottom w:val="0"/>
      <w:divBdr>
        <w:top w:val="none" w:sz="0" w:space="0" w:color="auto"/>
        <w:left w:val="none" w:sz="0" w:space="0" w:color="auto"/>
        <w:bottom w:val="none" w:sz="0" w:space="0" w:color="auto"/>
        <w:right w:val="none" w:sz="0" w:space="0" w:color="auto"/>
      </w:divBdr>
    </w:div>
    <w:div w:id="1499806365">
      <w:bodyDiv w:val="1"/>
      <w:marLeft w:val="0"/>
      <w:marRight w:val="0"/>
      <w:marTop w:val="0"/>
      <w:marBottom w:val="0"/>
      <w:divBdr>
        <w:top w:val="none" w:sz="0" w:space="0" w:color="auto"/>
        <w:left w:val="none" w:sz="0" w:space="0" w:color="auto"/>
        <w:bottom w:val="none" w:sz="0" w:space="0" w:color="auto"/>
        <w:right w:val="none" w:sz="0" w:space="0" w:color="auto"/>
      </w:divBdr>
    </w:div>
    <w:div w:id="1525829313">
      <w:bodyDiv w:val="1"/>
      <w:marLeft w:val="0"/>
      <w:marRight w:val="0"/>
      <w:marTop w:val="0"/>
      <w:marBottom w:val="0"/>
      <w:divBdr>
        <w:top w:val="none" w:sz="0" w:space="0" w:color="auto"/>
        <w:left w:val="none" w:sz="0" w:space="0" w:color="auto"/>
        <w:bottom w:val="none" w:sz="0" w:space="0" w:color="auto"/>
        <w:right w:val="none" w:sz="0" w:space="0" w:color="auto"/>
      </w:divBdr>
    </w:div>
    <w:div w:id="1551990315">
      <w:bodyDiv w:val="1"/>
      <w:marLeft w:val="0"/>
      <w:marRight w:val="0"/>
      <w:marTop w:val="0"/>
      <w:marBottom w:val="0"/>
      <w:divBdr>
        <w:top w:val="none" w:sz="0" w:space="0" w:color="auto"/>
        <w:left w:val="none" w:sz="0" w:space="0" w:color="auto"/>
        <w:bottom w:val="none" w:sz="0" w:space="0" w:color="auto"/>
        <w:right w:val="none" w:sz="0" w:space="0" w:color="auto"/>
      </w:divBdr>
    </w:div>
    <w:div w:id="1586261072">
      <w:bodyDiv w:val="1"/>
      <w:marLeft w:val="0"/>
      <w:marRight w:val="0"/>
      <w:marTop w:val="0"/>
      <w:marBottom w:val="0"/>
      <w:divBdr>
        <w:top w:val="none" w:sz="0" w:space="0" w:color="auto"/>
        <w:left w:val="none" w:sz="0" w:space="0" w:color="auto"/>
        <w:bottom w:val="none" w:sz="0" w:space="0" w:color="auto"/>
        <w:right w:val="none" w:sz="0" w:space="0" w:color="auto"/>
      </w:divBdr>
    </w:div>
    <w:div w:id="1674068498">
      <w:bodyDiv w:val="1"/>
      <w:marLeft w:val="0"/>
      <w:marRight w:val="0"/>
      <w:marTop w:val="0"/>
      <w:marBottom w:val="0"/>
      <w:divBdr>
        <w:top w:val="none" w:sz="0" w:space="0" w:color="auto"/>
        <w:left w:val="none" w:sz="0" w:space="0" w:color="auto"/>
        <w:bottom w:val="none" w:sz="0" w:space="0" w:color="auto"/>
        <w:right w:val="none" w:sz="0" w:space="0" w:color="auto"/>
      </w:divBdr>
    </w:div>
    <w:div w:id="1703093877">
      <w:bodyDiv w:val="1"/>
      <w:marLeft w:val="0"/>
      <w:marRight w:val="0"/>
      <w:marTop w:val="0"/>
      <w:marBottom w:val="0"/>
      <w:divBdr>
        <w:top w:val="none" w:sz="0" w:space="0" w:color="auto"/>
        <w:left w:val="none" w:sz="0" w:space="0" w:color="auto"/>
        <w:bottom w:val="none" w:sz="0" w:space="0" w:color="auto"/>
        <w:right w:val="none" w:sz="0" w:space="0" w:color="auto"/>
      </w:divBdr>
    </w:div>
    <w:div w:id="1788818088">
      <w:bodyDiv w:val="1"/>
      <w:marLeft w:val="0"/>
      <w:marRight w:val="0"/>
      <w:marTop w:val="0"/>
      <w:marBottom w:val="0"/>
      <w:divBdr>
        <w:top w:val="none" w:sz="0" w:space="0" w:color="auto"/>
        <w:left w:val="none" w:sz="0" w:space="0" w:color="auto"/>
        <w:bottom w:val="none" w:sz="0" w:space="0" w:color="auto"/>
        <w:right w:val="none" w:sz="0" w:space="0" w:color="auto"/>
      </w:divBdr>
    </w:div>
    <w:div w:id="1818186489">
      <w:bodyDiv w:val="1"/>
      <w:marLeft w:val="0"/>
      <w:marRight w:val="0"/>
      <w:marTop w:val="0"/>
      <w:marBottom w:val="0"/>
      <w:divBdr>
        <w:top w:val="none" w:sz="0" w:space="0" w:color="auto"/>
        <w:left w:val="none" w:sz="0" w:space="0" w:color="auto"/>
        <w:bottom w:val="none" w:sz="0" w:space="0" w:color="auto"/>
        <w:right w:val="none" w:sz="0" w:space="0" w:color="auto"/>
      </w:divBdr>
    </w:div>
    <w:div w:id="1866940061">
      <w:bodyDiv w:val="1"/>
      <w:marLeft w:val="0"/>
      <w:marRight w:val="0"/>
      <w:marTop w:val="0"/>
      <w:marBottom w:val="0"/>
      <w:divBdr>
        <w:top w:val="none" w:sz="0" w:space="0" w:color="auto"/>
        <w:left w:val="none" w:sz="0" w:space="0" w:color="auto"/>
        <w:bottom w:val="none" w:sz="0" w:space="0" w:color="auto"/>
        <w:right w:val="none" w:sz="0" w:space="0" w:color="auto"/>
      </w:divBdr>
    </w:div>
    <w:div w:id="1874612566">
      <w:bodyDiv w:val="1"/>
      <w:marLeft w:val="0"/>
      <w:marRight w:val="0"/>
      <w:marTop w:val="0"/>
      <w:marBottom w:val="0"/>
      <w:divBdr>
        <w:top w:val="none" w:sz="0" w:space="0" w:color="auto"/>
        <w:left w:val="none" w:sz="0" w:space="0" w:color="auto"/>
        <w:bottom w:val="none" w:sz="0" w:space="0" w:color="auto"/>
        <w:right w:val="none" w:sz="0" w:space="0" w:color="auto"/>
      </w:divBdr>
    </w:div>
    <w:div w:id="1931621990">
      <w:bodyDiv w:val="1"/>
      <w:marLeft w:val="0"/>
      <w:marRight w:val="0"/>
      <w:marTop w:val="0"/>
      <w:marBottom w:val="0"/>
      <w:divBdr>
        <w:top w:val="none" w:sz="0" w:space="0" w:color="auto"/>
        <w:left w:val="none" w:sz="0" w:space="0" w:color="auto"/>
        <w:bottom w:val="none" w:sz="0" w:space="0" w:color="auto"/>
        <w:right w:val="none" w:sz="0" w:space="0" w:color="auto"/>
      </w:divBdr>
    </w:div>
    <w:div w:id="1935240098">
      <w:bodyDiv w:val="1"/>
      <w:marLeft w:val="0"/>
      <w:marRight w:val="0"/>
      <w:marTop w:val="0"/>
      <w:marBottom w:val="0"/>
      <w:divBdr>
        <w:top w:val="none" w:sz="0" w:space="0" w:color="auto"/>
        <w:left w:val="none" w:sz="0" w:space="0" w:color="auto"/>
        <w:bottom w:val="none" w:sz="0" w:space="0" w:color="auto"/>
        <w:right w:val="none" w:sz="0" w:space="0" w:color="auto"/>
      </w:divBdr>
    </w:div>
    <w:div w:id="2061128042">
      <w:bodyDiv w:val="1"/>
      <w:marLeft w:val="0"/>
      <w:marRight w:val="0"/>
      <w:marTop w:val="0"/>
      <w:marBottom w:val="0"/>
      <w:divBdr>
        <w:top w:val="none" w:sz="0" w:space="0" w:color="auto"/>
        <w:left w:val="none" w:sz="0" w:space="0" w:color="auto"/>
        <w:bottom w:val="none" w:sz="0" w:space="0" w:color="auto"/>
        <w:right w:val="none" w:sz="0" w:space="0" w:color="auto"/>
      </w:divBdr>
    </w:div>
    <w:div w:id="2062051908">
      <w:bodyDiv w:val="1"/>
      <w:marLeft w:val="0"/>
      <w:marRight w:val="0"/>
      <w:marTop w:val="0"/>
      <w:marBottom w:val="0"/>
      <w:divBdr>
        <w:top w:val="none" w:sz="0" w:space="0" w:color="auto"/>
        <w:left w:val="none" w:sz="0" w:space="0" w:color="auto"/>
        <w:bottom w:val="none" w:sz="0" w:space="0" w:color="auto"/>
        <w:right w:val="none" w:sz="0" w:space="0" w:color="auto"/>
      </w:divBdr>
    </w:div>
    <w:div w:id="21427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mon4000\Desktop\soi_scratc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Predictive Model Coefficient Drift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SSOI(t)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 quotes'!$S$1:$S$5</c:f>
              <c:numCache>
                <c:formatCode>d\-mmm</c:formatCode>
                <c:ptCount val="5"/>
                <c:pt idx="0">
                  <c:v>41387</c:v>
                </c:pt>
                <c:pt idx="1">
                  <c:v>41389</c:v>
                </c:pt>
                <c:pt idx="2">
                  <c:v>41390</c:v>
                </c:pt>
                <c:pt idx="3">
                  <c:v>41393</c:v>
                </c:pt>
                <c:pt idx="4">
                  <c:v>41394</c:v>
                </c:pt>
              </c:numCache>
            </c:numRef>
          </c:cat>
          <c:val>
            <c:numRef>
              <c:f>'no quotes'!$P$1:$P$5</c:f>
              <c:numCache>
                <c:formatCode>0.00E+00</c:formatCode>
                <c:ptCount val="5"/>
                <c:pt idx="0">
                  <c:v>0.31140000000000001</c:v>
                </c:pt>
                <c:pt idx="1">
                  <c:v>-0.28339999999999999</c:v>
                </c:pt>
                <c:pt idx="2">
                  <c:v>8.0850000000000005E-2</c:v>
                </c:pt>
                <c:pt idx="3">
                  <c:v>-8.0089999999999995E-2</c:v>
                </c:pt>
                <c:pt idx="4">
                  <c:v>-5.8439999999999999E-2</c:v>
                </c:pt>
              </c:numCache>
            </c:numRef>
          </c:val>
          <c:smooth val="0"/>
        </c:ser>
        <c:ser>
          <c:idx val="1"/>
          <c:order val="1"/>
          <c:tx>
            <c:v>SSOI(t/2)</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 quotes'!$S$1:$S$5</c:f>
              <c:numCache>
                <c:formatCode>d\-mmm</c:formatCode>
                <c:ptCount val="5"/>
                <c:pt idx="0">
                  <c:v>41387</c:v>
                </c:pt>
                <c:pt idx="1">
                  <c:v>41389</c:v>
                </c:pt>
                <c:pt idx="2">
                  <c:v>41390</c:v>
                </c:pt>
                <c:pt idx="3">
                  <c:v>41393</c:v>
                </c:pt>
                <c:pt idx="4">
                  <c:v>41394</c:v>
                </c:pt>
              </c:numCache>
            </c:numRef>
          </c:cat>
          <c:val>
            <c:numRef>
              <c:f>'no quotes'!$Q$1:$Q$5</c:f>
              <c:numCache>
                <c:formatCode>0.00E+00</c:formatCode>
                <c:ptCount val="5"/>
                <c:pt idx="0">
                  <c:v>-0.51780000000000004</c:v>
                </c:pt>
                <c:pt idx="1">
                  <c:v>-0.31040000000000001</c:v>
                </c:pt>
                <c:pt idx="2">
                  <c:v>-6.8849999999999995E-2</c:v>
                </c:pt>
                <c:pt idx="3">
                  <c:v>0.18970000000000001</c:v>
                </c:pt>
                <c:pt idx="4">
                  <c:v>-0.44109999999999999</c:v>
                </c:pt>
              </c:numCache>
            </c:numRef>
          </c:val>
          <c:smooth val="0"/>
        </c:ser>
        <c:ser>
          <c:idx val="2"/>
          <c:order val="2"/>
          <c:tx>
            <c:v>Lag(Log Quote Mid)</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 quotes'!$S$1:$S$5</c:f>
              <c:numCache>
                <c:formatCode>d\-mmm</c:formatCode>
                <c:ptCount val="5"/>
                <c:pt idx="0">
                  <c:v>41387</c:v>
                </c:pt>
                <c:pt idx="1">
                  <c:v>41389</c:v>
                </c:pt>
                <c:pt idx="2">
                  <c:v>41390</c:v>
                </c:pt>
                <c:pt idx="3">
                  <c:v>41393</c:v>
                </c:pt>
                <c:pt idx="4">
                  <c:v>41394</c:v>
                </c:pt>
              </c:numCache>
            </c:numRef>
          </c:cat>
          <c:val>
            <c:numRef>
              <c:f>'no quotes'!$R$1:$R$5</c:f>
              <c:numCache>
                <c:formatCode>0.00E+00</c:formatCode>
                <c:ptCount val="5"/>
                <c:pt idx="0">
                  <c:v>5.5100000000000003E-2</c:v>
                </c:pt>
                <c:pt idx="1">
                  <c:v>0.80159999999999998</c:v>
                </c:pt>
                <c:pt idx="2">
                  <c:v>8.8609999999999994E-2</c:v>
                </c:pt>
                <c:pt idx="3">
                  <c:v>-0.17</c:v>
                </c:pt>
                <c:pt idx="4">
                  <c:v>0.72829999999999995</c:v>
                </c:pt>
              </c:numCache>
            </c:numRef>
          </c:val>
          <c:smooth val="0"/>
        </c:ser>
        <c:ser>
          <c:idx val="3"/>
          <c:order val="3"/>
          <c:tx>
            <c:v>Intercept</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 quotes'!$S$1:$S$5</c:f>
              <c:numCache>
                <c:formatCode>d\-mmm</c:formatCode>
                <c:ptCount val="5"/>
                <c:pt idx="0">
                  <c:v>41387</c:v>
                </c:pt>
                <c:pt idx="1">
                  <c:v>41389</c:v>
                </c:pt>
                <c:pt idx="2">
                  <c:v>41390</c:v>
                </c:pt>
                <c:pt idx="3">
                  <c:v>41393</c:v>
                </c:pt>
                <c:pt idx="4">
                  <c:v>41394</c:v>
                </c:pt>
              </c:numCache>
            </c:numRef>
          </c:cat>
          <c:val>
            <c:numRef>
              <c:f>'no quotes'!$O$1:$O$5</c:f>
              <c:numCache>
                <c:formatCode>0.00E+00</c:formatCode>
                <c:ptCount val="5"/>
                <c:pt idx="0">
                  <c:v>4.2150000000000001E-5</c:v>
                </c:pt>
                <c:pt idx="1">
                  <c:v>-1.66E-6</c:v>
                </c:pt>
                <c:pt idx="2">
                  <c:v>-2.213E-5</c:v>
                </c:pt>
                <c:pt idx="3">
                  <c:v>-1.855E-5</c:v>
                </c:pt>
                <c:pt idx="4">
                  <c:v>1.116E-5</c:v>
                </c:pt>
              </c:numCache>
            </c:numRef>
          </c:val>
          <c:smooth val="0"/>
        </c:ser>
        <c:dLbls>
          <c:showLegendKey val="0"/>
          <c:showVal val="0"/>
          <c:showCatName val="0"/>
          <c:showSerName val="0"/>
          <c:showPercent val="0"/>
          <c:showBubbleSize val="0"/>
        </c:dLbls>
        <c:marker val="1"/>
        <c:smooth val="0"/>
        <c:axId val="835900488"/>
        <c:axId val="835900880"/>
      </c:lineChart>
      <c:dateAx>
        <c:axId val="835900488"/>
        <c:scaling>
          <c:orientation val="minMax"/>
        </c:scaling>
        <c:delete val="0"/>
        <c:axPos val="b"/>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900880"/>
        <c:crosses val="autoZero"/>
        <c:auto val="1"/>
        <c:lblOffset val="100"/>
        <c:baseTimeUnit val="days"/>
      </c:dateAx>
      <c:valAx>
        <c:axId val="83590088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900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2F8F4-7EF1-4E68-997C-70282EA2D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FE Project Midterm Report Draft</vt:lpstr>
    </vt:vector>
  </TitlesOfParts>
  <Company>Hewlett-Packard</Company>
  <LinksUpToDate>false</LinksUpToDate>
  <CharactersWithSpaces>18478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 Project Midterm Report</dc:title>
  <dc:creator>Team members: Zhenyu Chen, Jiongjia Fang, Yilun Qian, Jia Xu, Kuangdi Zheng.</dc:creator>
  <cp:lastModifiedBy>demon4000</cp:lastModifiedBy>
  <cp:revision>37</cp:revision>
  <cp:lastPrinted>2013-10-10T10:05:00Z</cp:lastPrinted>
  <dcterms:created xsi:type="dcterms:W3CDTF">2013-10-18T16:38:00Z</dcterms:created>
  <dcterms:modified xsi:type="dcterms:W3CDTF">2013-10-18T20:59:00Z</dcterms:modified>
</cp:coreProperties>
</file>