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26" w:rsidRPr="00E62E26" w:rsidRDefault="00E62E26" w:rsidP="00E62E26">
      <w:pPr>
        <w:jc w:val="center"/>
        <w:rPr>
          <w:b/>
          <w:i/>
          <w:sz w:val="28"/>
          <w:szCs w:val="28"/>
          <w:u w:val="single"/>
        </w:rPr>
      </w:pPr>
      <w:r w:rsidRPr="00E62E26">
        <w:rPr>
          <w:b/>
          <w:i/>
          <w:sz w:val="28"/>
          <w:szCs w:val="28"/>
          <w:u w:val="single"/>
        </w:rPr>
        <w:t>Predicting price changes with Signed Order Imbalance for equity securities</w:t>
      </w:r>
    </w:p>
    <w:p w:rsidR="00C450B5" w:rsidRPr="009A7E61" w:rsidRDefault="00CE1BFD">
      <w:pPr>
        <w:rPr>
          <w:b/>
          <w:u w:val="single"/>
        </w:rPr>
      </w:pPr>
      <w:r w:rsidRPr="009A7E61">
        <w:rPr>
          <w:b/>
          <w:u w:val="single"/>
        </w:rPr>
        <w:t>Objective:</w:t>
      </w:r>
    </w:p>
    <w:p w:rsidR="00CE1BFD" w:rsidRDefault="00CE1BFD">
      <w:r>
        <w:t>This project aims to improve one period ahead price prediction using order imbalance information</w:t>
      </w:r>
      <w:r w:rsidR="00C710CC">
        <w:t xml:space="preserve"> from the current time period</w:t>
      </w:r>
      <w:r>
        <w:t xml:space="preserve">. </w:t>
      </w:r>
    </w:p>
    <w:p w:rsidR="003E183C" w:rsidRDefault="003E183C">
      <w:pPr>
        <w:rPr>
          <w:b/>
          <w:u w:val="single"/>
        </w:rPr>
      </w:pPr>
      <w:r w:rsidRPr="009A7E61">
        <w:rPr>
          <w:b/>
          <w:u w:val="single"/>
        </w:rPr>
        <w:t>Background information:</w:t>
      </w:r>
    </w:p>
    <w:p w:rsidR="00C626C2" w:rsidRPr="00C626C2" w:rsidRDefault="00C626C2">
      <w:pPr>
        <w:rPr>
          <w:b/>
        </w:rPr>
      </w:pPr>
      <w:r w:rsidRPr="00C626C2">
        <w:rPr>
          <w:b/>
        </w:rPr>
        <w:t>Motivation behind the project:</w:t>
      </w:r>
    </w:p>
    <w:p w:rsidR="000B28AF" w:rsidRPr="000B28AF" w:rsidRDefault="000B28AF">
      <w:r>
        <w:t xml:space="preserve">Securities </w:t>
      </w:r>
      <w:r w:rsidR="000040F4">
        <w:t xml:space="preserve">price prediction is a golden grail. The ability to accurately predict price changes lead to direct profits and revenue generation for the firm. Endless efforts have been devoted into coming up with great models, </w:t>
      </w:r>
      <w:r w:rsidR="00402E82">
        <w:t xml:space="preserve">and many are fruitless while others are more promising. The most successful strategies are usually very secretive and involve advanced mathematical modeling. </w:t>
      </w:r>
      <w:r w:rsidR="00134448">
        <w:t xml:space="preserve">In this paper, the team dabbled at building one simple model based on signed order imbalances, an idea inspired by Easley, Lopez de Prado and O’Hara’s paper on “Flow Toxicity and Liquidity in a High Frequency World”. </w:t>
      </w:r>
    </w:p>
    <w:p w:rsidR="00EF7CF5" w:rsidRPr="00D9001A" w:rsidRDefault="00EF7CF5">
      <w:pPr>
        <w:rPr>
          <w:b/>
        </w:rPr>
      </w:pPr>
      <w:r w:rsidRPr="00D9001A">
        <w:rPr>
          <w:b/>
        </w:rPr>
        <w:t>Definition of SOI:</w:t>
      </w:r>
    </w:p>
    <w:p w:rsidR="0014117E" w:rsidRDefault="0014117E">
      <m:oMathPara>
        <m:oMath>
          <m:r>
            <w:rPr>
              <w:rFonts w:ascii="Cambria Math" w:hAnsi="Cambria Math"/>
            </w:rPr>
            <m:t xml:space="preserve">SOI=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*b(i)</m:t>
              </m:r>
            </m:e>
          </m:nary>
          <m:r>
            <w:rPr>
              <w:rFonts w:ascii="Cambria Math" w:hAnsi="Cambria Math"/>
            </w:rPr>
            <m:t>, where b</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0,1,-1</m:t>
              </m:r>
            </m:e>
          </m:d>
          <m:r>
            <w:rPr>
              <w:rFonts w:ascii="Cambria Math" w:hAnsi="Cambria Math"/>
            </w:rPr>
            <m:t>, w</m:t>
          </m:r>
          <m:d>
            <m:dPr>
              <m:ctrlPr>
                <w:rPr>
                  <w:rFonts w:ascii="Cambria Math" w:hAnsi="Cambria Math"/>
                  <w:i/>
                </w:rPr>
              </m:ctrlPr>
            </m:dPr>
            <m:e>
              <m:r>
                <w:rPr>
                  <w:rFonts w:ascii="Cambria Math" w:hAnsi="Cambria Math"/>
                </w:rPr>
                <m:t>i</m:t>
              </m:r>
            </m:e>
          </m:d>
          <m:r>
            <w:rPr>
              <w:rFonts w:ascii="Cambria Math" w:hAnsi="Cambria Math"/>
            </w:rPr>
            <m:t>=volume(i,i-1)/</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m:oMathPara>
    </w:p>
    <w:p w:rsidR="001B4331" w:rsidRPr="00D9001A" w:rsidRDefault="001B4331">
      <w:pPr>
        <w:rPr>
          <w:b/>
        </w:rPr>
      </w:pPr>
      <w:r w:rsidRPr="00D9001A">
        <w:rPr>
          <w:b/>
        </w:rPr>
        <w:t>Explanation of the definition:</w:t>
      </w:r>
    </w:p>
    <w:p w:rsidR="001B4331" w:rsidRDefault="005362C2">
      <m:oMath>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w:r w:rsidR="001B4331">
        <w:t xml:space="preserve"> </w:t>
      </w:r>
      <w:proofErr w:type="gramStart"/>
      <w:r w:rsidR="001B4331">
        <w:t>defines</w:t>
      </w:r>
      <w:proofErr w:type="gramEnd"/>
      <w:r w:rsidR="00DF593F">
        <w:t xml:space="preserve"> the total volume of a bucket</w:t>
      </w:r>
      <w:r w:rsidR="003E183C">
        <w:t xml:space="preserve">. Such </w:t>
      </w:r>
      <w:r w:rsidR="005C61C9">
        <w:t xml:space="preserve">bucket volume needs to identical throughout the day. </w:t>
      </w:r>
      <w:proofErr w:type="gramStart"/>
      <w:r w:rsidR="001B4331">
        <w:t>volume(</w:t>
      </w:r>
      <w:proofErr w:type="spellStart"/>
      <w:proofErr w:type="gramEnd"/>
      <w:r w:rsidR="001B4331">
        <w:t>i</w:t>
      </w:r>
      <w:proofErr w:type="spellEnd"/>
      <w:r w:rsidR="001B4331">
        <w:t xml:space="preserve">, i-1) defines the total volume in a singular “bin” within each bucket. This term need not to be fixed, although it is possible to fix such a term based on volume (i.e. fixed bin implementation). Alternatively, one can define this term in terms of time; to put it in another way, we aggregate all the volumes within a fixed time interval and define it as volume(i,i-1), where </w:t>
      </w:r>
      <w:proofErr w:type="spellStart"/>
      <w:r w:rsidR="001B4331">
        <w:t>i</w:t>
      </w:r>
      <w:proofErr w:type="spellEnd"/>
      <w:r w:rsidR="001B4331">
        <w:t xml:space="preserve"> is the time index associated with each time interval. </w:t>
      </w:r>
    </w:p>
    <w:p w:rsidR="00A86C93" w:rsidRPr="00B00EE7" w:rsidRDefault="00A86C93">
      <w:pPr>
        <w:rPr>
          <w:b/>
        </w:rPr>
      </w:pPr>
      <w:r w:rsidRPr="00B00EE7">
        <w:rPr>
          <w:b/>
        </w:rPr>
        <w:t>Buy/Sell</w:t>
      </w:r>
      <w:r w:rsidR="001B4331" w:rsidRPr="00B00EE7">
        <w:rPr>
          <w:b/>
        </w:rPr>
        <w:t>/Neutral</w:t>
      </w:r>
      <w:r w:rsidRPr="00B00EE7">
        <w:rPr>
          <w:b/>
        </w:rPr>
        <w:t xml:space="preserve"> Classification</w:t>
      </w:r>
      <w:r w:rsidR="001B4331" w:rsidRPr="00B00EE7">
        <w:rPr>
          <w:b/>
        </w:rPr>
        <w:t xml:space="preserve"> (</w:t>
      </w:r>
      <w:r w:rsidR="0001062C">
        <w:rPr>
          <w:b/>
        </w:rPr>
        <w:t xml:space="preserve">i.e. </w:t>
      </w:r>
      <w:proofErr w:type="gramStart"/>
      <w:r w:rsidR="00E4237D">
        <w:rPr>
          <w:b/>
        </w:rPr>
        <w:t>b(</w:t>
      </w:r>
      <w:proofErr w:type="gramEnd"/>
      <w:r w:rsidR="00E4237D">
        <w:rPr>
          <w:b/>
        </w:rPr>
        <w:t>·</w:t>
      </w:r>
      <w:r w:rsidR="001B4331" w:rsidRPr="00B00EE7">
        <w:rPr>
          <w:b/>
        </w:rPr>
        <w:t>)</w:t>
      </w:r>
      <w:r w:rsidR="0001062C">
        <w:rPr>
          <w:b/>
        </w:rPr>
        <w:t xml:space="preserve"> Calculation</w:t>
      </w:r>
      <w:r w:rsidR="001B4331" w:rsidRPr="00B00EE7">
        <w:rPr>
          <w:b/>
        </w:rPr>
        <w:t xml:space="preserve"> )</w:t>
      </w:r>
      <w:r w:rsidRPr="00B00EE7">
        <w:rPr>
          <w:b/>
        </w:rPr>
        <w:t>:</w:t>
      </w:r>
    </w:p>
    <w:p w:rsidR="00A86C93" w:rsidRDefault="004C715F">
      <w:r>
        <w:t>Multiple buy/</w:t>
      </w:r>
      <w:r w:rsidR="00A86C93">
        <w:t>sell</w:t>
      </w:r>
      <w:r w:rsidR="00EF7CF5">
        <w:t>/neutral</w:t>
      </w:r>
      <w:r w:rsidR="00A86C93">
        <w:t xml:space="preserve"> classification schemes are explored:</w:t>
      </w:r>
    </w:p>
    <w:p w:rsidR="00A86C93" w:rsidRDefault="004C715F" w:rsidP="004C715F">
      <w:pPr>
        <w:pStyle w:val="ListParagraph"/>
        <w:numPr>
          <w:ilvl w:val="0"/>
          <w:numId w:val="1"/>
        </w:numPr>
      </w:pPr>
      <w:r>
        <w:t xml:space="preserve">Lee-Ready type classification based solely on trade data. </w:t>
      </w:r>
      <w:r w:rsidR="00725F0B">
        <w:t>In this algorithm, transact</w:t>
      </w:r>
      <w:r w:rsidR="00BA4C46">
        <w:t>ional level prices for trades are used. A trade is classified as a buy trade if the transactional price at time t is higher than the price at t-1. In case both transactional prices are identical, we look back</w:t>
      </w:r>
      <w:r w:rsidR="00EF7CF5">
        <w:t xml:space="preserve"> one period and follow the same procedure. The rationale behind this is in case of the tie, we implicitly the momentum will continue. If the t-1 to t period return is still 0, then we return 0 (i.e. this particular trade has no weight in calculating signed order imbalance)</w:t>
      </w:r>
    </w:p>
    <w:p w:rsidR="00682350" w:rsidRDefault="00682350" w:rsidP="00682350">
      <w:pPr>
        <w:pStyle w:val="ListParagraph"/>
      </w:pPr>
    </w:p>
    <w:p w:rsidR="00C52A6C" w:rsidRDefault="00682350" w:rsidP="00C52A6C">
      <w:pPr>
        <w:pStyle w:val="ListParagraph"/>
        <w:numPr>
          <w:ilvl w:val="0"/>
          <w:numId w:val="1"/>
        </w:numPr>
      </w:pPr>
      <w:r>
        <w:t xml:space="preserve">Nearest quotes with artificial delay based classification. </w:t>
      </w:r>
      <w:r w:rsidR="00AD7121">
        <w:t>For each trade, t</w:t>
      </w:r>
      <w:r>
        <w:t xml:space="preserve">his algorithm looks at the </w:t>
      </w:r>
      <w:r w:rsidR="00AD7121">
        <w:t xml:space="preserve">nearest available quote (in terms of time). If the transacted price is closer to the bid of the </w:t>
      </w:r>
      <w:r w:rsidR="00AD7121">
        <w:lastRenderedPageBreak/>
        <w:t xml:space="preserve">quote, we classify the trade as a sell by setting b to -1 (i.e. we are taking the bid). Alternatively if the transacted price is closer to </w:t>
      </w:r>
      <w:proofErr w:type="gramStart"/>
      <w:r w:rsidR="00AD7121">
        <w:t>the ask</w:t>
      </w:r>
      <w:proofErr w:type="gramEnd"/>
      <w:r w:rsidR="00AD7121">
        <w:t xml:space="preserve"> of the quote, the trade is classified as a buy (or b = 1)</w:t>
      </w:r>
      <w:r w:rsidR="00C52A6C">
        <w:t xml:space="preserve">. If the transacted price is equidistant, we assigned the trade as neutral. </w:t>
      </w:r>
    </w:p>
    <w:p w:rsidR="002A098F" w:rsidRDefault="002A098F" w:rsidP="002A098F">
      <w:pPr>
        <w:pStyle w:val="ListParagraph"/>
      </w:pPr>
    </w:p>
    <w:p w:rsidR="002A098F" w:rsidRDefault="002A098F" w:rsidP="002A098F">
      <w:pPr>
        <w:pStyle w:val="ListParagraph"/>
      </w:pPr>
      <w:r>
        <w:t>Sometimes the quotes reported to the consolidated tape can be out of order or the transacted time can be erroneous, to remedy for that case, we introduce random artificial delay to the quotes and follow the same</w:t>
      </w:r>
      <w:r w:rsidR="005C12D8">
        <w:t xml:space="preserve"> algorithm. This technique can and has been applied to the raw data for this project even if we do not use technique 2) for classification.</w:t>
      </w:r>
    </w:p>
    <w:p w:rsidR="005C12D8" w:rsidRDefault="005C12D8" w:rsidP="002A098F">
      <w:pPr>
        <w:pStyle w:val="ListParagraph"/>
      </w:pPr>
    </w:p>
    <w:p w:rsidR="002A098F" w:rsidRDefault="003B7677" w:rsidP="00C52A6C">
      <w:pPr>
        <w:pStyle w:val="ListParagraph"/>
        <w:numPr>
          <w:ilvl w:val="0"/>
          <w:numId w:val="1"/>
        </w:numPr>
      </w:pPr>
      <w:r>
        <w:t xml:space="preserve">The third classification scheme involves calculating time weighted EMAs of all the quotes, and starting with the nearest EMA quote, we follow technique 2). </w:t>
      </w:r>
    </w:p>
    <w:p w:rsidR="00E30EF7" w:rsidRDefault="00C76B3F" w:rsidP="003B7677">
      <w:pPr>
        <w:ind w:left="360"/>
      </w:pPr>
      <w:r>
        <w:t xml:space="preserve">Before proceeding to building an actual predictive model, it is important to first ascertain our intuition that SOI is well correlated with price returns. </w:t>
      </w:r>
      <w:r w:rsidR="008B7879">
        <w:t xml:space="preserve">The simple linear regression </w:t>
      </w:r>
      <w:r>
        <w:t>model we used to verify is as follows:</w:t>
      </w:r>
    </w:p>
    <w:p w:rsidR="00C76B3F" w:rsidRPr="00B4646D" w:rsidRDefault="00A96B8A" w:rsidP="003B7677">
      <w:pPr>
        <w:ind w:left="360"/>
      </w:pPr>
      <m:oMathPara>
        <m:oMath>
          <m:r>
            <w:rPr>
              <w:rFonts w:ascii="Cambria Math" w:hAnsi="Cambria Math"/>
            </w:rPr>
            <m:t>PReturn</m:t>
          </m:r>
          <m:d>
            <m:dPr>
              <m:ctrlPr>
                <w:rPr>
                  <w:rFonts w:ascii="Cambria Math" w:hAnsi="Cambria Math"/>
                  <w:i/>
                </w:rPr>
              </m:ctrlPr>
            </m:dPr>
            <m:e>
              <m:r>
                <w:rPr>
                  <w:rFonts w:ascii="Cambria Math" w:hAnsi="Cambria Math"/>
                </w:rPr>
                <m:t>t</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 ε, where PReturn(t)=</m:t>
          </m:r>
          <m:sSub>
            <m:sSubPr>
              <m:ctrlPr>
                <w:rPr>
                  <w:rFonts w:ascii="Cambria Math" w:hAnsi="Cambria Math"/>
                  <w:i/>
                </w:rPr>
              </m:ctrlPr>
            </m:sSubPr>
            <m:e>
              <m:r>
                <m:rPr>
                  <m:sty m:val="p"/>
                </m:rPr>
                <w:rPr>
                  <w:rFonts w:ascii="Cambria Math" w:hAnsi="Cambria Math"/>
                </w:rPr>
                <m:t>log⁡</m:t>
              </m:r>
              <m:r>
                <w:rPr>
                  <w:rFonts w:ascii="Cambria Math" w:hAnsi="Cambria Math"/>
                </w:rPr>
                <m:t>(TradePrice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TradePrice</m:t>
              </m:r>
            </m:e>
            <m:sub>
              <m:r>
                <w:rPr>
                  <w:rFonts w:ascii="Cambria Math" w:hAnsi="Cambria Math"/>
                </w:rPr>
                <m:t>t-1</m:t>
              </m:r>
            </m:sub>
          </m:sSub>
          <m:r>
            <w:rPr>
              <w:rFonts w:ascii="Cambria Math" w:hAnsi="Cambria Math"/>
            </w:rPr>
            <m:t>)</m:t>
          </m:r>
        </m:oMath>
      </m:oMathPara>
    </w:p>
    <w:p w:rsidR="00425D83" w:rsidRDefault="00B4646D" w:rsidP="003B7677">
      <w:pPr>
        <w:ind w:left="360"/>
      </w:pPr>
      <w:r>
        <w:t>There are several fr</w:t>
      </w:r>
      <w:r w:rsidR="00ED0CC4">
        <w:t xml:space="preserve">ee model parameters we need to determine in order to calculate SOI. The two major ones are bucket size and bin size. </w:t>
      </w:r>
      <w:r w:rsidR="006D418F">
        <w:t>The first one is determined by volume, while the second one is determined</w:t>
      </w:r>
      <w:r w:rsidR="008B7879">
        <w:t xml:space="preserve"> by time in our implementation, </w:t>
      </w:r>
      <w:r w:rsidR="006D418F">
        <w:t>though both can b</w:t>
      </w:r>
      <w:r w:rsidR="008B7879">
        <w:t xml:space="preserve">e determined </w:t>
      </w:r>
      <w:r w:rsidR="00425D83">
        <w:t xml:space="preserve">either </w:t>
      </w:r>
      <w:r w:rsidR="008B7879">
        <w:t>by volume or time.</w:t>
      </w:r>
      <w:r w:rsidR="006D418F">
        <w:t xml:space="preserve"> </w:t>
      </w:r>
      <w:r w:rsidR="00425D83">
        <w:t>It is important to calibrate the ideal bucket and bin size, because t</w:t>
      </w:r>
      <w:r w:rsidR="008B7879">
        <w:t xml:space="preserve">he regression </w:t>
      </w:r>
      <w:r w:rsidR="00425D83">
        <w:t>results are sensitive to the bucket size and bin size.</w:t>
      </w:r>
    </w:p>
    <w:p w:rsidR="00065DC3" w:rsidRDefault="00425D83" w:rsidP="003B7677">
      <w:pPr>
        <w:ind w:left="360"/>
      </w:pPr>
      <w:r>
        <w:t xml:space="preserve">To illustrate why this can be the case, imagine a bucket size of 10 shares, a 100 shares trade would fill all 10 consecutive buckets, and the computed SOI for all the ten periods would be 1. From the surface, it is almost as </w:t>
      </w:r>
      <w:r w:rsidR="003159FB">
        <w:t xml:space="preserve">if </w:t>
      </w:r>
      <w:r>
        <w:t>we can detect a pattern of autocorrelation</w:t>
      </w:r>
      <w:r w:rsidR="00F67212">
        <w:t xml:space="preserve"> of SOI measures</w:t>
      </w:r>
      <w:r>
        <w:t xml:space="preserve">, yet the consecutive SOI measures are simply due to splitting the trades. As for time bins, a single time bin </w:t>
      </w:r>
      <w:r w:rsidR="006C2DFD">
        <w:t xml:space="preserve">aggregates all the trades within the time period, and is consider the smallest unit of processing. </w:t>
      </w:r>
      <w:r w:rsidR="009E0EF2">
        <w:t xml:space="preserve">If the time bin is set too small, we may be including a lot of ultra-short term noise, if the time bin is too large, we lose a level of granularity, which can be helpful in improving the model. </w:t>
      </w:r>
    </w:p>
    <w:p w:rsidR="00F624DC" w:rsidRDefault="00065DC3" w:rsidP="00A1536D">
      <w:pPr>
        <w:ind w:left="360"/>
      </w:pPr>
      <w:r>
        <w:t xml:space="preserve">To help establishing feasibility, we used AMZN stock for 4/23/2013. </w:t>
      </w:r>
      <w:r w:rsidR="00BF3AA9">
        <w:t>By using brute computing force, and regressing all the possible bucket size, bin size, and block trade threshold limit</w:t>
      </w:r>
      <w:r w:rsidR="00DB1A65">
        <w:t xml:space="preserve"> within a pre-specified limits</w:t>
      </w:r>
      <w:r w:rsidR="00BF3AA9">
        <w:t xml:space="preserve">, we find the following combinations to be </w:t>
      </w:r>
      <w:r w:rsidR="002B2329">
        <w:t xml:space="preserve">ideal in terms of regression R^2. </w:t>
      </w:r>
    </w:p>
    <w:tbl>
      <w:tblPr>
        <w:tblpPr w:leftFromText="180" w:rightFromText="180" w:vertAnchor="text" w:tblpXSpec="center" w:tblpY="1"/>
        <w:tblOverlap w:val="never"/>
        <w:tblW w:w="5148" w:type="dxa"/>
        <w:tblLook w:val="04A0" w:firstRow="1" w:lastRow="0" w:firstColumn="1" w:lastColumn="0" w:noHBand="0" w:noVBand="1"/>
      </w:tblPr>
      <w:tblGrid>
        <w:gridCol w:w="4135"/>
        <w:gridCol w:w="1235"/>
      </w:tblGrid>
      <w:tr w:rsidR="00A33ADF" w:rsidRPr="00E004F0" w:rsidTr="00186188">
        <w:trPr>
          <w:trHeight w:val="352"/>
        </w:trPr>
        <w:tc>
          <w:tcPr>
            <w:tcW w:w="4135" w:type="dxa"/>
            <w:tcBorders>
              <w:top w:val="single" w:sz="8" w:space="0" w:color="4F81BD"/>
              <w:left w:val="nil"/>
              <w:bottom w:val="single" w:sz="8" w:space="0" w:color="4F81BD"/>
              <w:right w:val="nil"/>
            </w:tcBorders>
            <w:shd w:val="clear" w:color="auto" w:fill="auto"/>
            <w:noWrap/>
            <w:vAlign w:val="center"/>
            <w:hideMark/>
          </w:tcPr>
          <w:p w:rsidR="00E004F0" w:rsidRPr="00F821ED" w:rsidRDefault="00E004F0" w:rsidP="00A33ADF">
            <w:pPr>
              <w:ind w:left="360"/>
              <w:rPr>
                <w:b/>
              </w:rPr>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013" w:type="dxa"/>
            <w:tcBorders>
              <w:top w:val="single" w:sz="8" w:space="0" w:color="4F81BD"/>
              <w:left w:val="nil"/>
              <w:bottom w:val="single" w:sz="8" w:space="0" w:color="4F81BD"/>
              <w:right w:val="nil"/>
            </w:tcBorders>
            <w:shd w:val="clear" w:color="auto" w:fill="auto"/>
            <w:noWrap/>
            <w:vAlign w:val="center"/>
            <w:hideMark/>
          </w:tcPr>
          <w:p w:rsidR="00E004F0" w:rsidRPr="00F821ED" w:rsidRDefault="00F441CC" w:rsidP="00F441CC">
            <w:pPr>
              <w:jc w:val="right"/>
              <w:rPr>
                <w:b/>
              </w:rPr>
            </w:pPr>
            <w:r>
              <w:rPr>
                <w:b/>
              </w:rPr>
              <w:t>Adj-</w:t>
            </w:r>
            <w:r w:rsidR="00E004F0" w:rsidRPr="00F821ED">
              <w:rPr>
                <w:rFonts w:hint="eastAsia"/>
                <w:b/>
              </w:rPr>
              <w:t>R^2</w:t>
            </w:r>
          </w:p>
        </w:tc>
      </w:tr>
      <w:tr w:rsidR="00A33ADF" w:rsidRPr="00E004F0" w:rsidTr="00186188">
        <w:trPr>
          <w:trHeight w:val="330"/>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10000 _ 135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41.30%</w:t>
            </w:r>
          </w:p>
        </w:tc>
      </w:tr>
      <w:tr w:rsidR="00A33ADF" w:rsidRPr="00E004F0" w:rsidTr="00186188">
        <w:trPr>
          <w:trHeight w:val="330"/>
        </w:trPr>
        <w:tc>
          <w:tcPr>
            <w:tcW w:w="4135"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10000 _ 150 _ 1000</w:t>
            </w:r>
          </w:p>
        </w:tc>
        <w:tc>
          <w:tcPr>
            <w:tcW w:w="1013"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41.30%</w:t>
            </w:r>
          </w:p>
        </w:tc>
      </w:tr>
      <w:tr w:rsidR="00A33ADF" w:rsidRPr="00E004F0" w:rsidTr="00186188">
        <w:trPr>
          <w:trHeight w:val="330"/>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10000 _ 120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37.40%</w:t>
            </w:r>
          </w:p>
        </w:tc>
      </w:tr>
      <w:tr w:rsidR="00A33ADF" w:rsidRPr="00E004F0" w:rsidTr="00186188">
        <w:trPr>
          <w:trHeight w:val="330"/>
        </w:trPr>
        <w:tc>
          <w:tcPr>
            <w:tcW w:w="4135"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lastRenderedPageBreak/>
              <w:t>8000 _ 135 _ 1000</w:t>
            </w:r>
          </w:p>
        </w:tc>
        <w:tc>
          <w:tcPr>
            <w:tcW w:w="1013"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37.10%</w:t>
            </w:r>
          </w:p>
        </w:tc>
      </w:tr>
      <w:tr w:rsidR="00A33ADF" w:rsidRPr="00E004F0" w:rsidTr="00186188">
        <w:trPr>
          <w:trHeight w:val="307"/>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9000 _ 120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36.60%</w:t>
            </w:r>
          </w:p>
        </w:tc>
      </w:tr>
    </w:tbl>
    <w:p w:rsidR="00186188" w:rsidRDefault="00186188" w:rsidP="003B7677">
      <w:pPr>
        <w:ind w:left="360"/>
        <w:rPr>
          <w:noProof/>
        </w:rPr>
      </w:pPr>
    </w:p>
    <w:p w:rsidR="00186188" w:rsidRDefault="00186188" w:rsidP="003B7677">
      <w:pPr>
        <w:ind w:left="360"/>
        <w:rPr>
          <w:noProof/>
        </w:rPr>
      </w:pPr>
    </w:p>
    <w:p w:rsidR="00186188" w:rsidRDefault="00186188" w:rsidP="003B7677">
      <w:pPr>
        <w:ind w:left="360"/>
      </w:pPr>
    </w:p>
    <w:p w:rsidR="00186188" w:rsidRDefault="00186188" w:rsidP="003B7677">
      <w:pPr>
        <w:ind w:left="360"/>
      </w:pPr>
      <w:r>
        <w:t xml:space="preserve">To give the readers an idea how well </w:t>
      </w:r>
      <w:proofErr w:type="gramStart"/>
      <w:r>
        <w:t>a</w:t>
      </w:r>
      <w:proofErr w:type="gramEnd"/>
      <w:r>
        <w:t xml:space="preserve"> R^2 of 41.30% look like, the regression plot is shown below:</w:t>
      </w:r>
    </w:p>
    <w:p w:rsidR="00F67DEB" w:rsidRDefault="00F87CBC" w:rsidP="00186188">
      <w:pPr>
        <w:ind w:left="360"/>
      </w:pPr>
      <w:r w:rsidRPr="00186188">
        <w:rPr>
          <w:noProof/>
          <w:highlight w:val="red"/>
        </w:rPr>
        <w:drawing>
          <wp:inline distT="0" distB="0" distL="0" distR="0" wp14:anchorId="50BF29C6" wp14:editId="50B26EBD">
            <wp:extent cx="5486400" cy="36268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72" cy="3631970"/>
                    </a:xfrm>
                    <a:prstGeom prst="rect">
                      <a:avLst/>
                    </a:prstGeom>
                    <a:noFill/>
                    <a:ln>
                      <a:noFill/>
                    </a:ln>
                  </pic:spPr>
                </pic:pic>
              </a:graphicData>
            </a:graphic>
          </wp:inline>
        </w:drawing>
      </w:r>
    </w:p>
    <w:p w:rsidR="00A73176" w:rsidRDefault="005A22E5" w:rsidP="0023603D">
      <w:pPr>
        <w:ind w:left="360"/>
      </w:pPr>
      <w:r>
        <w:t>After achieving this step, we moved on to 1) regressing the SOI and the cross term against trade returns and 2) adjusting for the latencies from exchanges, the results improved to:</w:t>
      </w:r>
    </w:p>
    <w:tbl>
      <w:tblPr>
        <w:tblpPr w:leftFromText="180" w:rightFromText="180" w:vertAnchor="text" w:tblpXSpec="center" w:tblpY="1"/>
        <w:tblOverlap w:val="never"/>
        <w:tblW w:w="5468" w:type="dxa"/>
        <w:tblLook w:val="04A0" w:firstRow="1" w:lastRow="0" w:firstColumn="1" w:lastColumn="0" w:noHBand="0" w:noVBand="1"/>
      </w:tblPr>
      <w:tblGrid>
        <w:gridCol w:w="4168"/>
        <w:gridCol w:w="1300"/>
      </w:tblGrid>
      <w:tr w:rsidR="00F441CC" w:rsidRPr="00A73176" w:rsidTr="00A30144">
        <w:trPr>
          <w:trHeight w:val="300"/>
        </w:trPr>
        <w:tc>
          <w:tcPr>
            <w:tcW w:w="4168" w:type="dxa"/>
            <w:tcBorders>
              <w:top w:val="single" w:sz="4" w:space="0" w:color="4F81BD"/>
              <w:left w:val="nil"/>
              <w:bottom w:val="single" w:sz="4" w:space="0" w:color="4F81BD"/>
              <w:right w:val="nil"/>
            </w:tcBorders>
            <w:shd w:val="clear" w:color="auto" w:fill="auto"/>
            <w:noWrap/>
            <w:vAlign w:val="bottom"/>
            <w:hideMark/>
          </w:tcPr>
          <w:p w:rsidR="00F441CC" w:rsidRPr="00A73176" w:rsidRDefault="00A73176" w:rsidP="00A3014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4" w:space="0" w:color="4F81BD"/>
              <w:left w:val="nil"/>
              <w:bottom w:val="single" w:sz="4" w:space="0" w:color="4F81BD"/>
              <w:right w:val="nil"/>
            </w:tcBorders>
            <w:shd w:val="clear" w:color="auto" w:fill="auto"/>
            <w:noWrap/>
            <w:vAlign w:val="bottom"/>
            <w:hideMark/>
          </w:tcPr>
          <w:p w:rsidR="00F441CC" w:rsidRPr="00A73176" w:rsidRDefault="00F441CC" w:rsidP="00A30144">
            <w:pPr>
              <w:ind w:left="360"/>
              <w:rPr>
                <w:b/>
              </w:rPr>
            </w:pPr>
            <w:r w:rsidRPr="00A73176">
              <w:rPr>
                <w:b/>
              </w:rPr>
              <w:t>A</w:t>
            </w:r>
            <w:r w:rsidRPr="00A73176">
              <w:rPr>
                <w:rFonts w:hint="eastAsia"/>
                <w:b/>
              </w:rPr>
              <w:t>dj</w:t>
            </w:r>
            <w:r w:rsidRPr="00A73176">
              <w:rPr>
                <w:b/>
              </w:rPr>
              <w:t>-</w:t>
            </w:r>
            <w:r w:rsidRPr="00A73176">
              <w:rPr>
                <w:rFonts w:hint="eastAsia"/>
                <w:b/>
              </w:rPr>
              <w:t>R</w:t>
            </w:r>
            <w:r w:rsidR="00A73176" w:rsidRPr="00A73176">
              <w:rPr>
                <w:b/>
              </w:rPr>
              <w:t>^</w:t>
            </w:r>
            <w:r w:rsidRPr="00A73176">
              <w:rPr>
                <w:rFonts w:hint="eastAsia"/>
                <w:b/>
              </w:rPr>
              <w:t>2</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2000 _ 90 _ 2000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52.18%</w:t>
            </w:r>
          </w:p>
        </w:tc>
      </w:tr>
      <w:tr w:rsidR="00F441CC" w:rsidRPr="00A73176" w:rsidTr="00A30144">
        <w:trPr>
          <w:trHeight w:val="300"/>
        </w:trPr>
        <w:tc>
          <w:tcPr>
            <w:tcW w:w="4168" w:type="dxa"/>
            <w:tcBorders>
              <w:top w:val="nil"/>
              <w:left w:val="nil"/>
              <w:bottom w:val="nil"/>
              <w:right w:val="nil"/>
            </w:tcBorders>
            <w:shd w:val="clear" w:color="auto" w:fill="auto"/>
            <w:noWrap/>
            <w:vAlign w:val="bottom"/>
            <w:hideMark/>
          </w:tcPr>
          <w:p w:rsidR="00F441CC" w:rsidRPr="00A73176" w:rsidRDefault="00F441CC" w:rsidP="00A30144">
            <w:pPr>
              <w:ind w:left="360"/>
            </w:pPr>
            <w:r w:rsidRPr="00A73176">
              <w:rPr>
                <w:rFonts w:hint="eastAsia"/>
              </w:rPr>
              <w:t>15000 _ 135 _ 1000</w:t>
            </w:r>
          </w:p>
        </w:tc>
        <w:tc>
          <w:tcPr>
            <w:tcW w:w="1300" w:type="dxa"/>
            <w:tcBorders>
              <w:top w:val="nil"/>
              <w:left w:val="nil"/>
              <w:bottom w:val="nil"/>
              <w:right w:val="nil"/>
            </w:tcBorders>
            <w:shd w:val="clear" w:color="auto" w:fill="auto"/>
            <w:noWrap/>
            <w:vAlign w:val="bottom"/>
            <w:hideMark/>
          </w:tcPr>
          <w:p w:rsidR="00F441CC" w:rsidRPr="00A73176" w:rsidRDefault="00F441CC" w:rsidP="00A30144">
            <w:pPr>
              <w:ind w:left="360"/>
              <w:jc w:val="right"/>
            </w:pPr>
            <w:r w:rsidRPr="00A73176">
              <w:rPr>
                <w:rFonts w:hint="eastAsia"/>
              </w:rPr>
              <w:t>50.03%</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2000 _ 105 _ 2000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49.68%</w:t>
            </w:r>
          </w:p>
        </w:tc>
      </w:tr>
      <w:tr w:rsidR="00F441CC" w:rsidRPr="00A73176" w:rsidTr="00A30144">
        <w:trPr>
          <w:trHeight w:val="300"/>
        </w:trPr>
        <w:tc>
          <w:tcPr>
            <w:tcW w:w="4168" w:type="dxa"/>
            <w:tcBorders>
              <w:top w:val="nil"/>
              <w:left w:val="nil"/>
              <w:bottom w:val="nil"/>
              <w:right w:val="nil"/>
            </w:tcBorders>
            <w:shd w:val="clear" w:color="auto" w:fill="auto"/>
            <w:noWrap/>
            <w:vAlign w:val="bottom"/>
            <w:hideMark/>
          </w:tcPr>
          <w:p w:rsidR="00F441CC" w:rsidRPr="00A73176" w:rsidRDefault="00F441CC" w:rsidP="00A30144">
            <w:pPr>
              <w:ind w:left="360"/>
            </w:pPr>
            <w:r w:rsidRPr="00A73176">
              <w:rPr>
                <w:rFonts w:hint="eastAsia"/>
              </w:rPr>
              <w:t>14000 _ 135 _ 1000</w:t>
            </w:r>
          </w:p>
        </w:tc>
        <w:tc>
          <w:tcPr>
            <w:tcW w:w="1300" w:type="dxa"/>
            <w:tcBorders>
              <w:top w:val="nil"/>
              <w:left w:val="nil"/>
              <w:bottom w:val="nil"/>
              <w:right w:val="nil"/>
            </w:tcBorders>
            <w:shd w:val="clear" w:color="auto" w:fill="auto"/>
            <w:noWrap/>
            <w:vAlign w:val="bottom"/>
            <w:hideMark/>
          </w:tcPr>
          <w:p w:rsidR="00F441CC" w:rsidRPr="00A73176" w:rsidRDefault="00F441CC" w:rsidP="00A30144">
            <w:pPr>
              <w:ind w:left="360"/>
              <w:jc w:val="right"/>
            </w:pPr>
            <w:r w:rsidRPr="00A73176">
              <w:rPr>
                <w:rFonts w:hint="eastAsia"/>
              </w:rPr>
              <w:t>47.79%</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15000 _ 105 _ 1000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47.29%</w:t>
            </w:r>
          </w:p>
        </w:tc>
      </w:tr>
    </w:tbl>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6E71ED" w:rsidRDefault="006E71ED" w:rsidP="000040F4"/>
    <w:p w:rsidR="006E71ED" w:rsidRDefault="006E71ED" w:rsidP="000040F4">
      <w:r w:rsidRPr="006F67D8">
        <w:rPr>
          <w:b/>
          <w:color w:val="FF0000"/>
        </w:rPr>
        <w:lastRenderedPageBreak/>
        <w:t>&lt;To JIA: Post the analysis</w:t>
      </w:r>
      <w:r>
        <w:rPr>
          <w:b/>
          <w:color w:val="FF0000"/>
        </w:rPr>
        <w:t>/graph</w:t>
      </w:r>
      <w:r w:rsidRPr="006F67D8">
        <w:rPr>
          <w:b/>
          <w:color w:val="FF0000"/>
        </w:rPr>
        <w:t xml:space="preserve"> you did for testing parameter stabilities (time bin, bucket size…</w:t>
      </w:r>
      <w:proofErr w:type="spellStart"/>
      <w:r w:rsidRPr="006F67D8">
        <w:rPr>
          <w:b/>
          <w:color w:val="FF0000"/>
        </w:rPr>
        <w:t>etc</w:t>
      </w:r>
      <w:proofErr w:type="spellEnd"/>
      <w:r w:rsidRPr="006F67D8">
        <w:rPr>
          <w:b/>
          <w:color w:val="FF0000"/>
        </w:rPr>
        <w:t xml:space="preserve">) for AMZN, </w:t>
      </w:r>
      <w:proofErr w:type="spellStart"/>
      <w:r w:rsidRPr="006F67D8">
        <w:rPr>
          <w:b/>
          <w:color w:val="FF0000"/>
        </w:rPr>
        <w:t>i.e</w:t>
      </w:r>
      <w:proofErr w:type="spellEnd"/>
      <w:r w:rsidRPr="006F67D8">
        <w:rPr>
          <w:b/>
          <w:color w:val="FF0000"/>
        </w:rPr>
        <w:t>: When we used the same set of parameters from 23</w:t>
      </w:r>
      <w:r w:rsidRPr="006F67D8">
        <w:rPr>
          <w:b/>
          <w:color w:val="FF0000"/>
          <w:vertAlign w:val="superscript"/>
        </w:rPr>
        <w:t>rd</w:t>
      </w:r>
      <w:r w:rsidRPr="006F67D8">
        <w:rPr>
          <w:b/>
          <w:color w:val="FF0000"/>
        </w:rPr>
        <w:t xml:space="preserve"> for the 24</w:t>
      </w:r>
      <w:r w:rsidRPr="006F67D8">
        <w:rPr>
          <w:b/>
          <w:color w:val="FF0000"/>
          <w:vertAlign w:val="superscript"/>
        </w:rPr>
        <w:t>th</w:t>
      </w:r>
      <w:r w:rsidRPr="006F67D8">
        <w:rPr>
          <w:b/>
          <w:color w:val="FF0000"/>
        </w:rPr>
        <w:t>, and regression against concurrent bucket returns (one in magnitude and one simply price change direction), it achieves 90%+ “prediction” accuracy for concurrent regression&gt;</w:t>
      </w:r>
    </w:p>
    <w:p w:rsidR="00125D70" w:rsidRPr="006E71ED" w:rsidRDefault="00A30144" w:rsidP="000040F4">
      <w:r>
        <w:t>Next</w:t>
      </w:r>
      <w:r w:rsidR="000B28AF">
        <w:t xml:space="preserve">, we </w:t>
      </w:r>
      <w:r>
        <w:t>want</w:t>
      </w:r>
      <w:r w:rsidR="000B28AF">
        <w:t xml:space="preserve"> to assess the marginal effect by using different types of classification rules, and the one we are specifically interested is buy/sell classification rule #2, and the weaker R^2 results demonstrated below has shown the Lee-Ready type of classification rule is superior:</w:t>
      </w:r>
    </w:p>
    <w:tbl>
      <w:tblPr>
        <w:tblpPr w:leftFromText="180" w:rightFromText="180" w:vertAnchor="text" w:tblpY="1"/>
        <w:tblOverlap w:val="never"/>
        <w:tblW w:w="5242" w:type="dxa"/>
        <w:tblLook w:val="04A0" w:firstRow="1" w:lastRow="0" w:firstColumn="1" w:lastColumn="0" w:noHBand="0" w:noVBand="1"/>
      </w:tblPr>
      <w:tblGrid>
        <w:gridCol w:w="4094"/>
        <w:gridCol w:w="1300"/>
      </w:tblGrid>
      <w:tr w:rsidR="000B28AF" w:rsidRPr="000B28AF" w:rsidTr="000040F4">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rsidR="000B28AF" w:rsidRPr="000B28AF" w:rsidRDefault="000B28AF" w:rsidP="000040F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8" w:space="0" w:color="4F81BD"/>
              <w:left w:val="nil"/>
              <w:bottom w:val="single" w:sz="8" w:space="0" w:color="4F81BD"/>
              <w:right w:val="nil"/>
            </w:tcBorders>
            <w:shd w:val="clear" w:color="auto" w:fill="auto"/>
            <w:noWrap/>
            <w:vAlign w:val="center"/>
            <w:hideMark/>
          </w:tcPr>
          <w:p w:rsidR="000B28AF" w:rsidRPr="000B28AF" w:rsidRDefault="000B28AF" w:rsidP="000040F4">
            <w:pPr>
              <w:ind w:left="360"/>
              <w:rPr>
                <w:b/>
              </w:rPr>
            </w:pPr>
            <w:r w:rsidRPr="000B28AF">
              <w:rPr>
                <w:b/>
              </w:rPr>
              <w:t>Adj-</w:t>
            </w:r>
            <w:r w:rsidRPr="000B28AF">
              <w:rPr>
                <w:rFonts w:hint="eastAsia"/>
                <w:b/>
              </w:rPr>
              <w:t>R^2</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10000 _ 60 _ 3000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12.5%</w:t>
            </w:r>
          </w:p>
        </w:tc>
      </w:tr>
      <w:tr w:rsidR="000B28AF" w:rsidRPr="000B28AF" w:rsidTr="000040F4">
        <w:trPr>
          <w:trHeight w:val="300"/>
        </w:trPr>
        <w:tc>
          <w:tcPr>
            <w:tcW w:w="3942" w:type="dxa"/>
            <w:tcBorders>
              <w:top w:val="nil"/>
              <w:left w:val="nil"/>
              <w:bottom w:val="nil"/>
              <w:right w:val="nil"/>
            </w:tcBorders>
            <w:shd w:val="clear" w:color="auto" w:fill="auto"/>
            <w:noWrap/>
            <w:vAlign w:val="bottom"/>
            <w:hideMark/>
          </w:tcPr>
          <w:p w:rsidR="000B28AF" w:rsidRPr="000B28AF" w:rsidRDefault="000B28AF" w:rsidP="000040F4">
            <w:pPr>
              <w:ind w:left="360"/>
            </w:pPr>
            <w:r w:rsidRPr="000B28AF">
              <w:rPr>
                <w:rFonts w:hint="eastAsia"/>
              </w:rPr>
              <w:t>6000 _ 30 _ 1000</w:t>
            </w:r>
          </w:p>
        </w:tc>
        <w:tc>
          <w:tcPr>
            <w:tcW w:w="1300" w:type="dxa"/>
            <w:tcBorders>
              <w:top w:val="nil"/>
              <w:left w:val="nil"/>
              <w:bottom w:val="nil"/>
              <w:right w:val="nil"/>
            </w:tcBorders>
            <w:shd w:val="clear" w:color="auto" w:fill="auto"/>
            <w:noWrap/>
            <w:vAlign w:val="bottom"/>
            <w:hideMark/>
          </w:tcPr>
          <w:p w:rsidR="000B28AF" w:rsidRPr="000B28AF" w:rsidRDefault="000B28AF" w:rsidP="000040F4">
            <w:pPr>
              <w:ind w:left="360"/>
              <w:jc w:val="right"/>
            </w:pPr>
            <w:r w:rsidRPr="000B28AF">
              <w:rPr>
                <w:rFonts w:hint="eastAsia"/>
              </w:rPr>
              <w:t>11.4%</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6000 _ 150 _ 1000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9.5%</w:t>
            </w:r>
          </w:p>
        </w:tc>
      </w:tr>
      <w:tr w:rsidR="000B28AF" w:rsidRPr="000B28AF" w:rsidTr="000040F4">
        <w:trPr>
          <w:trHeight w:val="300"/>
        </w:trPr>
        <w:tc>
          <w:tcPr>
            <w:tcW w:w="3942" w:type="dxa"/>
            <w:tcBorders>
              <w:top w:val="nil"/>
              <w:left w:val="nil"/>
              <w:bottom w:val="nil"/>
              <w:right w:val="nil"/>
            </w:tcBorders>
            <w:shd w:val="clear" w:color="auto" w:fill="auto"/>
            <w:noWrap/>
            <w:vAlign w:val="bottom"/>
            <w:hideMark/>
          </w:tcPr>
          <w:p w:rsidR="000B28AF" w:rsidRPr="000B28AF" w:rsidRDefault="000B28AF" w:rsidP="000040F4">
            <w:pPr>
              <w:ind w:left="360"/>
            </w:pPr>
            <w:r w:rsidRPr="000B28AF">
              <w:rPr>
                <w:rFonts w:hint="eastAsia"/>
              </w:rPr>
              <w:t>10000 _ 60 _ 5000</w:t>
            </w:r>
          </w:p>
        </w:tc>
        <w:tc>
          <w:tcPr>
            <w:tcW w:w="1300" w:type="dxa"/>
            <w:tcBorders>
              <w:top w:val="nil"/>
              <w:left w:val="nil"/>
              <w:bottom w:val="nil"/>
              <w:right w:val="nil"/>
            </w:tcBorders>
            <w:shd w:val="clear" w:color="auto" w:fill="auto"/>
            <w:noWrap/>
            <w:vAlign w:val="bottom"/>
            <w:hideMark/>
          </w:tcPr>
          <w:p w:rsidR="000B28AF" w:rsidRPr="000B28AF" w:rsidRDefault="000B28AF" w:rsidP="000040F4">
            <w:pPr>
              <w:ind w:left="360"/>
              <w:jc w:val="right"/>
            </w:pPr>
            <w:r w:rsidRPr="000B28AF">
              <w:rPr>
                <w:rFonts w:hint="eastAsia"/>
              </w:rPr>
              <w:t>9.5%</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5000 _ 60 _ 1000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9.5%</w:t>
            </w:r>
          </w:p>
        </w:tc>
      </w:tr>
    </w:tbl>
    <w:p w:rsidR="000B28AF" w:rsidRDefault="000B28AF" w:rsidP="003B7677">
      <w:pPr>
        <w:ind w:left="360"/>
      </w:pPr>
    </w:p>
    <w:p w:rsidR="00A1536D" w:rsidRDefault="00A1536D" w:rsidP="000040F4"/>
    <w:p w:rsidR="00A30144" w:rsidRDefault="00A30144" w:rsidP="000040F4"/>
    <w:p w:rsidR="00DD0A5E" w:rsidRDefault="00DD0A5E" w:rsidP="000040F4">
      <w:r>
        <w:t>Thus far, we have established the usefulness of using a cross term, the superiority of using exchange time over arrival time, and the validity of SOI’s correlation with price movement.</w:t>
      </w:r>
      <w:r w:rsidR="000B28AF">
        <w:t xml:space="preserve"> </w:t>
      </w:r>
    </w:p>
    <w:p w:rsidR="0021661E" w:rsidRDefault="00FE6FEE" w:rsidP="005B1E4F">
      <w:r>
        <w:t xml:space="preserve">Thus far, we have used trades’ transactional prices to compute bucket returns. Yet sometimes, practitioners are more interested to predict the quote changes. Not only trade level price changes are noise-prone, one is not guaranteed to be executed at the recorded trade price. So instead, we reformulated the problem, and define mid quote changes in between bucket as price returns. </w:t>
      </w:r>
    </w:p>
    <w:p w:rsidR="00640267" w:rsidRDefault="000B28AF" w:rsidP="005B1E4F">
      <w:r>
        <w:t xml:space="preserve">Next, we assess the </w:t>
      </w:r>
      <w:r w:rsidR="00640267">
        <w:t xml:space="preserve">We first calculated EMA of all the quotes, and </w:t>
      </w:r>
      <w:r w:rsidR="001D1B6A">
        <w:t>regress</w:t>
      </w:r>
      <w:r w:rsidR="00640267">
        <w:t xml:space="preserve"> the </w:t>
      </w:r>
      <w:r w:rsidR="001D1B6A">
        <w:t>exponential moving average of mid quotes</w:t>
      </w:r>
      <w:r w:rsidR="00640267">
        <w:t xml:space="preserve"> against SOI multiplied by a cross term defined by the variance o</w:t>
      </w:r>
      <w:r w:rsidR="001D1B6A">
        <w:t>f trade prices within a bucket:</w:t>
      </w:r>
    </w:p>
    <w:p w:rsidR="001D1B6A" w:rsidRPr="005B1E4F" w:rsidRDefault="001D1B6A" w:rsidP="003B7677">
      <w:pPr>
        <w:ind w:left="360"/>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m:t>
                          </m:r>
                        </m:sub>
                      </m:sSub>
                    </m:e>
                  </m:d>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func>
        </m:oMath>
      </m:oMathPara>
    </w:p>
    <w:p w:rsidR="00E30EF7" w:rsidRPr="00E30EF7" w:rsidRDefault="00E30EF7" w:rsidP="003B7677">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+ε</m:t>
          </m:r>
        </m:oMath>
      </m:oMathPara>
    </w:p>
    <w:p w:rsidR="0021661E" w:rsidRDefault="0021661E" w:rsidP="0021661E">
      <w:pPr>
        <w:ind w:firstLine="360"/>
      </w:pPr>
      <w:r>
        <w:t>The EMA calculation is defined as:</w:t>
      </w:r>
    </w:p>
    <w:p w:rsidR="0021661E" w:rsidRDefault="0021661E" w:rsidP="0021661E">
      <m:oMathPara>
        <m:oMath>
          <m:sSub>
            <m:sSubPr>
              <m:ctrlPr>
                <w:rPr>
                  <w:rFonts w:ascii="Cambria Math" w:hAnsi="Cambria Math"/>
                  <w:i/>
                </w:rPr>
              </m:ctrlPr>
            </m:sSubPr>
            <m:e>
              <m:r>
                <w:rPr>
                  <w:rFonts w:ascii="Cambria Math" w:hAnsi="Cambria Math"/>
                </w:rPr>
                <m:t>Q</m:t>
              </m:r>
            </m:e>
            <m:sub>
              <m:r>
                <w:rPr>
                  <w:rFonts w:ascii="Cambria Math" w:hAnsi="Cambria Math"/>
                </w:rPr>
                <m:t>EMA(t)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ub>
                  </m:sSub>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t</m:t>
                  </m:r>
                </m:sup>
                <m:e>
                  <m:r>
                    <w:rPr>
                      <w:rFonts w:ascii="Cambria Math" w:hAnsi="Cambria Math"/>
                    </w:rPr>
                    <m:t>weight(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den>
          </m:f>
          <m:r>
            <w:rPr>
              <w:rFonts w:ascii="Cambria Math" w:hAnsi="Cambria Math"/>
            </w:rPr>
            <m:t xml:space="preserve"> , t∈</m:t>
          </m:r>
          <m:d>
            <m:dPr>
              <m:begChr m:val="["/>
              <m:endChr m:val="]"/>
              <m:ctrlPr>
                <w:rPr>
                  <w:rFonts w:ascii="Cambria Math" w:hAnsi="Cambria Math"/>
                  <w:i/>
                </w:rPr>
              </m:ctrlPr>
            </m:dPr>
            <m:e>
              <m:r>
                <w:rPr>
                  <w:rFonts w:ascii="Cambria Math" w:hAnsi="Cambria Math"/>
                </w:rPr>
                <m:t>0,T</m:t>
              </m:r>
            </m:e>
          </m:d>
        </m:oMath>
      </m:oMathPara>
    </w:p>
    <w:p w:rsidR="0021661E" w:rsidRDefault="0021661E" w:rsidP="003B7677">
      <w:pPr>
        <w:ind w:left="360"/>
      </w:pPr>
      <m:oMathPara>
        <m:oMath>
          <m:r>
            <w:rPr>
              <w:rFonts w:ascii="Cambria Math" w:hAnsi="Cambria Math"/>
            </w:rPr>
            <m:t>weight</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decay×</m:t>
                  </m:r>
                  <m:nary>
                    <m:naryPr>
                      <m:chr m:val="∑"/>
                      <m:limLoc m:val="undOvr"/>
                      <m:subHide m:val="1"/>
                      <m:supHide m:val="1"/>
                      <m:ctrlPr>
                        <w:rPr>
                          <w:rFonts w:ascii="Cambria Math" w:hAnsi="Cambria Math"/>
                          <w:i/>
                        </w:rPr>
                      </m:ctrlPr>
                    </m:naryPr>
                    <m:sub/>
                    <m:sup/>
                    <m:e>
                      <m:r>
                        <w:rPr>
                          <w:rFonts w:ascii="Cambria Math" w:hAnsi="Cambria Math"/>
                        </w:rPr>
                        <m:t>∆t</m:t>
                      </m:r>
                    </m:e>
                  </m:nary>
                </m:e>
              </m:d>
            </m:sup>
          </m:sSup>
          <m:r>
            <w:rPr>
              <w:rFonts w:ascii="Cambria Math" w:hAnsi="Cambria Math"/>
            </w:rPr>
            <m:t>, t∈</m:t>
          </m:r>
          <m:d>
            <m:dPr>
              <m:begChr m:val="["/>
              <m:endChr m:val="]"/>
              <m:ctrlPr>
                <w:rPr>
                  <w:rFonts w:ascii="Cambria Math" w:hAnsi="Cambria Math"/>
                  <w:i/>
                </w:rPr>
              </m:ctrlPr>
            </m:dPr>
            <m:e>
              <m:r>
                <w:rPr>
                  <w:rFonts w:ascii="Cambria Math" w:hAnsi="Cambria Math"/>
                </w:rPr>
                <m:t>0,T</m:t>
              </m:r>
            </m:e>
          </m:d>
        </m:oMath>
      </m:oMathPara>
    </w:p>
    <w:p w:rsidR="001D1B6A" w:rsidRDefault="00E30EF7" w:rsidP="003B7677">
      <w:pPr>
        <w:ind w:left="360"/>
      </w:pPr>
      <w:r>
        <w:t xml:space="preserve">In addition, we have predicted one period ahead </w:t>
      </w:r>
      <w:proofErr w:type="gramStart"/>
      <w:r>
        <w:t>R(</w:t>
      </w:r>
      <w:proofErr w:type="gramEnd"/>
      <w:r>
        <w:t>t) using the same model:</w:t>
      </w:r>
    </w:p>
    <w:p w:rsidR="00AD67DB" w:rsidRPr="00AD67DB" w:rsidRDefault="008B7CBC" w:rsidP="00ED1160">
      <w:pPr>
        <w:ind w:left="360"/>
      </w:pPr>
      <m:oMathPara>
        <m:oMath>
          <m:r>
            <w:rPr>
              <w:rFonts w:ascii="Cambria Math" w:hAnsi="Cambria Math"/>
            </w:rPr>
            <m:t>R</m:t>
          </m:r>
          <m:d>
            <m:dPr>
              <m:ctrlPr>
                <w:rPr>
                  <w:rFonts w:ascii="Cambria Math" w:hAnsi="Cambria Math"/>
                  <w:i/>
                </w:rPr>
              </m:ctrlPr>
            </m:dPr>
            <m:e>
              <m:r>
                <w:rPr>
                  <w:rFonts w:ascii="Cambria Math" w:hAnsi="Cambria Math"/>
                </w:rPr>
                <m:t>t+1</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+ε</m:t>
          </m:r>
        </m:oMath>
      </m:oMathPara>
    </w:p>
    <w:p w:rsidR="00361DEE" w:rsidRDefault="00E30EF7" w:rsidP="003B7677">
      <w:pPr>
        <w:ind w:left="360"/>
      </w:pPr>
      <w:r>
        <w:lastRenderedPageBreak/>
        <w:t xml:space="preserve">This model is useful in predicting the one period ahead mid-quote. </w:t>
      </w:r>
      <w:r w:rsidR="00361DEE">
        <w:t>We also introduce</w:t>
      </w:r>
      <w:r w:rsidR="002B1ADA">
        <w:t xml:space="preserve"> one additional twist by </w:t>
      </w:r>
      <w:r w:rsidR="00361DEE">
        <w:t xml:space="preserve">artificially delaying the exchange time on the quotes. </w:t>
      </w:r>
    </w:p>
    <w:p w:rsidR="005B1D17" w:rsidRDefault="00361DEE" w:rsidP="00FF648C">
      <w:pPr>
        <w:ind w:left="360"/>
      </w:pPr>
      <w:r>
        <w:t xml:space="preserve">We tested this model using five different stocks for five consecutive days. As the stock Below are </w:t>
      </w:r>
      <w:r w:rsidR="00843F43">
        <w:t>the output we obtained for one stock AGN</w:t>
      </w:r>
      <w:r>
        <w:t>, they left column head contains the parameters specific to each regression run, namely the quotes delay, and the EMA decay</w:t>
      </w:r>
    </w:p>
    <w:p w:rsidR="00FF648C" w:rsidRDefault="00FF648C" w:rsidP="00FF648C">
      <w:pPr>
        <w:ind w:left="360"/>
      </w:pPr>
    </w:p>
    <w:tbl>
      <w:tblPr>
        <w:tblW w:w="8400" w:type="dxa"/>
        <w:jc w:val="center"/>
        <w:tblInd w:w="93" w:type="dxa"/>
        <w:tblLook w:val="04A0" w:firstRow="1" w:lastRow="0" w:firstColumn="1" w:lastColumn="0" w:noHBand="0" w:noVBand="1"/>
      </w:tblPr>
      <w:tblGrid>
        <w:gridCol w:w="2260"/>
        <w:gridCol w:w="1280"/>
        <w:gridCol w:w="1280"/>
        <w:gridCol w:w="1280"/>
        <w:gridCol w:w="1186"/>
        <w:gridCol w:w="1280"/>
      </w:tblGrid>
      <w:tr w:rsidR="00843F43" w:rsidRPr="00843F43" w:rsidTr="00843F43">
        <w:trPr>
          <w:trHeight w:val="315"/>
          <w:jc w:val="center"/>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4/23/2013</w:t>
            </w:r>
          </w:p>
        </w:tc>
        <w:tc>
          <w:tcPr>
            <w:tcW w:w="1280" w:type="dxa"/>
            <w:tcBorders>
              <w:top w:val="single" w:sz="8" w:space="0" w:color="auto"/>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4/24/2013</w:t>
            </w:r>
          </w:p>
        </w:tc>
        <w:tc>
          <w:tcPr>
            <w:tcW w:w="1280" w:type="dxa"/>
            <w:tcBorders>
              <w:top w:val="single" w:sz="8" w:space="0" w:color="auto"/>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4/25/2013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r>
      <w:tr w:rsidR="00843F43" w:rsidRPr="00843F43"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Concurrent Regression</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33.83%</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20.58%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24.58%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33.80%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18.39%</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24.28%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18.18%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33.19%</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One Step Ahead prediction</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42.25%</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14.54%</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4.64%</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42.12%</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0_0.75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13.95%</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4.56%</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40.88%</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13.02%</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4.49%</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40.76%</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11.34%</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4.44%</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38.90%</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9.25%</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4.39%</w:t>
            </w:r>
          </w:p>
        </w:tc>
      </w:tr>
    </w:tbl>
    <w:p w:rsidR="00843F43" w:rsidRDefault="00843F43" w:rsidP="003B7677">
      <w:pPr>
        <w:ind w:left="360"/>
      </w:pPr>
    </w:p>
    <w:tbl>
      <w:tblPr>
        <w:tblW w:w="4932" w:type="dxa"/>
        <w:jc w:val="center"/>
        <w:tblInd w:w="93" w:type="dxa"/>
        <w:tblLook w:val="04A0" w:firstRow="1" w:lastRow="0" w:firstColumn="1" w:lastColumn="0" w:noHBand="0" w:noVBand="1"/>
      </w:tblPr>
      <w:tblGrid>
        <w:gridCol w:w="1186"/>
        <w:gridCol w:w="1280"/>
        <w:gridCol w:w="1186"/>
        <w:gridCol w:w="1280"/>
      </w:tblGrid>
      <w:tr w:rsidR="00361DEE" w:rsidRPr="00361DEE" w:rsidTr="005B1D17">
        <w:trPr>
          <w:trHeight w:val="315"/>
          <w:jc w:val="center"/>
        </w:trPr>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4/26/2013</w:t>
            </w:r>
          </w:p>
        </w:tc>
        <w:tc>
          <w:tcPr>
            <w:tcW w:w="1280" w:type="dxa"/>
            <w:tcBorders>
              <w:top w:val="single" w:sz="8" w:space="0" w:color="auto"/>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4/29/2013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r>
      <w:tr w:rsidR="00361DEE" w:rsidRPr="00361DEE"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Concurrent Regression</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14.66%</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0.045_0.5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43.07%</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0.06_0.75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13.98%</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42.20%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11.72%</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42.00%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0.06_1</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11.54%</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41.77%</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9.70%</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41.74%</w:t>
            </w:r>
          </w:p>
        </w:tc>
      </w:tr>
      <w:tr w:rsidR="00361DEE" w:rsidRPr="00361DEE"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One Step Ahead prediction</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7.25%</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7.19%</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0.80%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7.18%</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0.51%</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7.14%</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0.45%</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7.08%</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0_1.25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0.24%</w:t>
            </w:r>
          </w:p>
        </w:tc>
      </w:tr>
    </w:tbl>
    <w:p w:rsidR="00843F43" w:rsidRDefault="005B1D17" w:rsidP="005B1D17">
      <w:pPr>
        <w:ind w:left="360"/>
        <w:jc w:val="center"/>
      </w:pPr>
      <w:r>
        <w:rPr>
          <w:noProof/>
        </w:rPr>
        <w:lastRenderedPageBreak/>
        <w:drawing>
          <wp:inline distT="0" distB="0" distL="0" distR="0" wp14:anchorId="39649046" wp14:editId="3199D690">
            <wp:extent cx="5171528"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1528" cy="5162550"/>
                    </a:xfrm>
                    <a:prstGeom prst="rect">
                      <a:avLst/>
                    </a:prstGeom>
                  </pic:spPr>
                </pic:pic>
              </a:graphicData>
            </a:graphic>
          </wp:inline>
        </w:drawing>
      </w:r>
    </w:p>
    <w:p w:rsidR="00257297" w:rsidRDefault="005B1D17" w:rsidP="003B7677">
      <w:pPr>
        <w:ind w:left="360"/>
      </w:pPr>
      <w:r>
        <w:t xml:space="preserve">Above are two sample plots correspond to the cells high-lighted in cyan. </w:t>
      </w:r>
    </w:p>
    <w:p w:rsidR="0011574C" w:rsidRDefault="0011574C" w:rsidP="003B7677">
      <w:pPr>
        <w:ind w:left="360"/>
      </w:pPr>
      <w:r>
        <w:t>We also did one out of sample run by first estimating the delay and decay parameters by averaging these parameter values from 4/23 to 4/26. Then we obtained the 4/29 concurrent and one period ahead predictions using the estimated model parameters (set delay = 0.035s, and decay = 0.75). Lastly we compare the R^2s with in sample calibrated parameters for 4/29. Below are the differences in performance:</w:t>
      </w:r>
    </w:p>
    <w:tbl>
      <w:tblPr>
        <w:tblW w:w="5640" w:type="dxa"/>
        <w:jc w:val="center"/>
        <w:tblInd w:w="93" w:type="dxa"/>
        <w:tblLook w:val="04A0" w:firstRow="1" w:lastRow="0" w:firstColumn="1" w:lastColumn="0" w:noHBand="0" w:noVBand="1"/>
      </w:tblPr>
      <w:tblGrid>
        <w:gridCol w:w="1218"/>
        <w:gridCol w:w="1620"/>
        <w:gridCol w:w="1218"/>
        <w:gridCol w:w="1900"/>
      </w:tblGrid>
      <w:tr w:rsidR="0011574C" w:rsidRPr="0011574C"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Out of Sample Concurrent R2</w:t>
            </w:r>
          </w:p>
        </w:tc>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Concurrent R2</w:t>
            </w:r>
          </w:p>
        </w:tc>
      </w:tr>
      <w:tr w:rsidR="0011574C" w:rsidRPr="0011574C" w:rsidTr="0011574C">
        <w:trPr>
          <w:trHeight w:val="315"/>
          <w:jc w:val="center"/>
        </w:trPr>
        <w:tc>
          <w:tcPr>
            <w:tcW w:w="1060" w:type="dxa"/>
            <w:tcBorders>
              <w:top w:val="nil"/>
              <w:left w:val="single" w:sz="8" w:space="0" w:color="auto"/>
              <w:bottom w:val="nil"/>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0.035_0.75</w:t>
            </w:r>
          </w:p>
        </w:tc>
        <w:tc>
          <w:tcPr>
            <w:tcW w:w="1620" w:type="dxa"/>
            <w:tcBorders>
              <w:top w:val="nil"/>
              <w:left w:val="nil"/>
              <w:bottom w:val="nil"/>
              <w:right w:val="nil"/>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35.54%</w:t>
            </w:r>
          </w:p>
        </w:tc>
        <w:tc>
          <w:tcPr>
            <w:tcW w:w="1060" w:type="dxa"/>
            <w:tcBorders>
              <w:top w:val="nil"/>
              <w:left w:val="single" w:sz="8" w:space="0" w:color="auto"/>
              <w:bottom w:val="nil"/>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0.035_0.75</w:t>
            </w:r>
          </w:p>
        </w:tc>
        <w:tc>
          <w:tcPr>
            <w:tcW w:w="1900" w:type="dxa"/>
            <w:tcBorders>
              <w:top w:val="nil"/>
              <w:left w:val="nil"/>
              <w:bottom w:val="nil"/>
              <w:right w:val="single" w:sz="8" w:space="0" w:color="auto"/>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43.07%</w:t>
            </w:r>
          </w:p>
        </w:tc>
      </w:tr>
      <w:tr w:rsidR="0011574C" w:rsidRPr="0011574C"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Out of Sample Predict</w:t>
            </w:r>
            <w:r w:rsidR="003710D1">
              <w:rPr>
                <w:rFonts w:ascii="Calibri" w:eastAsia="Times New Roman" w:hAnsi="Calibri" w:cs="Times New Roman"/>
                <w:color w:val="000000"/>
              </w:rPr>
              <w:t>i</w:t>
            </w:r>
            <w:r w:rsidRPr="0011574C">
              <w:rPr>
                <w:rFonts w:ascii="Calibri" w:eastAsia="Times New Roman" w:hAnsi="Calibri" w:cs="Times New Roman"/>
                <w:color w:val="000000"/>
              </w:rPr>
              <w:t>on R2</w:t>
            </w:r>
          </w:p>
        </w:tc>
        <w:tc>
          <w:tcPr>
            <w:tcW w:w="1060" w:type="dxa"/>
            <w:tcBorders>
              <w:top w:val="single" w:sz="8" w:space="0" w:color="auto"/>
              <w:left w:val="single" w:sz="8" w:space="0" w:color="auto"/>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 </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Prediction R2</w:t>
            </w:r>
          </w:p>
        </w:tc>
      </w:tr>
      <w:tr w:rsidR="0011574C" w:rsidRPr="0011574C" w:rsidTr="0011574C">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0.045_0.5</w:t>
            </w:r>
          </w:p>
        </w:tc>
        <w:tc>
          <w:tcPr>
            <w:tcW w:w="1620" w:type="dxa"/>
            <w:tcBorders>
              <w:top w:val="nil"/>
              <w:left w:val="nil"/>
              <w:bottom w:val="single" w:sz="8" w:space="0" w:color="auto"/>
              <w:right w:val="nil"/>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0.00%</w:t>
            </w:r>
          </w:p>
        </w:tc>
        <w:tc>
          <w:tcPr>
            <w:tcW w:w="1060" w:type="dxa"/>
            <w:tcBorders>
              <w:top w:val="nil"/>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0.005_0.5</w:t>
            </w:r>
          </w:p>
        </w:tc>
        <w:tc>
          <w:tcPr>
            <w:tcW w:w="1900" w:type="dxa"/>
            <w:tcBorders>
              <w:top w:val="nil"/>
              <w:left w:val="nil"/>
              <w:bottom w:val="single" w:sz="8" w:space="0" w:color="auto"/>
              <w:right w:val="single" w:sz="8" w:space="0" w:color="auto"/>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1.30%</w:t>
            </w:r>
          </w:p>
        </w:tc>
      </w:tr>
    </w:tbl>
    <w:p w:rsidR="0011574C" w:rsidRDefault="0011574C" w:rsidP="003B7677">
      <w:pPr>
        <w:ind w:left="360"/>
      </w:pPr>
    </w:p>
    <w:p w:rsidR="0011574C" w:rsidRDefault="0011574C" w:rsidP="003B7677">
      <w:pPr>
        <w:ind w:left="360"/>
      </w:pPr>
      <w:r>
        <w:lastRenderedPageBreak/>
        <w:t xml:space="preserve">Even though the decay and delay parameters are not very stable from day to day, using an average value of these parameters to construct out of sample regression yields satisfactory results for this particular example. </w:t>
      </w:r>
    </w:p>
    <w:p w:rsidR="00075E66" w:rsidRDefault="00075E66" w:rsidP="003B7677">
      <w:pPr>
        <w:ind w:left="360"/>
      </w:pPr>
      <w:r>
        <w:t xml:space="preserve">Below are the results we have obtained using the same methodology for AMZN stocks. </w:t>
      </w:r>
    </w:p>
    <w:tbl>
      <w:tblPr>
        <w:tblW w:w="7980" w:type="dxa"/>
        <w:jc w:val="center"/>
        <w:tblInd w:w="93" w:type="dxa"/>
        <w:tblLook w:val="04A0" w:firstRow="1" w:lastRow="0" w:firstColumn="1" w:lastColumn="0" w:noHBand="0" w:noVBand="1"/>
      </w:tblPr>
      <w:tblGrid>
        <w:gridCol w:w="2080"/>
        <w:gridCol w:w="1260"/>
        <w:gridCol w:w="1218"/>
        <w:gridCol w:w="1260"/>
        <w:gridCol w:w="1218"/>
        <w:gridCol w:w="1260"/>
      </w:tblGrid>
      <w:tr w:rsidR="00075E66" w:rsidRPr="00075E66" w:rsidTr="00075E66">
        <w:trPr>
          <w:trHeight w:val="315"/>
          <w:jc w:val="center"/>
        </w:trPr>
        <w:tc>
          <w:tcPr>
            <w:tcW w:w="2080" w:type="dxa"/>
            <w:tcBorders>
              <w:top w:val="single" w:sz="8" w:space="0" w:color="auto"/>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4/23/2013</w:t>
            </w:r>
          </w:p>
        </w:tc>
        <w:tc>
          <w:tcPr>
            <w:tcW w:w="12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4/24/2013</w:t>
            </w:r>
          </w:p>
        </w:tc>
        <w:tc>
          <w:tcPr>
            <w:tcW w:w="12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4/25/2013</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r>
      <w:tr w:rsidR="00075E66" w:rsidRPr="00075E66" w:rsidTr="00075E66">
        <w:trPr>
          <w:trHeight w:val="315"/>
          <w:jc w:val="center"/>
        </w:trPr>
        <w:tc>
          <w:tcPr>
            <w:tcW w:w="7980" w:type="dxa"/>
            <w:gridSpan w:val="6"/>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Concurrent Regression</w:t>
            </w:r>
          </w:p>
        </w:tc>
      </w:tr>
      <w:tr w:rsidR="00075E66" w:rsidRPr="00075E66" w:rsidTr="00075E66">
        <w:trPr>
          <w:trHeight w:val="315"/>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 (delay(s)_decay)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r>
      <w:tr w:rsidR="00075E66" w:rsidRPr="00075E66" w:rsidTr="00075E66">
        <w:trPr>
          <w:trHeight w:val="300"/>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29.91%</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0.03_0.75</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6.50%</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4.20%</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29.43%</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0.035_0.75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6.49%</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4.11%</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26.65%</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6.46%</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3.69%</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14.90%</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6.45%</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2.86%</w:t>
            </w:r>
          </w:p>
        </w:tc>
      </w:tr>
      <w:tr w:rsidR="00075E66" w:rsidRPr="00075E66" w:rsidTr="00075E66">
        <w:trPr>
          <w:trHeight w:val="315"/>
          <w:jc w:val="center"/>
        </w:trPr>
        <w:tc>
          <w:tcPr>
            <w:tcW w:w="208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3.70%</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6.38%</w:t>
            </w:r>
          </w:p>
        </w:tc>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0.095_1.5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2.79%</w:t>
            </w:r>
          </w:p>
        </w:tc>
      </w:tr>
      <w:tr w:rsidR="00075E66" w:rsidRPr="00075E66" w:rsidTr="00075E66">
        <w:trPr>
          <w:trHeight w:val="315"/>
          <w:jc w:val="center"/>
        </w:trPr>
        <w:tc>
          <w:tcPr>
            <w:tcW w:w="7980" w:type="dxa"/>
            <w:gridSpan w:val="6"/>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One Step Ahead Prediction</w:t>
            </w:r>
          </w:p>
        </w:tc>
      </w:tr>
      <w:tr w:rsidR="00075E66" w:rsidRPr="00075E66" w:rsidTr="00075E66">
        <w:trPr>
          <w:trHeight w:val="315"/>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r>
      <w:tr w:rsidR="00075E66" w:rsidRPr="00075E66" w:rsidTr="00075E66">
        <w:trPr>
          <w:trHeight w:val="300"/>
          <w:jc w:val="center"/>
        </w:trPr>
        <w:tc>
          <w:tcPr>
            <w:tcW w:w="208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19.34%</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0.055_0.5</w:t>
            </w:r>
          </w:p>
        </w:tc>
        <w:tc>
          <w:tcPr>
            <w:tcW w:w="12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4.49%</w:t>
            </w:r>
          </w:p>
        </w:tc>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0.005_1.25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8.22%</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19.32%</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4.46%</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8.02%</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18.19%</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4.44%</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0.005_1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7.82%</w:t>
            </w:r>
          </w:p>
        </w:tc>
      </w:tr>
      <w:tr w:rsidR="00075E66" w:rsidRPr="00075E66" w:rsidTr="00075E66">
        <w:trPr>
          <w:trHeight w:val="300"/>
          <w:jc w:val="center"/>
        </w:trPr>
        <w:tc>
          <w:tcPr>
            <w:tcW w:w="208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16.00%</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0.065_0.5</w:t>
            </w:r>
          </w:p>
        </w:tc>
        <w:tc>
          <w:tcPr>
            <w:tcW w:w="12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2.54%</w:t>
            </w:r>
          </w:p>
        </w:tc>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7.28%</w:t>
            </w:r>
          </w:p>
        </w:tc>
      </w:tr>
      <w:tr w:rsidR="00075E66" w:rsidRPr="00075E66" w:rsidTr="00075E66">
        <w:trPr>
          <w:trHeight w:val="315"/>
          <w:jc w:val="center"/>
        </w:trPr>
        <w:tc>
          <w:tcPr>
            <w:tcW w:w="208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0.085_0.5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12.65%</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0.1_0.5</w:t>
            </w:r>
          </w:p>
        </w:tc>
        <w:tc>
          <w:tcPr>
            <w:tcW w:w="12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2.14%</w:t>
            </w:r>
          </w:p>
        </w:tc>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0.1_0.75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7.20%</w:t>
            </w:r>
          </w:p>
        </w:tc>
      </w:tr>
    </w:tbl>
    <w:p w:rsidR="00075E66" w:rsidRDefault="00075E66" w:rsidP="003B7677">
      <w:pPr>
        <w:ind w:left="360"/>
      </w:pPr>
    </w:p>
    <w:tbl>
      <w:tblPr>
        <w:tblW w:w="4340" w:type="dxa"/>
        <w:jc w:val="center"/>
        <w:tblInd w:w="93" w:type="dxa"/>
        <w:tblLook w:val="04A0" w:firstRow="1" w:lastRow="0" w:firstColumn="1" w:lastColumn="0" w:noHBand="0" w:noVBand="1"/>
      </w:tblPr>
      <w:tblGrid>
        <w:gridCol w:w="1218"/>
        <w:gridCol w:w="1260"/>
        <w:gridCol w:w="1218"/>
        <w:gridCol w:w="960"/>
      </w:tblGrid>
      <w:tr w:rsidR="00075E66" w:rsidRPr="00075E66" w:rsidTr="00075E66">
        <w:trPr>
          <w:trHeight w:val="3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4/26/2013</w:t>
            </w:r>
          </w:p>
        </w:tc>
        <w:tc>
          <w:tcPr>
            <w:tcW w:w="12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c>
          <w:tcPr>
            <w:tcW w:w="1060" w:type="dxa"/>
            <w:tcBorders>
              <w:top w:val="single" w:sz="8" w:space="0" w:color="auto"/>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b/>
                <w:bCs/>
                <w:color w:val="000000"/>
              </w:rPr>
            </w:pPr>
            <w:r w:rsidRPr="00075E66">
              <w:rPr>
                <w:rFonts w:ascii="Calibri" w:eastAsia="Times New Roman" w:hAnsi="Calibri" w:cs="Times New Roman"/>
                <w:b/>
                <w:bCs/>
                <w:color w:val="000000"/>
              </w:rPr>
              <w:t>4/29/2013</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b/>
                <w:bCs/>
                <w:color w:val="000000"/>
              </w:rPr>
            </w:pPr>
            <w:r w:rsidRPr="00075E66">
              <w:rPr>
                <w:rFonts w:ascii="Calibri" w:eastAsia="Times New Roman" w:hAnsi="Calibri" w:cs="Times New Roman"/>
                <w:b/>
                <w:bCs/>
                <w:color w:val="000000"/>
              </w:rPr>
              <w:t> </w:t>
            </w:r>
          </w:p>
        </w:tc>
      </w:tr>
      <w:tr w:rsidR="00075E66" w:rsidRPr="00075E66" w:rsidTr="00075E66">
        <w:trPr>
          <w:trHeight w:val="315"/>
          <w:jc w:val="center"/>
        </w:trPr>
        <w:tc>
          <w:tcPr>
            <w:tcW w:w="4340" w:type="dxa"/>
            <w:gridSpan w:val="4"/>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Concurrent Regression</w:t>
            </w:r>
          </w:p>
        </w:tc>
      </w:tr>
      <w:tr w:rsidR="00075E66" w:rsidRPr="00075E66" w:rsidTr="00075E66">
        <w:trPr>
          <w:trHeight w:val="315"/>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r>
      <w:tr w:rsidR="00075E66" w:rsidRPr="00075E66" w:rsidTr="00075E66">
        <w:trPr>
          <w:trHeight w:val="300"/>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20.73%</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0.04_0.75</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16.67%</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19.48%</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16.48%</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0_1</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16.31%</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0.02_1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16.39%</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0_1.25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13.14%</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15.89%</w:t>
            </w:r>
          </w:p>
        </w:tc>
      </w:tr>
      <w:tr w:rsidR="00075E66" w:rsidRPr="00075E66" w:rsidTr="00075E66">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0.055_0.75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11.40%</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9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15.62%</w:t>
            </w:r>
          </w:p>
        </w:tc>
      </w:tr>
      <w:tr w:rsidR="00075E66" w:rsidRPr="00075E66" w:rsidTr="00075E66">
        <w:trPr>
          <w:trHeight w:val="315"/>
          <w:jc w:val="center"/>
        </w:trPr>
        <w:tc>
          <w:tcPr>
            <w:tcW w:w="4340" w:type="dxa"/>
            <w:gridSpan w:val="4"/>
            <w:tcBorders>
              <w:top w:val="nil"/>
              <w:left w:val="single" w:sz="8" w:space="0" w:color="auto"/>
              <w:bottom w:val="nil"/>
              <w:right w:val="single" w:sz="8" w:space="0" w:color="000000"/>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i/>
                <w:iCs/>
                <w:color w:val="000000"/>
              </w:rPr>
            </w:pPr>
            <w:r w:rsidRPr="00075E66">
              <w:rPr>
                <w:rFonts w:ascii="Calibri" w:eastAsia="Times New Roman" w:hAnsi="Calibri" w:cs="Times New Roman"/>
                <w:i/>
                <w:iCs/>
                <w:color w:val="000000"/>
              </w:rPr>
              <w:t>One Step Ahead Prediction</w:t>
            </w:r>
          </w:p>
        </w:tc>
      </w:tr>
      <w:tr w:rsidR="00075E66" w:rsidRPr="00075E66" w:rsidTr="00075E66">
        <w:trPr>
          <w:trHeight w:val="315"/>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r w:rsidRPr="00075E66">
              <w:rPr>
                <w:rFonts w:ascii="Calibri" w:eastAsia="Times New Roman" w:hAnsi="Calibri" w:cs="Times New Roman"/>
                <w:color w:val="000000"/>
              </w:rPr>
              <w:t>Key</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center"/>
              <w:rPr>
                <w:rFonts w:ascii="Calibri" w:eastAsia="Times New Roman" w:hAnsi="Calibri" w:cs="Times New Roman"/>
                <w:color w:val="000000"/>
              </w:rPr>
            </w:pPr>
            <w:proofErr w:type="spellStart"/>
            <w:r w:rsidRPr="00075E66">
              <w:rPr>
                <w:rFonts w:ascii="Calibri" w:eastAsia="Times New Roman" w:hAnsi="Calibri" w:cs="Times New Roman"/>
                <w:color w:val="000000"/>
              </w:rPr>
              <w:t>Adj</w:t>
            </w:r>
            <w:proofErr w:type="spellEnd"/>
            <w:r w:rsidRPr="00075E66">
              <w:rPr>
                <w:rFonts w:ascii="Calibri" w:eastAsia="Times New Roman" w:hAnsi="Calibri" w:cs="Times New Roman"/>
                <w:color w:val="000000"/>
              </w:rPr>
              <w:t xml:space="preserve"> R2</w:t>
            </w:r>
          </w:p>
        </w:tc>
      </w:tr>
      <w:tr w:rsidR="00075E66" w:rsidRPr="00075E66" w:rsidTr="00075E66">
        <w:trPr>
          <w:trHeight w:val="300"/>
          <w:jc w:val="center"/>
        </w:trPr>
        <w:tc>
          <w:tcPr>
            <w:tcW w:w="1060" w:type="dxa"/>
            <w:tcBorders>
              <w:top w:val="single" w:sz="8" w:space="0" w:color="auto"/>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0_0.5</w:t>
            </w:r>
          </w:p>
        </w:tc>
        <w:tc>
          <w:tcPr>
            <w:tcW w:w="12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9.07%</w:t>
            </w:r>
          </w:p>
        </w:tc>
        <w:tc>
          <w:tcPr>
            <w:tcW w:w="1060" w:type="dxa"/>
            <w:tcBorders>
              <w:top w:val="single" w:sz="8" w:space="0" w:color="auto"/>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0.04_0.75</w:t>
            </w:r>
          </w:p>
        </w:tc>
        <w:tc>
          <w:tcPr>
            <w:tcW w:w="960" w:type="dxa"/>
            <w:tcBorders>
              <w:top w:val="single" w:sz="8" w:space="0" w:color="auto"/>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19.54%</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8.99%</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0.045_0.75</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19.35%</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0.05_0.75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8.35%</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18.69%</w:t>
            </w:r>
          </w:p>
        </w:tc>
      </w:tr>
      <w:tr w:rsidR="00075E66" w:rsidRPr="00075E66" w:rsidTr="00075E66">
        <w:trPr>
          <w:trHeight w:val="300"/>
          <w:jc w:val="center"/>
        </w:trPr>
        <w:tc>
          <w:tcPr>
            <w:tcW w:w="1060" w:type="dxa"/>
            <w:tcBorders>
              <w:top w:val="nil"/>
              <w:left w:val="single" w:sz="8" w:space="0" w:color="auto"/>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0.09_0.5</w:t>
            </w:r>
          </w:p>
        </w:tc>
        <w:tc>
          <w:tcPr>
            <w:tcW w:w="12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7.51%</w:t>
            </w:r>
          </w:p>
        </w:tc>
        <w:tc>
          <w:tcPr>
            <w:tcW w:w="1060" w:type="dxa"/>
            <w:tcBorders>
              <w:top w:val="nil"/>
              <w:left w:val="nil"/>
              <w:bottom w:val="nil"/>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0.045_1</w:t>
            </w:r>
          </w:p>
        </w:tc>
        <w:tc>
          <w:tcPr>
            <w:tcW w:w="960" w:type="dxa"/>
            <w:tcBorders>
              <w:top w:val="nil"/>
              <w:left w:val="nil"/>
              <w:bottom w:val="nil"/>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18.42%</w:t>
            </w:r>
          </w:p>
        </w:tc>
      </w:tr>
      <w:tr w:rsidR="00075E66" w:rsidRPr="00075E66" w:rsidTr="00075E66">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0.09_0.75</w:t>
            </w:r>
          </w:p>
        </w:tc>
        <w:tc>
          <w:tcPr>
            <w:tcW w:w="12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7.42%</w:t>
            </w:r>
          </w:p>
        </w:tc>
        <w:tc>
          <w:tcPr>
            <w:tcW w:w="1060" w:type="dxa"/>
            <w:tcBorders>
              <w:top w:val="nil"/>
              <w:left w:val="nil"/>
              <w:bottom w:val="single" w:sz="8" w:space="0" w:color="auto"/>
              <w:right w:val="nil"/>
            </w:tcBorders>
            <w:shd w:val="clear" w:color="auto" w:fill="auto"/>
            <w:noWrap/>
            <w:vAlign w:val="bottom"/>
            <w:hideMark/>
          </w:tcPr>
          <w:p w:rsidR="00075E66" w:rsidRPr="00075E66" w:rsidRDefault="00075E66" w:rsidP="00075E66">
            <w:pPr>
              <w:spacing w:after="0" w:line="240" w:lineRule="auto"/>
              <w:rPr>
                <w:rFonts w:ascii="Calibri" w:eastAsia="Times New Roman" w:hAnsi="Calibri" w:cs="Times New Roman"/>
                <w:color w:val="000000"/>
              </w:rPr>
            </w:pPr>
            <w:r w:rsidRPr="00075E66">
              <w:rPr>
                <w:rFonts w:ascii="Calibri" w:eastAsia="Times New Roman" w:hAnsi="Calibri" w:cs="Times New Roman"/>
                <w:color w:val="000000"/>
              </w:rPr>
              <w:t>0.04_0.5</w:t>
            </w:r>
          </w:p>
        </w:tc>
        <w:tc>
          <w:tcPr>
            <w:tcW w:w="960" w:type="dxa"/>
            <w:tcBorders>
              <w:top w:val="nil"/>
              <w:left w:val="nil"/>
              <w:bottom w:val="single" w:sz="8" w:space="0" w:color="auto"/>
              <w:right w:val="single" w:sz="8" w:space="0" w:color="auto"/>
            </w:tcBorders>
            <w:shd w:val="clear" w:color="auto" w:fill="auto"/>
            <w:noWrap/>
            <w:vAlign w:val="bottom"/>
            <w:hideMark/>
          </w:tcPr>
          <w:p w:rsidR="00075E66" w:rsidRPr="00075E66" w:rsidRDefault="00075E66" w:rsidP="00075E66">
            <w:pPr>
              <w:spacing w:after="0" w:line="240" w:lineRule="auto"/>
              <w:jc w:val="right"/>
              <w:rPr>
                <w:rFonts w:ascii="Calibri" w:eastAsia="Times New Roman" w:hAnsi="Calibri" w:cs="Times New Roman"/>
                <w:color w:val="000000"/>
              </w:rPr>
            </w:pPr>
            <w:r w:rsidRPr="00075E66">
              <w:rPr>
                <w:rFonts w:ascii="Calibri" w:eastAsia="Times New Roman" w:hAnsi="Calibri" w:cs="Times New Roman"/>
                <w:color w:val="000000"/>
              </w:rPr>
              <w:t>17.71%</w:t>
            </w:r>
          </w:p>
        </w:tc>
      </w:tr>
    </w:tbl>
    <w:p w:rsidR="00075E66" w:rsidRDefault="00075E66" w:rsidP="003B7677">
      <w:pPr>
        <w:ind w:left="360"/>
      </w:pPr>
    </w:p>
    <w:p w:rsidR="007D30A1" w:rsidRDefault="00361E32" w:rsidP="003B7677">
      <w:pPr>
        <w:ind w:left="360"/>
      </w:pPr>
      <w:r>
        <w:lastRenderedPageBreak/>
        <w:t xml:space="preserve">We see the results are particularly good for 4/23/2013, which is the date when White House’s twitter account was hacked. </w:t>
      </w:r>
      <w:r w:rsidR="00BA6210">
        <w:t xml:space="preserve">As a result, we expect SOI in generally to work better </w:t>
      </w:r>
      <w:r w:rsidR="007D30A1">
        <w:t xml:space="preserve">when the market is relatively more volatile and filled with more impactful news. </w:t>
      </w:r>
    </w:p>
    <w:p w:rsidR="00361E32" w:rsidRDefault="007D30A1" w:rsidP="003B7677">
      <w:pPr>
        <w:ind w:left="360"/>
      </w:pPr>
      <w:r>
        <w:t xml:space="preserve">We believe in this intuition, because as more market participants are aware of potential impactful news, their behaviors became more heavily driven by the market psychology, or their interpretation of the market psychology and reaction. </w:t>
      </w:r>
      <w:r w:rsidR="00D325F8">
        <w:t>Consequently, an algorithm that looks solely at the buy/sell imbalance sentiments</w:t>
      </w:r>
      <w:r w:rsidR="001433A3">
        <w:t xml:space="preserve"> becomes more effective. Though without more carefully designed experiments and quantitative data to back up this hypothe</w:t>
      </w:r>
      <w:r w:rsidR="006A4E4F">
        <w:t>sis, this observation</w:t>
      </w:r>
      <w:r w:rsidR="00C25531">
        <w:t xml:space="preserve"> only</w:t>
      </w:r>
      <w:r w:rsidR="006A4E4F">
        <w:t xml:space="preserve"> remains </w:t>
      </w:r>
      <w:r w:rsidR="00C25531">
        <w:t xml:space="preserve">as </w:t>
      </w:r>
      <w:r w:rsidR="006A4E4F">
        <w:t xml:space="preserve">an interesting hypothesis. </w:t>
      </w:r>
      <w:r w:rsidR="00CF5E8A">
        <w:t xml:space="preserve">If time permits, we plan to assess how our model behaves during different market environments. </w:t>
      </w:r>
    </w:p>
    <w:p w:rsidR="005362C2" w:rsidRPr="005362C2" w:rsidRDefault="005362C2" w:rsidP="003B7677">
      <w:pPr>
        <w:ind w:left="360"/>
        <w:rPr>
          <w:b/>
          <w:color w:val="FF0000"/>
        </w:rPr>
      </w:pPr>
      <w:r w:rsidRPr="005362C2">
        <w:rPr>
          <w:b/>
          <w:color w:val="FF0000"/>
        </w:rPr>
        <w:t>&lt;TO JIA: IF POSSIBLE, please expand to include the other 3 stocks, you can put them in the Appendix, make sure the data is consistent with the observation above, or else change the conclusion&gt;</w:t>
      </w:r>
      <w:bookmarkStart w:id="0" w:name="_GoBack"/>
      <w:bookmarkEnd w:id="0"/>
    </w:p>
    <w:p w:rsidR="00AA022B" w:rsidRPr="00EB0C97" w:rsidRDefault="00EB0C97" w:rsidP="003B7677">
      <w:pPr>
        <w:ind w:left="360"/>
        <w:rPr>
          <w:b/>
          <w:color w:val="FF0000"/>
        </w:rPr>
      </w:pPr>
      <w:r w:rsidRPr="00EB0C97">
        <w:rPr>
          <w:b/>
          <w:color w:val="FF0000"/>
        </w:rPr>
        <w:t>&lt;</w:t>
      </w:r>
      <w:r w:rsidR="00CF74EA">
        <w:rPr>
          <w:b/>
          <w:color w:val="FF0000"/>
        </w:rPr>
        <w:t xml:space="preserve">TO </w:t>
      </w:r>
      <w:r w:rsidR="00A02A31">
        <w:rPr>
          <w:b/>
          <w:color w:val="FF0000"/>
        </w:rPr>
        <w:t>JIA: EXPAND on The following</w:t>
      </w:r>
      <w:r w:rsidRPr="00EB0C97">
        <w:rPr>
          <w:b/>
          <w:color w:val="FF0000"/>
        </w:rPr>
        <w:t>&gt;</w:t>
      </w:r>
    </w:p>
    <w:p w:rsidR="00B0071F" w:rsidRDefault="00B0071F" w:rsidP="006C5B2E">
      <w:pPr>
        <w:ind w:left="360"/>
      </w:pPr>
      <w:r>
        <w:t>Note a potentially alternate form of thi</w:t>
      </w:r>
      <w:r w:rsidR="006C5B2E">
        <w:t xml:space="preserve">s model defines </w:t>
      </w:r>
      <w:proofErr w:type="gramStart"/>
      <w:r w:rsidR="006C5B2E">
        <w:t>R(</w:t>
      </w:r>
      <w:proofErr w:type="gramEnd"/>
      <w:r w:rsidR="006C5B2E">
        <w:t>t) as follows</w:t>
      </w:r>
      <w:r w:rsidR="005A31ED">
        <w:t>:</w:t>
      </w:r>
      <w:r>
        <w:t xml:space="preserve"> </w:t>
      </w:r>
    </w:p>
    <w:p w:rsidR="00F67DEB" w:rsidRDefault="00F67DEB" w:rsidP="00B0071F">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QMid</m:t>
                      </m:r>
                    </m:e>
                    <m:sub>
                      <m:r>
                        <w:rPr>
                          <w:rFonts w:ascii="Cambria Math" w:hAnsi="Cambria Math"/>
                        </w:rPr>
                        <m:t>t</m:t>
                      </m:r>
                    </m:sub>
                  </m:sSub>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func>
        </m:oMath>
      </m:oMathPara>
    </w:p>
    <w:p w:rsidR="0021661E" w:rsidRDefault="0021661E" w:rsidP="0021661E">
      <w:r>
        <w:t>Lastly</w:t>
      </w:r>
      <w:r>
        <w:t>, we want to assess the effectiveness of buy/sell</w:t>
      </w:r>
      <w:r>
        <w:t>/neutral classification rule #3:</w:t>
      </w:r>
    </w:p>
    <w:p w:rsidR="005362C2" w:rsidRPr="005362C2" w:rsidRDefault="005362C2" w:rsidP="0021661E">
      <w:pPr>
        <w:rPr>
          <w:b/>
          <w:color w:val="FF0000"/>
        </w:rPr>
      </w:pPr>
      <w:r w:rsidRPr="005362C2">
        <w:rPr>
          <w:b/>
          <w:color w:val="FF0000"/>
        </w:rPr>
        <w:t>&lt;TO JIA: All these data are in the zip file I emailed you, there is a folder called EMA_BUY_SELL, please do some analysis similar to the ones above&gt;</w:t>
      </w:r>
    </w:p>
    <w:p w:rsidR="0021661E" w:rsidRDefault="0021661E" w:rsidP="0021661E"/>
    <w:p w:rsidR="00F67DEB" w:rsidRDefault="00F67DEB" w:rsidP="003B7677">
      <w:pPr>
        <w:ind w:left="360"/>
      </w:pPr>
    </w:p>
    <w:sectPr w:rsidR="00F6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70EA6"/>
    <w:multiLevelType w:val="hybridMultilevel"/>
    <w:tmpl w:val="375633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FD"/>
    <w:rsid w:val="000040F4"/>
    <w:rsid w:val="0001062C"/>
    <w:rsid w:val="00046B26"/>
    <w:rsid w:val="00065DC3"/>
    <w:rsid w:val="00075E66"/>
    <w:rsid w:val="000A061F"/>
    <w:rsid w:val="000B28AF"/>
    <w:rsid w:val="0011574C"/>
    <w:rsid w:val="00125D70"/>
    <w:rsid w:val="00134448"/>
    <w:rsid w:val="0014117E"/>
    <w:rsid w:val="001433A3"/>
    <w:rsid w:val="00186188"/>
    <w:rsid w:val="00195F56"/>
    <w:rsid w:val="001B4331"/>
    <w:rsid w:val="001D1B6A"/>
    <w:rsid w:val="0021661E"/>
    <w:rsid w:val="0023603D"/>
    <w:rsid w:val="00257297"/>
    <w:rsid w:val="002A098F"/>
    <w:rsid w:val="002B1ADA"/>
    <w:rsid w:val="002B2329"/>
    <w:rsid w:val="003159FB"/>
    <w:rsid w:val="00361DEE"/>
    <w:rsid w:val="00361E32"/>
    <w:rsid w:val="003710D1"/>
    <w:rsid w:val="003B41F1"/>
    <w:rsid w:val="003B5A1C"/>
    <w:rsid w:val="003B7677"/>
    <w:rsid w:val="003E183C"/>
    <w:rsid w:val="00402E82"/>
    <w:rsid w:val="00425D83"/>
    <w:rsid w:val="004C715F"/>
    <w:rsid w:val="005242E4"/>
    <w:rsid w:val="005362C2"/>
    <w:rsid w:val="0054733A"/>
    <w:rsid w:val="005A22E5"/>
    <w:rsid w:val="005A31ED"/>
    <w:rsid w:val="005B1D17"/>
    <w:rsid w:val="005B1E4F"/>
    <w:rsid w:val="005C12D8"/>
    <w:rsid w:val="005C61C9"/>
    <w:rsid w:val="00640267"/>
    <w:rsid w:val="00680B27"/>
    <w:rsid w:val="00682350"/>
    <w:rsid w:val="006A4E4F"/>
    <w:rsid w:val="006C2DFD"/>
    <w:rsid w:val="006C5B2E"/>
    <w:rsid w:val="006D418F"/>
    <w:rsid w:val="006E71ED"/>
    <w:rsid w:val="006F67D8"/>
    <w:rsid w:val="00721358"/>
    <w:rsid w:val="00725F0B"/>
    <w:rsid w:val="00732E91"/>
    <w:rsid w:val="0073778D"/>
    <w:rsid w:val="00777A90"/>
    <w:rsid w:val="007D30A1"/>
    <w:rsid w:val="00843F43"/>
    <w:rsid w:val="008B7879"/>
    <w:rsid w:val="008B7CBC"/>
    <w:rsid w:val="009A7E61"/>
    <w:rsid w:val="009E0EF2"/>
    <w:rsid w:val="00A02A31"/>
    <w:rsid w:val="00A1536D"/>
    <w:rsid w:val="00A30144"/>
    <w:rsid w:val="00A33ADF"/>
    <w:rsid w:val="00A50623"/>
    <w:rsid w:val="00A73176"/>
    <w:rsid w:val="00A86C93"/>
    <w:rsid w:val="00A96B8A"/>
    <w:rsid w:val="00AA022B"/>
    <w:rsid w:val="00AD1128"/>
    <w:rsid w:val="00AD67DB"/>
    <w:rsid w:val="00AD7121"/>
    <w:rsid w:val="00B0071F"/>
    <w:rsid w:val="00B00EE7"/>
    <w:rsid w:val="00B4646D"/>
    <w:rsid w:val="00BA4C46"/>
    <w:rsid w:val="00BA6210"/>
    <w:rsid w:val="00BF3AA9"/>
    <w:rsid w:val="00C25531"/>
    <w:rsid w:val="00C450B5"/>
    <w:rsid w:val="00C52A6C"/>
    <w:rsid w:val="00C626C2"/>
    <w:rsid w:val="00C710CC"/>
    <w:rsid w:val="00C76B3F"/>
    <w:rsid w:val="00CA6778"/>
    <w:rsid w:val="00CE1BFD"/>
    <w:rsid w:val="00CF5E8A"/>
    <w:rsid w:val="00CF74EA"/>
    <w:rsid w:val="00D325F8"/>
    <w:rsid w:val="00D54BAF"/>
    <w:rsid w:val="00D9001A"/>
    <w:rsid w:val="00DB1A65"/>
    <w:rsid w:val="00DD0A5E"/>
    <w:rsid w:val="00DF593F"/>
    <w:rsid w:val="00E004F0"/>
    <w:rsid w:val="00E30EF7"/>
    <w:rsid w:val="00E4237D"/>
    <w:rsid w:val="00E62E26"/>
    <w:rsid w:val="00EB0C97"/>
    <w:rsid w:val="00ED0CC4"/>
    <w:rsid w:val="00ED1160"/>
    <w:rsid w:val="00EF65FB"/>
    <w:rsid w:val="00EF7CF5"/>
    <w:rsid w:val="00F208BA"/>
    <w:rsid w:val="00F441CC"/>
    <w:rsid w:val="00F624DC"/>
    <w:rsid w:val="00F67212"/>
    <w:rsid w:val="00F67DEB"/>
    <w:rsid w:val="00F821ED"/>
    <w:rsid w:val="00F87CBC"/>
    <w:rsid w:val="00FE6FEE"/>
    <w:rsid w:val="00FF6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5F"/>
    <w:pPr>
      <w:ind w:left="720"/>
      <w:contextualSpacing/>
    </w:pPr>
  </w:style>
  <w:style w:type="character" w:styleId="PlaceholderText">
    <w:name w:val="Placeholder Text"/>
    <w:basedOn w:val="DefaultParagraphFont"/>
    <w:uiPriority w:val="99"/>
    <w:semiHidden/>
    <w:rsid w:val="00725F0B"/>
    <w:rPr>
      <w:color w:val="808080"/>
    </w:rPr>
  </w:style>
  <w:style w:type="paragraph" w:styleId="BalloonText">
    <w:name w:val="Balloon Text"/>
    <w:basedOn w:val="Normal"/>
    <w:link w:val="BalloonTextChar"/>
    <w:uiPriority w:val="99"/>
    <w:semiHidden/>
    <w:unhideWhenUsed/>
    <w:rsid w:val="0072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0B"/>
    <w:rPr>
      <w:rFonts w:ascii="Tahoma" w:hAnsi="Tahoma" w:cs="Tahoma"/>
      <w:sz w:val="16"/>
      <w:szCs w:val="16"/>
    </w:rPr>
  </w:style>
  <w:style w:type="paragraph" w:styleId="PlainText">
    <w:name w:val="Plain Text"/>
    <w:basedOn w:val="Normal"/>
    <w:link w:val="PlainTextChar"/>
    <w:uiPriority w:val="99"/>
    <w:unhideWhenUsed/>
    <w:rsid w:val="0014117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4117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5F"/>
    <w:pPr>
      <w:ind w:left="720"/>
      <w:contextualSpacing/>
    </w:pPr>
  </w:style>
  <w:style w:type="character" w:styleId="PlaceholderText">
    <w:name w:val="Placeholder Text"/>
    <w:basedOn w:val="DefaultParagraphFont"/>
    <w:uiPriority w:val="99"/>
    <w:semiHidden/>
    <w:rsid w:val="00725F0B"/>
    <w:rPr>
      <w:color w:val="808080"/>
    </w:rPr>
  </w:style>
  <w:style w:type="paragraph" w:styleId="BalloonText">
    <w:name w:val="Balloon Text"/>
    <w:basedOn w:val="Normal"/>
    <w:link w:val="BalloonTextChar"/>
    <w:uiPriority w:val="99"/>
    <w:semiHidden/>
    <w:unhideWhenUsed/>
    <w:rsid w:val="0072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0B"/>
    <w:rPr>
      <w:rFonts w:ascii="Tahoma" w:hAnsi="Tahoma" w:cs="Tahoma"/>
      <w:sz w:val="16"/>
      <w:szCs w:val="16"/>
    </w:rPr>
  </w:style>
  <w:style w:type="paragraph" w:styleId="PlainText">
    <w:name w:val="Plain Text"/>
    <w:basedOn w:val="Normal"/>
    <w:link w:val="PlainTextChar"/>
    <w:uiPriority w:val="99"/>
    <w:unhideWhenUsed/>
    <w:rsid w:val="0014117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4117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5788">
      <w:bodyDiv w:val="1"/>
      <w:marLeft w:val="0"/>
      <w:marRight w:val="0"/>
      <w:marTop w:val="0"/>
      <w:marBottom w:val="0"/>
      <w:divBdr>
        <w:top w:val="none" w:sz="0" w:space="0" w:color="auto"/>
        <w:left w:val="none" w:sz="0" w:space="0" w:color="auto"/>
        <w:bottom w:val="none" w:sz="0" w:space="0" w:color="auto"/>
        <w:right w:val="none" w:sz="0" w:space="0" w:color="auto"/>
      </w:divBdr>
    </w:div>
    <w:div w:id="76708758">
      <w:bodyDiv w:val="1"/>
      <w:marLeft w:val="0"/>
      <w:marRight w:val="0"/>
      <w:marTop w:val="0"/>
      <w:marBottom w:val="0"/>
      <w:divBdr>
        <w:top w:val="none" w:sz="0" w:space="0" w:color="auto"/>
        <w:left w:val="none" w:sz="0" w:space="0" w:color="auto"/>
        <w:bottom w:val="none" w:sz="0" w:space="0" w:color="auto"/>
        <w:right w:val="none" w:sz="0" w:space="0" w:color="auto"/>
      </w:divBdr>
    </w:div>
    <w:div w:id="508562063">
      <w:bodyDiv w:val="1"/>
      <w:marLeft w:val="0"/>
      <w:marRight w:val="0"/>
      <w:marTop w:val="0"/>
      <w:marBottom w:val="0"/>
      <w:divBdr>
        <w:top w:val="none" w:sz="0" w:space="0" w:color="auto"/>
        <w:left w:val="none" w:sz="0" w:space="0" w:color="auto"/>
        <w:bottom w:val="none" w:sz="0" w:space="0" w:color="auto"/>
        <w:right w:val="none" w:sz="0" w:space="0" w:color="auto"/>
      </w:divBdr>
    </w:div>
    <w:div w:id="555747840">
      <w:bodyDiv w:val="1"/>
      <w:marLeft w:val="0"/>
      <w:marRight w:val="0"/>
      <w:marTop w:val="0"/>
      <w:marBottom w:val="0"/>
      <w:divBdr>
        <w:top w:val="none" w:sz="0" w:space="0" w:color="auto"/>
        <w:left w:val="none" w:sz="0" w:space="0" w:color="auto"/>
        <w:bottom w:val="none" w:sz="0" w:space="0" w:color="auto"/>
        <w:right w:val="none" w:sz="0" w:space="0" w:color="auto"/>
      </w:divBdr>
    </w:div>
    <w:div w:id="1168522058">
      <w:bodyDiv w:val="1"/>
      <w:marLeft w:val="0"/>
      <w:marRight w:val="0"/>
      <w:marTop w:val="0"/>
      <w:marBottom w:val="0"/>
      <w:divBdr>
        <w:top w:val="none" w:sz="0" w:space="0" w:color="auto"/>
        <w:left w:val="none" w:sz="0" w:space="0" w:color="auto"/>
        <w:bottom w:val="none" w:sz="0" w:space="0" w:color="auto"/>
        <w:right w:val="none" w:sz="0" w:space="0" w:color="auto"/>
      </w:divBdr>
    </w:div>
    <w:div w:id="1365862482">
      <w:bodyDiv w:val="1"/>
      <w:marLeft w:val="0"/>
      <w:marRight w:val="0"/>
      <w:marTop w:val="0"/>
      <w:marBottom w:val="0"/>
      <w:divBdr>
        <w:top w:val="none" w:sz="0" w:space="0" w:color="auto"/>
        <w:left w:val="none" w:sz="0" w:space="0" w:color="auto"/>
        <w:bottom w:val="none" w:sz="0" w:space="0" w:color="auto"/>
        <w:right w:val="none" w:sz="0" w:space="0" w:color="auto"/>
      </w:divBdr>
    </w:div>
    <w:div w:id="1525829313">
      <w:bodyDiv w:val="1"/>
      <w:marLeft w:val="0"/>
      <w:marRight w:val="0"/>
      <w:marTop w:val="0"/>
      <w:marBottom w:val="0"/>
      <w:divBdr>
        <w:top w:val="none" w:sz="0" w:space="0" w:color="auto"/>
        <w:left w:val="none" w:sz="0" w:space="0" w:color="auto"/>
        <w:bottom w:val="none" w:sz="0" w:space="0" w:color="auto"/>
        <w:right w:val="none" w:sz="0" w:space="0" w:color="auto"/>
      </w:divBdr>
    </w:div>
    <w:div w:id="1551990315">
      <w:bodyDiv w:val="1"/>
      <w:marLeft w:val="0"/>
      <w:marRight w:val="0"/>
      <w:marTop w:val="0"/>
      <w:marBottom w:val="0"/>
      <w:divBdr>
        <w:top w:val="none" w:sz="0" w:space="0" w:color="auto"/>
        <w:left w:val="none" w:sz="0" w:space="0" w:color="auto"/>
        <w:bottom w:val="none" w:sz="0" w:space="0" w:color="auto"/>
        <w:right w:val="none" w:sz="0" w:space="0" w:color="auto"/>
      </w:divBdr>
    </w:div>
    <w:div w:id="1586261072">
      <w:bodyDiv w:val="1"/>
      <w:marLeft w:val="0"/>
      <w:marRight w:val="0"/>
      <w:marTop w:val="0"/>
      <w:marBottom w:val="0"/>
      <w:divBdr>
        <w:top w:val="none" w:sz="0" w:space="0" w:color="auto"/>
        <w:left w:val="none" w:sz="0" w:space="0" w:color="auto"/>
        <w:bottom w:val="none" w:sz="0" w:space="0" w:color="auto"/>
        <w:right w:val="none" w:sz="0" w:space="0" w:color="auto"/>
      </w:divBdr>
    </w:div>
    <w:div w:id="1866940061">
      <w:bodyDiv w:val="1"/>
      <w:marLeft w:val="0"/>
      <w:marRight w:val="0"/>
      <w:marTop w:val="0"/>
      <w:marBottom w:val="0"/>
      <w:divBdr>
        <w:top w:val="none" w:sz="0" w:space="0" w:color="auto"/>
        <w:left w:val="none" w:sz="0" w:space="0" w:color="auto"/>
        <w:bottom w:val="none" w:sz="0" w:space="0" w:color="auto"/>
        <w:right w:val="none" w:sz="0" w:space="0" w:color="auto"/>
      </w:divBdr>
    </w:div>
    <w:div w:id="2062051908">
      <w:bodyDiv w:val="1"/>
      <w:marLeft w:val="0"/>
      <w:marRight w:val="0"/>
      <w:marTop w:val="0"/>
      <w:marBottom w:val="0"/>
      <w:divBdr>
        <w:top w:val="none" w:sz="0" w:space="0" w:color="auto"/>
        <w:left w:val="none" w:sz="0" w:space="0" w:color="auto"/>
        <w:bottom w:val="none" w:sz="0" w:space="0" w:color="auto"/>
        <w:right w:val="none" w:sz="0" w:space="0" w:color="auto"/>
      </w:divBdr>
    </w:div>
    <w:div w:id="21427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0EAA9-A9B0-460D-A36F-18D9DCC0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demon4000</dc:creator>
  <cp:lastModifiedBy>demon4000</cp:lastModifiedBy>
  <cp:revision>2</cp:revision>
  <dcterms:created xsi:type="dcterms:W3CDTF">2013-10-02T19:11:00Z</dcterms:created>
  <dcterms:modified xsi:type="dcterms:W3CDTF">2013-10-02T19:11:00Z</dcterms:modified>
</cp:coreProperties>
</file>