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焦作万方(000612.SZ) 个股深度分析</w:t>
      </w:r>
    </w:p>
    <w:p>
      <w:pP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数据来源：万得 Wind 金融数据 | 生成时间：2026年7月3日 11:00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核心结论：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业绩爆发×估值低位×重组期权，具备较高安全边际的周期成长标的</w:t>
      </w:r>
    </w:p>
    <w:p>
      <w:pPr>
        <w:pStyle w:val="Heading1"/>
      </w:pPr>
      <w:r>
        <w:t xml:space="preserve">一、公司概况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全称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焦作万方铝业股份有限公司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上市日期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1996年9月26日（深交所主板）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实际控制人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钭正刚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所属行业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材料→金属/非金属与采矿→铝（Wind分类）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主营构成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液体铝81.36% / 铝锭7.89% / 铝合金7.56% / 其他3.19%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产业链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煤—电—铝—铝加工一体化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参股资产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中国稀有稀土11.73%股权 / 焦作煤业赵固30%股权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主营产品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"万方"重熔用铝锭、铝材、液体铝、铝合金制品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总股本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11.92亿股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股东户数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84,710户（截至2026-06-18）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公司简介：</w:t>
      </w:r>
      <w:r>
        <w:rPr>
          <w:rFonts w:ascii="Arial" w:cs="Arial" w:eastAsia="Arial" w:hAnsi="Arial"/>
          <w:sz w:val="20"/>
          <w:szCs w:val="20"/>
        </w:rPr>
        <w:t xml:space="preserve">焦作万方1966年建厂，1996年上市，是河南省百强企业和焦作市电解铝龙头企业。公司拥有完备的"煤—电—铝—铝加工"一体化产业链，形成了以铝产业为主、兼顾对外投资的多元化经营之路。公司持有中国稀有稀土11.73%股权（委派1名董事），以及焦作煤业集团赵固30%股权。目前正在推进收购三门峡铝业核心资产的重组，完成后将形成"氧化铝—电解铝—铝加工"完整产业链闭环。</w:t>
      </w:r>
    </w:p>
    <w:p>
      <w:pPr>
        <w:pStyle w:val="Heading1"/>
      </w:pPr>
      <w:r>
        <w:t xml:space="preserve">二、行情快照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数据时点：2026年7月3日 10:30 CST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现价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10.86元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+2.74%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成交量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2,487万股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换手率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2.09%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市盈率(TTM)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9.12x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极低估值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市净率(LF)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1.77x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低于净资产2倍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总市值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129.5亿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52周最高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15.19元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1月29日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52周最低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7.50元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振幅(当日)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2.46%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波动收敛</w:t>
            </w:r>
          </w:p>
        </w:tc>
      </w:tr>
    </w:tbl>
    <w:p>
      <w:pPr>
        <w:pStyle w:val="Heading1"/>
      </w:pPr>
      <w:r>
        <w:t xml:space="preserve">三、财务基本面</w:t>
      </w:r>
    </w:p>
    <w:p>
      <w:pPr>
        <w:pStyle w:val="Heading2"/>
      </w:pPr>
      <w:r>
        <w:t xml:space="preserve">2026年一季度（最新一期）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营业收入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17.57亿元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净利润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5.11亿元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+216.46%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净资产收益率(ROE)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6.86%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销售毛利率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36.44%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提升约25个百分点，历史同期最高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15.03%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极低，财务结构安全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每股收益(EPS)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0.428元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经营现金净流量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+3.69亿元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由负转正</w:t>
            </w:r>
          </w:p>
        </w:tc>
      </w:tr>
    </w:tbl>
    <w:p>
      <w:pPr>
        <w:pStyle w:val="Heading2"/>
      </w:pPr>
      <w:r>
        <w:t xml:space="preserve">2025年度（上一完整财年）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归母净利润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10.71亿元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+81.95%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每10股分红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3.25元（含税）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股息率约3.2%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分红记录：</w:t>
      </w:r>
      <w:r>
        <w:rPr>
          <w:rFonts w:ascii="Arial" w:cs="Arial" w:eastAsia="Arial" w:hAnsi="Arial"/>
          <w:sz w:val="20"/>
          <w:szCs w:val="20"/>
        </w:rPr>
        <w:t xml:space="preserve">2025年度权益分派，股权登记日2026-05-25，除权除息日2026-05-26，派息日2026-05-26，每10股派3.25元。</w:t>
      </w:r>
    </w:p>
    <w:p>
      <w:pPr>
        <w:pStyle w:val="Heading1"/>
      </w:pPr>
      <w:r>
        <w:t xml:space="preserve">四、核心催化剂</w:t>
      </w:r>
    </w:p>
    <w:p>
      <w:pPr>
        <w:pStyle w:val="Heading2"/>
      </w:pPr>
      <w:r>
        <w:t xml:space="preserve">① 收购三门峡铝业（关键变量）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焦作万方正在推进发行股份购买三门峡铝业核心氧化铝资产。完成后将实现"氧化铝—电解铝—铝加工"完整产业链闭环，氧化铝权益产能升至全国第四，成本波动风险大幅降低。备考归母净利润预计增长超5倍。目前重组已进入深交所审核流程，多轮补充核查确认标的合规无实质性障碍，仅微小调整交易对价。</w:t>
      </w:r>
    </w:p>
    <w:p>
      <w:pPr>
        <w:pStyle w:val="Heading2"/>
      </w:pPr>
      <w:r>
        <w:t xml:space="preserve">② 镓资源布局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三门峡铝业拥有金属镓产能290吨/年。镓是电解铝生产的天然副产品，也是半导体、光通信领域不可替代的战略性小金属。随着中国对镓、锗等关键矿产出口管控收紧，国内镓资源的战略价值日益凸显。完成收购后，焦作万方将以较低代价切入战略小金属赛道。</w:t>
      </w:r>
    </w:p>
    <w:p>
      <w:pPr>
        <w:pStyle w:val="Heading2"/>
      </w:pPr>
      <w:r>
        <w:t xml:space="preserve">③ 稀土参股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公司持有中国稀有稀土股份有限公司11.73%的股权，中国稀有稀土主要经营稀有稀土及其他有色金属的选矿、冶炼、加工等业务。公司委派1名董事，属于战略投资性质。</w:t>
      </w:r>
    </w:p>
    <w:p>
      <w:pPr>
        <w:pStyle w:val="Heading2"/>
      </w:pPr>
      <w:r>
        <w:t xml:space="preserve">④ 业绩爆发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2026Q1净利润同比增长216%，毛利率36.44%创历史同期最高，经营现金流由负转正。2025全年归母净利润10.71亿元，同比增81.95%。主业利润的充裕储备为战略并购提供了充足的资金弹药。</w:t>
      </w:r>
    </w:p>
    <w:p>
      <w:pPr>
        <w:pStyle w:val="Heading1"/>
      </w:pPr>
      <w:r>
        <w:t xml:space="preserve">五、股东结构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名次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股东名称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持股比例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性质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宁波中曼科技管理有限公司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11.87%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控股股东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浙江安晟控股有限公司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7.44%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重要股东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焦作市万方集团有限责任公司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5.22%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国资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济南汇勤投资合伙企业(有限合伙)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机构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韩军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1.17%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洪红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嘉实中证稀土产业ETF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0.92%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公募基金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香港中央结算(陆股通)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北向资金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申万宏源证券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0.75%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券商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王无忧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0.68%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个人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机构持仓：</w:t>
      </w:r>
      <w:r>
        <w:rPr>
          <w:rFonts w:ascii="Arial" w:cs="Arial" w:eastAsia="Arial" w:hAnsi="Arial"/>
          <w:sz w:val="20"/>
          <w:szCs w:val="20"/>
        </w:rPr>
        <w:t xml:space="preserve">13家机构合计持股3.69亿股。前十大股东合计持股约34.8%，股权集中度适中。</w:t>
      </w:r>
    </w:p>
    <w:p>
      <w:pPr>
        <w:pStyle w:val="Heading1"/>
      </w:pPr>
      <w:r>
        <w:t xml:space="preserve">六、技术面分析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-0.28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空头趋势，但收敛中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KDJ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18.78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接近超卖区域（&lt;20）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35.04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偏弱，未触及超卖（&lt;30）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简单移动均线(MA)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10.71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现价10.86略高于均线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近期低点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10.43（6月8日）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关键支撑位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近期高点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15.19（1月29日）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已回撤约31%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走势特征：</w:t>
      </w:r>
      <w:r>
        <w:rPr>
          <w:rFonts w:ascii="Arial" w:cs="Arial" w:eastAsia="Arial" w:hAnsi="Arial"/>
          <w:sz w:val="20"/>
          <w:szCs w:val="20"/>
        </w:rPr>
        <w:t xml:space="preserve">股价从年初15.19元高点持续下跌至6月8日10.43元低点，累计跌幅约31%。6月12日因重组推进消息放量涨停（+10.02%）触及11.64元，之后震荡回落。当前在10.50—11.00元区间构筑底部平台。</w:t>
      </w:r>
    </w:p>
    <w:p>
      <w:pPr>
        <w:spacing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融资动向：</w:t>
      </w:r>
      <w:r>
        <w:rPr>
          <w:rFonts w:ascii="Arial" w:cs="Arial" w:eastAsia="Arial" w:hAnsi="Arial"/>
          <w:sz w:val="20"/>
          <w:szCs w:val="20"/>
        </w:rPr>
        <w:t xml:space="preserve">6月中旬融资连续净偿还后，6月下旬转为连续5日净买入（累计6,361万元），当前融资余额9.42亿元。</w:t>
      </w:r>
    </w:p>
    <w:p>
      <w:pPr>
        <w:pStyle w:val="Heading1"/>
      </w:pPr>
      <w:r>
        <w:t xml:space="preserve">七、ESG评级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 ESG综合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BBB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与上期持平，行业中游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环境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低分，减排与资源效率待加强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社会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7.01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显著提升（上期5.89）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治理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7.12</w:t>
            </w:r>
          </w:p>
        </w:tc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显著提升（上期5.98）</w:t>
            </w:r>
          </w:p>
        </w:tc>
      </w:tr>
    </w:tbl>
    <w:p>
      <w:pPr>
        <w:pStyle w:val="Heading1"/>
      </w:pPr>
      <w:r>
        <w:t xml:space="preserve">八、巴蒂的综合判断</w:t>
      </w:r>
    </w:p>
    <w:p>
      <w:pPr>
        <w:pStyle w:val="Heading2"/>
      </w:pPr>
      <w:r>
        <w:t xml:space="preserve">看多因素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1. PE仅9.1x、PB仅1.77x，在铝板块属于极低估值区间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2. 2026Q1净利润+216%，是真金白银的业绩爆发，不是概念炒作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3. 收购三门峡铝业若完成，产业链升级+镓资源布局打开第二成长曲线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4. 资产负债率15%极低，财务结构安全，无债务风险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5. 股息率3.2%提供下档保护</w:t>
      </w:r>
    </w:p>
    <w:p>
      <w:pPr>
        <w:pStyle w:val="Heading2"/>
      </w:pPr>
      <w:r>
        <w:t xml:space="preserve">看空因素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6. 重组审核存在不确定性（问询回复阶段，时间不可控）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7. 铝价受宏观经济影响，若经济下行将压制利润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8. 技术面仍处空头趋势，MACD未转正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9. ESG环境得分仅3.31，环保合规风险需持续关注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10. 股价高点到低点回撤31%，市场情绪修复需要时间</w:t>
      </w:r>
    </w:p>
    <w:p>
      <w:pPr>
        <w:pStyle w:val="Heading2"/>
      </w:pPr>
      <w:r>
        <w:t xml:space="preserve">定位建议</w:t>
      </w:r>
    </w:p>
    <w:p>
      <w:pPr>
        <w:spacing w:after="200" w:before="40"/>
      </w:pPr>
      <w:r>
        <w:rPr>
          <w:rFonts w:ascii="Arial" w:cs="Arial" w:eastAsia="Arial" w:hAnsi="Arial"/>
          <w:sz w:val="20"/>
          <w:szCs w:val="20"/>
        </w:rPr>
        <w:t xml:space="preserve">焦作万方不适合加入当前的持仓组合——现有持仓已经覆盖半导体、光通信、AI硬件和化工新材料，铝业属于不同景气周期。但可以作为跟踪池候选，重点关注两个触发条件：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重组获深交所审核通过（核心催化剂落地）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铝价企稳回升，股价站稳12元形成底部确认</w:t>
      </w:r>
    </w:p>
    <w:p>
      <w:pPr>
        <w:pBdr>
          <w:top w:val="single" w:color="CCCCCC" w:sz="6" w:space="8"/>
        </w:pBdr>
        <w:spacing w:before="3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⚠️ 免责声明</w:t>
      </w:r>
    </w:p>
    <w:p>
      <w:pPr>
        <w:spacing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本文档由AI助手巴蒂生成，仅供老潘个人投研参考，不构成任何投资建议。所有数据均来源于万得Wind金融数据服务。股市有风险，投资需谨慎。最终买卖决策请以个人独立判断为准。</w:t>
      </w:r>
    </w:p>
    <w:p>
      <w:pPr>
        <w:spacing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✔ 数据来源于万得 Wind 金融数据服务。</w:t>
      </w:r>
    </w:p>
    <w:p>
      <w:r>
        <w:rPr>
          <w:rFonts w:ascii="Arial" w:cs="Arial" w:eastAsia="Arial" w:hAnsi="Arial"/>
          <w:color w:val="AAAAAA"/>
          <w:sz w:val="16"/>
          <w:szCs w:val="16"/>
        </w:rPr>
        <w:t xml:space="preserve">生成时间：2026-07-03 11:00 CST | 🎯 巴蒂（WorkBuddy AI 投资助手）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焦作万方(000612.SZ) 个股深度分析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2026-07-03T03:12:04.360Z</dcterms:created>
  <dcterms:modified xsi:type="dcterms:W3CDTF">2026-07-03T03:12:04.368Z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