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GUANLAN / PROJECT PROPOSAL</w:t>
      </w:r>
    </w:p>
    <w:p>
      <w:pPr>
        <w:spacing w:after="120"/>
      </w:pPr>
      <w:r>
        <w:rPr>
          <w:rFonts w:ascii="SimSun" w:cs="SimSun" w:eastAsia="SimSun" w:hAnsi="SimSun"/>
          <w:color w:val="18352E"/>
          <w:sz w:val="64"/>
          <w:szCs w:val="64"/>
        </w:rPr>
        <w:t xml:space="preserve">观澜</w:t>
      </w:r>
    </w:p>
    <w:p>
      <w:pPr>
        <w:spacing w:after="1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零售客户智能画像与“千人千面”精准服务</w:t>
      </w:r>
    </w:p>
    <w:p>
      <w:pPr>
        <w:spacing w:after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2026年9月27日 · 导师评审稿 V0.1</w:t>
      </w:r>
    </w:p>
    <w:p>
      <w:pPr>
        <w:pStyle w:val="Heading1"/>
        <w:keepNext/>
        <w:spacing w:after="150"/>
      </w:pPr>
      <w:r>
        <w:rPr>
          <w:rFonts w:ascii="Microsoft YaHei" w:cs="Microsoft YaHei" w:eastAsia="Microsoft YaHei" w:hAnsi="Microsoft YaHei"/>
          <w:b/>
          <w:bCs/>
          <w:color w:val="18352E"/>
          <w:sz w:val="32"/>
          <w:szCs w:val="32"/>
        </w:rPr>
        <w:t xml:space="preserve">01 / 项目概览</w:t>
      </w:r>
    </w:p>
    <w:p>
      <w:pPr>
        <w:pBdr>
          <w:left w:val="single" w:color="B9CDB8" w:sz="18" w:space="10"/>
        </w:pBdr>
        <w:spacing w:after="18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以脱敏模拟数据为基础，打通“数据—洞察—策略”，帮助银行零售运营人员理解客户差异、设计有依据的服务。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拟解决的问题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售客户的消费习惯、渠道使用和明确偏好不同。仅按单一条件划分客群，难以解释群体差异，也难以把分析结果落实为具体服务。项目拟将多源记录关联为统一客户视图，用机器学习分群，再将画像转化为消费权益、渠道和触达频次建议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使用对象与交付形式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主要用户：银行零售运营人员；辅助用户：查看个人画像的客户经理。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首版服务范围：消费权益与便民服务、服务渠道、触达频次。策略生成后由业务人员审核，不自动向客户发送。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最终参赛软件：Windows 独立窗口应用，本机完成数据处理与模型分析，联网调用 DeepSeek API 进行解读。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当前交付：导师评审方案与 HTML 可点击原型，帮助确认方向、页面流程和团队任务。原型不是最终 EXE。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一条可演示的业务流程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导入客户档案、交易与行为数据 → 检查并关联数据 → 构建客户行为特征 → 机器学习分群 → 查看群体和个人画像 → 配置差异化服务策略 → DeepSeek 解读 → 导出策略草案。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现阶段的结果边界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原型包含 240 名合成客户的汇总样例和四个预置客群，可筛选、查看画像、调整策略并导出草案。分群标签和文字解读用于展示，不是模型训练结果或 API 返回。尚未取得银行数据，未产生真实经营效果或算法优越性结论。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300" w:bottom="1000" w:left="1300" w:header="708" w:footer="708" w:gutter="0"/>
          <w:pgNumType/>
          <w:docGrid w:linePitch="360"/>
        </w:sectPr>
      </w:pPr>
    </w:p>
    <w:p>
      <w:pPr>
        <w:pStyle w:val="Heading1"/>
        <w:keepNext/>
        <w:spacing w:after="150"/>
      </w:pPr>
      <w:r>
        <w:rPr>
          <w:rFonts w:ascii="Microsoft YaHei" w:cs="Microsoft YaHei" w:eastAsia="Microsoft YaHei" w:hAnsi="Microsoft YaHei"/>
          <w:b/>
          <w:bCs/>
          <w:color w:val="18352E"/>
          <w:sz w:val="32"/>
          <w:szCs w:val="32"/>
        </w:rPr>
        <w:t xml:space="preserve">02 / 课题对应与功能范围</w:t>
      </w:r>
    </w:p>
    <w:p>
      <w:pPr>
        <w:pBdr>
          <w:left w:val="single" w:color="B9CDB8" w:sz="18" w:space="10"/>
        </w:pBdr>
        <w:spacing w:after="18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按邀请函明确给出的路径实现完整系统，先保证基础功能可运行、可解释、可验证。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50"/>
        <w:gridCol w:w="2256"/>
      </w:tblGrid>
      <w:tr>
        <w:trPr>
          <w:cantSplit/>
          <w:tblHeader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课题要求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本项目的实现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可见成果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多源数据融合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以 customer_id 关联档案、流水、行为和偏好，统一统计窗口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导入结果、质量报告、客户特征表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客户分群建模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以消费和渠道行为构建特征，标准化后使用 K-Means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分群结果、客群规模和差异对比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客群画像刻画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展示消费类别、交易频次、活跃情况及渠道偏好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群体对比图、个人画像和来源说明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差异化策略设计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匹配权益／服务，再应用授权、频控和渠道规则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候选客群、排除理由、服务草案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脱敏模拟数据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先使用无真实身份的合成数据，后续按银行字典适配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可复现样例与字段映射说明</w:t>
            </w:r>
          </w:p>
        </w:tc>
      </w:tr>
    </w:tbl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首版必须完成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约定模板的 CSV／Excel 导入、字段校验和多表关联。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特征计算、分群训练、群体画像、个人画像、策略配置与导出。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DeepSeek 画像解读与失败提示；Windows 打包与新机器启动验证。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创新与已有工作的关系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客户整合、分群与个性化服务已有成熟产品，Salesforce 和 Microsoft 的公开资料均描述相关能力。本项目不宣称首创。基础贡献是针对课题构建可演示、可复现的完整流程；可选研究项为加入近期行为变化特征后，分群稳定性和服务匹配是否改善。没有实验支持前，只写研究假设。[3][4]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首版不包含自动信贷审批、投资风险评定、真实营销发送、核心银行系统连接或全功能 CRM。大模型接入作为解释能力，不单独作为算法创新依据。</w:t>
      </w:r>
    </w:p>
    <w:p>
      <w:pPr>
        <w:sectPr>
          <w:headerReference w:type="default" r:id="rId9"/>
          <w:footerReference w:type="default" r:id="rId10"/>
          <w:type w:val="nextPage"/>
          <w:pgSz w:w="11906" w:h="16838" w:orient="portrait"/>
          <w:pgMar w:top="1000" w:right="1300" w:bottom="1000" w:left="1300" w:header="708" w:footer="708" w:gutter="0"/>
          <w:pgNumType/>
          <w:docGrid w:linePitch="360"/>
        </w:sectPr>
      </w:pPr>
    </w:p>
    <w:p>
      <w:pPr>
        <w:pStyle w:val="Heading1"/>
        <w:keepNext/>
        <w:spacing w:after="150"/>
      </w:pPr>
      <w:r>
        <w:rPr>
          <w:rFonts w:ascii="Microsoft YaHei" w:cs="Microsoft YaHei" w:eastAsia="Microsoft YaHei" w:hAnsi="Microsoft YaHei"/>
          <w:b/>
          <w:bCs/>
          <w:color w:val="18352E"/>
          <w:sz w:val="32"/>
          <w:szCs w:val="32"/>
        </w:rPr>
        <w:t xml:space="preserve">03 / 数据来源与融合设计</w:t>
      </w:r>
    </w:p>
    <w:p>
      <w:pPr>
        <w:pBdr>
          <w:left w:val="single" w:color="B9CDB8" w:sz="18" w:space="10"/>
        </w:pBdr>
        <w:spacing w:after="18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先约定字段和关联规则，再并行开发。模拟数据应可复现，并明确与真实经营数据的差别。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50"/>
        <w:gridCol w:w="2256"/>
      </w:tblGrid>
      <w:tr>
        <w:trPr>
          <w:cantSplit/>
          <w:tblHeader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数据表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最小字段与含义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customers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customer_id、age_band（可选）、tenure_days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客户主表；编号唯一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transaction_id、customer_id、time、amount、category、channel、status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交易频次、消费金额与结构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events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event_id、customer_id、time、event_type、channel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登录／服务访问等渠道行为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preferences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customer_id、contact_consent、preferred_channel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明确授权与偏好；未知独立记录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contacts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contact_id、customer_id、time、channel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触达频次及冷却期检查</w:t>
            </w:r>
          </w:p>
        </w:tc>
      </w:tr>
    </w:tbl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拟采用的数据规模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首个可运行版本计划使用 1,000 名合成客户、90 天记录；规模为开发目标，实际以测试机器性能为准。通过固定随机种子生成不同消费结构、渠道行为与活跃程度，并加入可控缺失、重复和异常样本。原型当前只有 240 名客户的汇总样例，不能替代明细数据集。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生成器的潜在类别不得作为分群特征，也不能作为真实业务标签证明效果。保留独立随机种子与参数扰动场景用于检验，防止只复现生成器的预设分组。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质量与融合规则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主表 customer_id 唯一；无法关联的明细进入问题清单，不静默丢弃。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统一截止日期和时区，分别计算 30／90 天特征；退款、撤销与金额单位须单独约定。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重复交易按 transaction_id 处理；异常金额保留原值并记录处理方式；缺失值附带缺失标记。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无交易或历史不足的客户单列为“资料不足”，不为了覆盖率强行分群。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授权与明确偏好只用于策略约束；缺失授权不等于允许触达。年龄不直接决定消费偏好。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10/1 前由队长、A、B 冻结模拟口径：金额用人民币元；首版模拟仅含成功正向消费，退款／撤销隔离并提示；零消费占比为空；历史不足 30 天或窗口内无交易标为资料不足。银行口径确定后统一调整。</w:t>
      </w:r>
    </w:p>
    <w:p>
      <w:pPr>
        <w:sectPr>
          <w:headerReference w:type="default" r:id="rId11"/>
          <w:footerReference w:type="default" r:id="rId12"/>
          <w:type w:val="nextPage"/>
          <w:pgSz w:w="11906" w:h="16838" w:orient="portrait"/>
          <w:pgMar w:top="1000" w:right="1300" w:bottom="1000" w:left="1300" w:header="708" w:footer="708" w:gutter="0"/>
          <w:pgNumType/>
          <w:docGrid w:linePitch="360"/>
        </w:sectPr>
      </w:pPr>
    </w:p>
    <w:p>
      <w:pPr>
        <w:pStyle w:val="Heading1"/>
        <w:keepNext/>
        <w:spacing w:after="150"/>
      </w:pPr>
      <w:r>
        <w:rPr>
          <w:rFonts w:ascii="Microsoft YaHei" w:cs="Microsoft YaHei" w:eastAsia="Microsoft YaHei" w:hAnsi="Microsoft YaHei"/>
          <w:b/>
          <w:bCs/>
          <w:color w:val="18352E"/>
          <w:sz w:val="32"/>
          <w:szCs w:val="32"/>
        </w:rPr>
        <w:t xml:space="preserve">04 / 机器学习与画像解释</w:t>
      </w:r>
    </w:p>
    <w:p>
      <w:pPr>
        <w:pBdr>
          <w:left w:val="single" w:color="B9CDB8" w:sz="18" w:space="10"/>
        </w:pBdr>
        <w:spacing w:after="18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采用可解释、计算成本适中的方法，先建立可靠基线，再讨论改进。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基础建模流程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提取最近交易间隔、交易次数、消费总额、客单价、类别占比、渠道占比、活跃天数等行为特征。消费金额和次数视偏态情况采用 log1p，随后标准化；所有变换参数与模型版本一起保存。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 K-Means 为首版模型，固定随机种子并采用多次初始化，比较 K=3 至 6 的候选结果。根据轮廓系数、群体规模、稳定性以及业务可解释性共同选择，不默认四群最好。K-Means 的距离假设和对尺度的敏感性需在报告中说明。[5]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群体名称由群体特征与总体基线的差异产生，再由业务人员确认。例如“出行消费占比较高”，不直接命名为“白领”或“高净值客户”。个人画像同时保留真实统计口径、资料不足说明和明确偏好。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比较与评价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基础对照：简单分层规则与行为特征 K-Means；算法指标不能替代业务价值判断。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聚类质量：报告轮廓系数、各群人数和特征分布；小群体和离群点单独说明。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稳定性：改变初始化或轻微扰动输入，在相同客户集合上比较 Adjusted Rand Index，并报告多次结果。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业务可解释性：请导师／银行人员评议标签是否准确、群体差异是否有服务意义。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没有实际响应标签时，不报告营销预测准确率、真实转化率或收入提升。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可选改进，不阻塞基础交付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加入近期 30 天相对前期的频次、金额和渠道变化特征，与基础特征模型做消融比较；统一训练／评估窗口和特征处理方式。仅当独立场景下结果稳定且有业务解释时，作为改进成果；否则保留基础模型并如实报告。</w:t>
      </w:r>
    </w:p>
    <w:p>
      <w:pPr>
        <w:sectPr>
          <w:headerReference w:type="default" r:id="rId13"/>
          <w:footerReference w:type="default" r:id="rId14"/>
          <w:type w:val="nextPage"/>
          <w:pgSz w:w="11906" w:h="16838" w:orient="portrait"/>
          <w:pgMar w:top="1000" w:right="1300" w:bottom="1000" w:left="1300" w:header="708" w:footer="708" w:gutter="0"/>
          <w:pgNumType/>
          <w:docGrid w:linePitch="360"/>
        </w:sectPr>
      </w:pPr>
    </w:p>
    <w:p>
      <w:pPr>
        <w:pStyle w:val="Heading1"/>
        <w:keepNext/>
        <w:spacing w:after="150"/>
      </w:pPr>
      <w:r>
        <w:rPr>
          <w:rFonts w:ascii="Microsoft YaHei" w:cs="Microsoft YaHei" w:eastAsia="Microsoft YaHei" w:hAnsi="Microsoft YaHei"/>
          <w:b/>
          <w:bCs/>
          <w:color w:val="18352E"/>
          <w:sz w:val="32"/>
          <w:szCs w:val="32"/>
        </w:rPr>
        <w:t xml:space="preserve">05 / 差异化策略与 DeepSeek</w:t>
      </w:r>
    </w:p>
    <w:p>
      <w:pPr>
        <w:pBdr>
          <w:left w:val="single" w:color="B9CDB8" w:sz="18" w:space="10"/>
        </w:pBdr>
        <w:spacing w:after="18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计算结果提供依据，规则限定可选服务，DeepSeek 将依据解释清楚。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50"/>
        <w:gridCol w:w="2256"/>
      </w:tblGrid>
      <w:tr>
        <w:trPr>
          <w:cantSplit/>
          <w:tblHeader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首版设计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输出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服务匹配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出行／餐饮权益、数字服务使用指引；规则参数可配置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满足条件的候选客户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渠道选择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优先使用明确偏好；未知则交由人工确认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建议渠道与来源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频次控制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依次检查授权、月度上限与冷却期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排除原因、剩余候选人数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业务审核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工作人员查看理由并导出草案，不直接发送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策略版本与审核状态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AI 解读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按结构化事实生成分析、建议、依据和资料不足说明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可校验的解释内容</w:t>
            </w:r>
          </w:p>
        </w:tc>
      </w:tr>
    </w:tbl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示例规则与效果口径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原型以“出行消费占比不低于 35%”匹配出行权益，并展示月度触达上限和 7 天冷却期。这些阈值是演示假设，必须由业务人员确认。排除原因按顺序互斥计算，确保匹配人数等于各类排除人数与最终候选人数之和。 正式版授权检查不可跳过；原型允许关闭仅供对照分析，此时结果与导出文件均标为不可执行。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首版验证规则命中、授权过滤、频控正确性与解释一致性。减少候选人数不等于减少无效打扰；真实服务效果需要后续反馈数据或经批准的业务试验才能评价。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DeepSeek API 接入设计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由本机 Python 模块发起调用；只构造必要的匿名化特征摘要、可选服务和规则。模型名称、API 地址及超时作为配置项，接入时核对官方接口与可用模型。Key 在操作者本机配置，不写入前端资源、仓库或日志。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请求结构化输出，包含 observations、suggestions、evidence、limitations。对返回字段、引用编号和数值做程序校验；发现空输出、超时或依据不一致时明确提示失败，允许重试，不将模板内容冒充联网结果。官方 JSON 输出文档提示需设置格式参数、提供 JSON 示例，并处理空内容等情况。[6]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本阶段无须提供 API Key。当前原型使用确定性的模板示例；正式接入后保存模型、提示词版本和脱敏请求摘要，便于复现。</w:t>
      </w:r>
    </w:p>
    <w:p>
      <w:pPr>
        <w:sectPr>
          <w:headerReference w:type="default" r:id="rId15"/>
          <w:footerReference w:type="default" r:id="rId16"/>
          <w:type w:val="nextPage"/>
          <w:pgSz w:w="11906" w:h="16838" w:orient="portrait"/>
          <w:pgMar w:top="1000" w:right="1300" w:bottom="1000" w:left="1300" w:header="708" w:footer="708" w:gutter="0"/>
          <w:pgNumType/>
          <w:docGrid w:linePitch="360"/>
        </w:sectPr>
      </w:pPr>
    </w:p>
    <w:p>
      <w:pPr>
        <w:pStyle w:val="Heading1"/>
        <w:keepNext/>
        <w:spacing w:after="150"/>
      </w:pPr>
      <w:r>
        <w:rPr>
          <w:rFonts w:ascii="Microsoft YaHei" w:cs="Microsoft YaHei" w:eastAsia="Microsoft YaHei" w:hAnsi="Microsoft YaHei"/>
          <w:b/>
          <w:bCs/>
          <w:color w:val="18352E"/>
          <w:sz w:val="32"/>
          <w:szCs w:val="32"/>
        </w:rPr>
        <w:t xml:space="preserve">06 / 软件结构与桌面交付</w:t>
      </w:r>
    </w:p>
    <w:p>
      <w:pPr>
        <w:pBdr>
          <w:left w:val="single" w:color="B9CDB8" w:sz="18" w:space="10"/>
        </w:pBdr>
        <w:spacing w:after="18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采用本机数据处理与独立桌面窗口，降低部署成本，并保留后续接入银行数据的适配层。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50"/>
        <w:gridCol w:w="2256"/>
      </w:tblGrid>
      <w:tr>
        <w:trPr>
          <w:cantSplit/>
          <w:tblHeader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建议技术／模块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展示层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HTML/CSS/TypeScript；正式框架锁定后统一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数据导入、图表、画像、策略与 AI 解读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桌面壳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pywebview + Windows WebView2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独立窗口；仅加载本地打包页面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应用服务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Python；受限 JS–Python 调用接口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任务编排、输入校验、进度与错误处理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数据与算法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pandas、scikit-learn、SQLite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导入、融合、特征、分群和结果记录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模型接入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DeepSeek 适配模块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请求构造、超时、结构校验和错误提示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打包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PyInstaller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Windows EXE 及所需资源；新机器验收</w:t>
            </w:r>
          </w:p>
        </w:tc>
      </w:tr>
    </w:tbl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模块间的数据流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导入模块 → 标准数据表 → 特征模块 → 特征矩阵 → 分群模块 → 客群与画像 → 策略模块 → 草案与解释。桌面界面通过统一服务接口调用模块，任何队员不得直接修改另一个模块的内部文件来绕过接口。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统一结果封装：{ok, data, error, request_id}；错误提供 code 与 message。算法训练等耗时工作在后台任务执行，界面显示进度并防止重复提交。SQLite 写入由应用服务统一管理。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封装前的技术验证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框架阶段优先验证“本地页面—Python 调用—打包后启动”的最小链路。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用未配置开发环境的 Windows 机器检查 WebView2 运行时、中文路径、资源定位和安装包大小。pywebview 官方文档给出 PyInstaller 打包方式。[7]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首版可采用含 EXE 的目录或安装包；若需要单文件 EXE，再评估体积、首次启动与依赖问题，不预先承诺无需任何运行时。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网络连接用于 DeepSeek；接口失败应保留已完成的数据分析。用户未要求全离线功能，但基础结果不应因解读失败而丢失。</w:t>
      </w:r>
    </w:p>
    <w:p>
      <w:pPr>
        <w:sectPr>
          <w:headerReference w:type="default" r:id="rId17"/>
          <w:footerReference w:type="default" r:id="rId18"/>
          <w:type w:val="nextPage"/>
          <w:pgSz w:w="11906" w:h="16838" w:orient="portrait"/>
          <w:pgMar w:top="1000" w:right="1300" w:bottom="1000" w:left="1300" w:header="708" w:footer="708" w:gutter="0"/>
          <w:pgNumType/>
          <w:docGrid w:linePitch="360"/>
        </w:sectPr>
      </w:pPr>
    </w:p>
    <w:p>
      <w:pPr>
        <w:pStyle w:val="Heading1"/>
        <w:keepNext/>
        <w:spacing w:after="150"/>
      </w:pPr>
      <w:r>
        <w:rPr>
          <w:rFonts w:ascii="Microsoft YaHei" w:cs="Microsoft YaHei" w:eastAsia="Microsoft YaHei" w:hAnsi="Microsoft YaHei"/>
          <w:b/>
          <w:bCs/>
          <w:color w:val="18352E"/>
          <w:sz w:val="32"/>
          <w:szCs w:val="32"/>
        </w:rPr>
        <w:t xml:space="preserve">07 / 七人并行开发安排</w:t>
      </w:r>
    </w:p>
    <w:p>
      <w:pPr>
        <w:pBdr>
          <w:left w:val="single" w:color="B9CDB8" w:sz="18" w:space="10"/>
        </w:pBdr>
        <w:spacing w:after="18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六位队员以明确输入输出的小任务为单位提交；队长持续集成，避免临近截止集中合并。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50"/>
        <w:gridCol w:w="2256"/>
      </w:tblGrid>
      <w:tr>
        <w:trPr>
          <w:cantSplit/>
          <w:tblHeader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责任人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负责内容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交付与验收依据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队长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架构、公共接口、桌面壳、API 适配、代码审查与集成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最小运行链路、接口契约、可启动版本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队员 A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模拟数据、文件导入与质量检查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固定种子生成器、正确／错误样例、问题清单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队员 B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特征计算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字段口径、人工可核对的小样本、特征表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队员 C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分群与评价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训练脚本、模型元数据、K 值比较与稳定性记录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队员 D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画像与图表界面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按固定接口展示数据、筛选与详情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队员 E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服务策略规则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候选筛选、互斥排除原因、草案导出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队员 F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集成验收、使用文档与演示材料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端到端案例、安装验证、演示脚本与问题记录</w:t>
            </w:r>
          </w:p>
        </w:tc>
      </w:tr>
    </w:tbl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适合初学者的交付方式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每人每天约 2—3 小时。开始时由队长提供可运行框架、输入输出样例、目录边界和任务说明。队员可使用 Harness 辅助实现，但必须能够解释数据含义、运行验收命令并说明失败原因。重要公共接口由队长维护。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先约定五个关键操作：import_dataset → dataset_id；build_features → feature_version；fit_segments → model_id 与 assignments；get_portrait → facts 与 sources；preview_strategy → eligible 与 exclusions。以可读 JSON 样例描述契约，再由各模块实现。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GitHub 协作规则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单仓库，每人独立功能分支；main 保持可运行。每个小任务提 PR，由队长审核合并。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每天同步 main。PR 说明改动、运行方式、验证结果与未完成部分；公共字段变更先协商。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正式开发阶段配置自动检查和依赖锁定；数据、模型与提示词版本记录在结果中。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本次公开仓库只上传评审资料与合成原型。银行后续提供的资料是否可公开，需根据实际约定决定。</w:t>
      </w:r>
    </w:p>
    <w:p>
      <w:pPr>
        <w:sectPr>
          <w:headerReference w:type="default" r:id="rId19"/>
          <w:footerReference w:type="default" r:id="rId20"/>
          <w:type w:val="nextPage"/>
          <w:pgSz w:w="11906" w:h="16838" w:orient="portrait"/>
          <w:pgMar w:top="1000" w:right="1300" w:bottom="1000" w:left="1300" w:header="708" w:footer="708" w:gutter="0"/>
          <w:pgNumType/>
          <w:docGrid w:linePitch="360"/>
        </w:sectPr>
      </w:pPr>
    </w:p>
    <w:p>
      <w:pPr>
        <w:pStyle w:val="Heading1"/>
        <w:keepNext/>
        <w:spacing w:after="150"/>
      </w:pPr>
      <w:r>
        <w:rPr>
          <w:rFonts w:ascii="Microsoft YaHei" w:cs="Microsoft YaHei" w:eastAsia="Microsoft YaHei" w:hAnsi="Microsoft YaHei"/>
          <w:b/>
          <w:bCs/>
          <w:color w:val="18352E"/>
          <w:sz w:val="32"/>
          <w:szCs w:val="32"/>
        </w:rPr>
        <w:t xml:space="preserve">08 / 排期与完成标准</w:t>
      </w:r>
    </w:p>
    <w:p>
      <w:pPr>
        <w:pBdr>
          <w:left w:val="single" w:color="B9CDB8" w:sz="18" w:space="10"/>
        </w:pBdr>
        <w:spacing w:after="18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以下为计划日期，需导师确认后执行；赛事时间以提供的公告为依据，若有新通知应更新。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50"/>
        <w:gridCol w:w="2256"/>
      </w:tblGrid>
      <w:tr>
        <w:trPr>
          <w:cantSplit/>
          <w:tblHeader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阶段目标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18352E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完成标准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9/27—9/28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导师评审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方案、原型；确认范围与银行对接事项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9/29—10/1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框架与契约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Windows 最小打包、样例数据、接口与模块任务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10/2—10/8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分模块实现与持续合并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每日有可运行版本；主流程逐段连通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10/9—10/13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整体验证与 API 接入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端到端流程、错误处理、基本算法比较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10/14—10/17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功能冻结与材料准备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新机器运行、文档、作品介绍 PPT 和演示录制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10/18—10/19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提交包核验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2F5E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匿名化、包体积、文件完整性与备份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赛事节点</w:t>
            </w:r>
          </w:p>
        </w:tc>
        <w:tc>
          <w:tcPr>
            <w:tcW w:type="dxa" w:w="5350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10/15 前报名；10/20 前交作品</w:t>
            </w:r>
          </w:p>
        </w:tc>
        <w:tc>
          <w:tcPr>
            <w:tcW w:type="dxa" w:w="2256"/>
            <w:tcBorders>
              <w:top w:val="single" w:color="DCE4DA" w:sz="1"/>
              <w:left w:val="single" w:color="DCE4DA" w:sz="1"/>
              <w:bottom w:val="single" w:color="DCE4DA" w:sz="1"/>
              <w:right w:val="single" w:color="DCE4DA" w:sz="1"/>
            </w:tcBorders>
            <w:shd w:fill="FFFFFF" w:val="clear"/>
            <w:tcMar>
              <w:top w:type="dxa" w:w="105"/>
              <w:left w:type="dxa" w:w="115"/>
              <w:bottom w:type="dxa" w:w="105"/>
              <w:right w:type="dxa" w:w="115"/>
            </w:tcMar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8352E"/>
                <w:sz w:val="19"/>
                <w:szCs w:val="19"/>
              </w:rPr>
              <w:t xml:space="preserve">由学校／导师确认实际办理时间 [1]</w:t>
            </w:r>
          </w:p>
        </w:tc>
      </w:tr>
    </w:tbl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必须通过的检查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正确样例能完成导入到策略导出的全流程；错误格式、重复编号、无效关联有明确提示。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小样本的金额、频次和占比可人工复算；无记录、退款与缺失不会静默变成确定画像。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相同数据与模型配置可复现结果；改变 K 值时版本清晰，界面不混用旧结果。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授权、上限和冷却期边界正确；候选与互斥排除人数之和一致。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API 超时、空内容、格式错误不会破坏本地分析；界面区分模型结果和模板示例。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至少两台 Windows 机器验证启动与核心流程，并记录硬件、耗时和安装依赖。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预期效果的表述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期望交付一套能完成客户分群、画像与策略设计的可运行系统，并给出可复现的实验和规则验证记录。当前不承诺具体性能分数、营销转化提升或银行落地成果。赛包按公告控制在 600 MB 以内，包内材料去除参赛身份信息，压缩包名称按公告要求填写。[1]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阶段门槛与收缩规则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10/1 应通过最小打包链路，10/8 应贯通合成明细到策略导出的主流程。任一未达标，暂停可选变化特征研究与新增展示功能，优先完成基础分析、API 和打包验收。测试人员提前参与，避免所有问题集中到队长集成阶段。</w:t>
      </w:r>
    </w:p>
    <w:p>
      <w:pPr>
        <w:sectPr>
          <w:headerReference w:type="default" r:id="rId21"/>
          <w:footerReference w:type="default" r:id="rId22"/>
          <w:type w:val="nextPage"/>
          <w:pgSz w:w="11906" w:h="16838" w:orient="portrait"/>
          <w:pgMar w:top="1000" w:right="1300" w:bottom="1000" w:left="1300" w:header="708" w:footer="708" w:gutter="0"/>
          <w:pgNumType/>
          <w:docGrid w:linePitch="360"/>
        </w:sectPr>
      </w:pPr>
    </w:p>
    <w:p>
      <w:pPr>
        <w:pStyle w:val="Heading1"/>
        <w:keepNext/>
        <w:spacing w:after="150"/>
      </w:pPr>
      <w:r>
        <w:rPr>
          <w:rFonts w:ascii="Microsoft YaHei" w:cs="Microsoft YaHei" w:eastAsia="Microsoft YaHei" w:hAnsi="Microsoft YaHei"/>
          <w:b/>
          <w:bCs/>
          <w:color w:val="18352E"/>
          <w:sz w:val="32"/>
          <w:szCs w:val="32"/>
        </w:rPr>
        <w:t xml:space="preserve">09 / 原型演示与现状</w:t>
      </w:r>
    </w:p>
    <w:p>
      <w:pPr>
        <w:pBdr>
          <w:left w:val="single" w:color="B9CDB8" w:sz="18" w:space="10"/>
        </w:pBdr>
        <w:spacing w:after="18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点击演示用于评审业务流程。当前功能与正式开发目标明确区分。</w:t>
      </w:r>
    </w:p>
    <w:p>
      <w:pPr>
        <w:spacing w:after="90"/>
      </w:pPr>
      <w:r>
        <w:drawing>
          <wp:inline distT="0" distB="0" distL="0" distR="0">
            <wp:extent cx="5476875" cy="3419475"/>
            <wp:effectExtent t="0" r="0" b="0" l="0"/>
            <wp:docPr id="1" name="overview" descr="合成客户总览、预置客群分布与数据到策略流程。" title="观澜原型经营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 1  交互原型经营总览；所有数字来自合成样例，客群为预置演示标签。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已实现的原型交互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六个页面切换；下载合成汇总样例 CSV；检查内置样例；筛选预置客群；搜索客户并打开画像；调整服务类型、频次与授权筛选并实时查看结果；导出策略草案；生成明确标注的模板解读。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仍待正式开发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明细文件导入与多表融合、真实特征流水线、机器学习训练及评价、DeepSeek 实际调用、结果持久化、Windows 独立窗口和 EXE 封装。当前没有训练结果、真实 API 返回、营销效果或银行验收。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建议演示顺序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经营总览 → 数据准备 → 客群洞察 → 客户画像 → 服务策略 → AI 解读。重点展示同一客户的行为证据如何影响服务类型、渠道和频次，而不是只展示大模型文字。</w:t>
      </w:r>
    </w:p>
    <w:p>
      <w:pPr>
        <w:sectPr>
          <w:headerReference w:type="default" r:id="rId23"/>
          <w:footerReference w:type="default" r:id="rId24"/>
          <w:type w:val="nextPage"/>
          <w:pgSz w:w="11906" w:h="16838" w:orient="portrait"/>
          <w:pgMar w:top="1000" w:right="1300" w:bottom="1000" w:left="1300" w:header="708" w:footer="708" w:gutter="0"/>
          <w:pgNumType/>
          <w:docGrid w:linePitch="360"/>
        </w:sectPr>
      </w:pPr>
    </w:p>
    <w:p>
      <w:pPr>
        <w:pStyle w:val="Heading1"/>
        <w:keepNext/>
        <w:spacing w:after="150"/>
      </w:pPr>
      <w:r>
        <w:rPr>
          <w:rFonts w:ascii="Microsoft YaHei" w:cs="Microsoft YaHei" w:eastAsia="Microsoft YaHei" w:hAnsi="Microsoft YaHei"/>
          <w:b/>
          <w:bCs/>
          <w:color w:val="18352E"/>
          <w:sz w:val="32"/>
          <w:szCs w:val="32"/>
        </w:rPr>
        <w:t xml:space="preserve">10 / 导师评议与参考资料</w:t>
      </w:r>
    </w:p>
    <w:p>
      <w:pPr>
        <w:pBdr>
          <w:left w:val="single" w:color="B9CDB8" w:sz="18" w:space="10"/>
        </w:pBdr>
        <w:spacing w:after="18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请导师优先确认方向、业务口径和对接事项，技术实施以可复现的基础版本为起点。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希望导师确认的事项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是否认可“零售运营人员工作台”的定位，以及权益服务与渠道／频次策略的范围。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能否对接银行获取模拟数据字典、消费类别定义、服务权益清单、授权及频控规则，并请业务人员评议画像与策略。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邀请函对接日期已早于当前日期，请确认后续合作窗口与学校报名安排。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邀请函的成果归属表述与赛事的自主知识产权要求如何落实，请由导师与银行／组委会确认具体书面安排。</w:t>
      </w:r>
    </w:p>
    <w:p>
      <w:pPr>
        <w:pStyle w:val="ListParagraph"/>
        <w:numPr>
          <w:ilvl w:val="0"/>
          <w:numId w:val="2"/>
        </w:numPr>
        <w:spacing w:after="75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确认团队分工、AI 辅助开发记录及学校需要的参赛材料；目前文档和界面均未包含成员身份信息。</w:t>
      </w:r>
    </w:p>
    <w:p>
      <w:pPr>
        <w:pStyle w:val="Heading2"/>
        <w:keepNext/>
        <w:spacing w:after="95" w:before="190"/>
      </w:pPr>
      <w:r>
        <w:rPr>
          <w:rFonts w:ascii="Microsoft YaHei" w:cs="Microsoft YaHei" w:eastAsia="Microsoft YaHei" w:hAnsi="Microsoft YaHei"/>
          <w:b/>
          <w:bCs/>
          <w:color w:val="265847"/>
          <w:sz w:val="24"/>
          <w:szCs w:val="24"/>
        </w:rPr>
        <w:t xml:space="preserve">参考资料与依据（查阅日期：2026-09-27）</w:t>
      </w:r>
    </w:p>
    <w:p>
      <w:pPr>
        <w:spacing w:after="6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[1] 关于举办2026年海峡大学生人工智能创意大赛的通知：用户提供的 PDF，第2、5—10页。用于赛事时间、人数、作品和匿名提交要求。</w:t>
      </w:r>
    </w:p>
    <w:p>
      <w:pPr>
        <w:spacing w:after="6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[2] 福建海峡银行课题合作邀请函：用户提供的 DOCX。用于课题原文、脱敏模拟数据、合作及成果归属表述。</w:t>
      </w:r>
    </w:p>
    <w:p>
      <w:pPr>
        <w:spacing w:after="6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[3] Salesforce Financial Services Personalization：已有客户整合、分群及个性化服务能力。</w:t>
      </w:r>
    </w:p>
    <w:p>
      <w:pPr>
        <w:spacing w:after="100" w:line="230"/>
      </w:pPr>
      <w:hyperlink w:history="1" r:id="rIdgn4hfhhshrkylrmrgcopq">
        <w:r>
          <w:rPr>
            <w:rFonts w:ascii="Microsoft YaHei" w:cs="Microsoft YaHei" w:eastAsia="Microsoft YaHei" w:hAnsi="Microsoft YaHei"/>
            <w:color w:val="265847"/>
            <w:sz w:val="17"/>
            <w:szCs w:val="17"/>
            <w:u w:val="single"/>
          </w:rPr>
          <w:t xml:space="preserve">https://www.salesforce.com/financial-services/personalization/</w:t>
        </w:r>
      </w:hyperlink>
    </w:p>
    <w:p>
      <w:pPr>
        <w:spacing w:after="6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[4] Microsoft Customer Insights - Data 产品概览：客户统一视图与分析能力。</w:t>
      </w:r>
    </w:p>
    <w:p>
      <w:pPr>
        <w:spacing w:after="100" w:line="230"/>
      </w:pPr>
      <w:hyperlink w:history="1" r:id="rIdjhvki4grkuqd_5h-ectl0">
        <w:r>
          <w:rPr>
            <w:rFonts w:ascii="Microsoft YaHei" w:cs="Microsoft YaHei" w:eastAsia="Microsoft YaHei" w:hAnsi="Microsoft YaHei"/>
            <w:color w:val="265847"/>
            <w:sz w:val="17"/>
            <w:szCs w:val="17"/>
            <w:u w:val="single"/>
          </w:rPr>
          <w:t xml:space="preserve">https://learn.microsoft.com/en-us/dynamics365/customer-insights/data/overview</w:t>
        </w:r>
      </w:hyperlink>
    </w:p>
    <w:p>
      <w:pPr>
        <w:spacing w:after="6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[5] scikit-learn Clustering：K-Means 与聚类评价方法。</w:t>
      </w:r>
    </w:p>
    <w:p>
      <w:pPr>
        <w:spacing w:after="100" w:line="230"/>
      </w:pPr>
      <w:hyperlink w:history="1" r:id="rIdgbnpeest4qcfbojzfcf7t">
        <w:r>
          <w:rPr>
            <w:rFonts w:ascii="Microsoft YaHei" w:cs="Microsoft YaHei" w:eastAsia="Microsoft YaHei" w:hAnsi="Microsoft YaHei"/>
            <w:color w:val="265847"/>
            <w:sz w:val="17"/>
            <w:szCs w:val="17"/>
            <w:u w:val="single"/>
          </w:rPr>
          <w:t xml:space="preserve">https://scikit-learn.org/stable/modules/clustering.html</w:t>
        </w:r>
      </w:hyperlink>
    </w:p>
    <w:p>
      <w:pPr>
        <w:spacing w:after="6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[6] DeepSeek JSON Output：结构化输出与异常处理注意事项。</w:t>
      </w:r>
    </w:p>
    <w:p>
      <w:pPr>
        <w:spacing w:after="100" w:line="230"/>
      </w:pPr>
      <w:hyperlink w:history="1" r:id="rIde-mwkcjhugcydkv8bhjai">
        <w:r>
          <w:rPr>
            <w:rFonts w:ascii="Microsoft YaHei" w:cs="Microsoft YaHei" w:eastAsia="Microsoft YaHei" w:hAnsi="Microsoft YaHei"/>
            <w:color w:val="265847"/>
            <w:sz w:val="17"/>
            <w:szCs w:val="17"/>
            <w:u w:val="single"/>
          </w:rPr>
          <w:t xml:space="preserve">https://api-docs.deepseek.com/guides/json_mode/</w:t>
        </w:r>
      </w:hyperlink>
    </w:p>
    <w:p>
      <w:pPr>
        <w:spacing w:after="6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[7] pywebview Freezing：Windows / Linux 的 PyInstaller 打包方式。</w:t>
      </w:r>
    </w:p>
    <w:p>
      <w:pPr>
        <w:spacing w:after="100" w:line="230"/>
      </w:pPr>
      <w:hyperlink w:history="1" r:id="rIdzfcsjvfn7bswyafkxiijr">
        <w:r>
          <w:rPr>
            <w:rFonts w:ascii="Microsoft YaHei" w:cs="Microsoft YaHei" w:eastAsia="Microsoft YaHei" w:hAnsi="Microsoft YaHei"/>
            <w:color w:val="265847"/>
            <w:sz w:val="17"/>
            <w:szCs w:val="17"/>
            <w:u w:val="single"/>
          </w:rPr>
          <w:t xml:space="preserve">https://pywebview.flowrl.com/guide/freezing</w:t>
        </w:r>
      </w:hyperlink>
    </w:p>
    <w:sectPr>
      <w:headerReference w:type="default" r:id="rId25"/>
      <w:footerReference w:type="default" r:id="rId26"/>
      <w:type w:val="nextPage"/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5796D"/>
        <w:sz w:val="16"/>
        <w:szCs w:val="16"/>
      </w:rPr>
      <w:t xml:space="preserve">导师评审稿  ·  合成数据与拟实现方案    </w:t>
    </w:r>
    <w:r>
      <w:rPr>
        <w:color w:val="6579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5796D"/>
        <w:sz w:val="16"/>
        <w:szCs w:val="16"/>
      </w:rPr>
      <w:t xml:space="preserve">导师评审稿  ·  合成数据与拟实现方案    </w:t>
    </w:r>
    <w:r>
      <w:rPr>
        <w:color w:val="6579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5796D"/>
        <w:sz w:val="16"/>
        <w:szCs w:val="16"/>
      </w:rPr>
      <w:t xml:space="preserve">导师评审稿  ·  合成数据与拟实现方案    </w:t>
    </w:r>
    <w:r>
      <w:rPr>
        <w:color w:val="6579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5796D"/>
        <w:sz w:val="16"/>
        <w:szCs w:val="16"/>
      </w:rPr>
      <w:t xml:space="preserve">导师评审稿  ·  合成数据与拟实现方案    </w:t>
    </w:r>
    <w:r>
      <w:rPr>
        <w:color w:val="6579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5796D"/>
        <w:sz w:val="16"/>
        <w:szCs w:val="16"/>
      </w:rPr>
      <w:t xml:space="preserve">导师评审稿  ·  合成数据与拟实现方案    </w:t>
    </w:r>
    <w:r>
      <w:rPr>
        <w:color w:val="6579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5796D"/>
        <w:sz w:val="16"/>
        <w:szCs w:val="16"/>
      </w:rPr>
      <w:t xml:space="preserve">导师评审稿  ·  合成数据与拟实现方案    </w:t>
    </w:r>
    <w:r>
      <w:rPr>
        <w:color w:val="6579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5796D"/>
        <w:sz w:val="16"/>
        <w:szCs w:val="16"/>
      </w:rPr>
      <w:t xml:space="preserve">导师评审稿  ·  合成数据与拟实现方案    </w:t>
    </w:r>
    <w:r>
      <w:rPr>
        <w:color w:val="6579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5796D"/>
        <w:sz w:val="16"/>
        <w:szCs w:val="16"/>
      </w:rPr>
      <w:t xml:space="preserve">导师评审稿  ·  合成数据与拟实现方案    </w:t>
    </w:r>
    <w:r>
      <w:rPr>
        <w:color w:val="6579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5796D"/>
        <w:sz w:val="16"/>
        <w:szCs w:val="16"/>
      </w:rPr>
      <w:t xml:space="preserve">导师评审稿  ·  合成数据与拟实现方案    </w:t>
    </w:r>
    <w:r>
      <w:rPr>
        <w:color w:val="6579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65796D"/>
        <w:sz w:val="16"/>
        <w:szCs w:val="16"/>
      </w:rPr>
      <w:t xml:space="preserve">导师评审稿  ·  合成数据与拟实现方案    </w:t>
    </w:r>
    <w:r>
      <w:rPr>
        <w:color w:val="6579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4DA" w:sz="5" w:space="8"/>
      </w:pBdr>
      <w:spacing w:after="150"/>
    </w:pPr>
    <w:r>
      <w:rPr>
        <w:rFonts w:ascii="Microsoft YaHei" w:cs="Microsoft YaHei" w:eastAsia="Microsoft YaHei" w:hAnsi="Microsoft YaHei"/>
        <w:color w:val="65796D"/>
        <w:sz w:val="17"/>
        <w:szCs w:val="17"/>
      </w:rPr>
      <w:t xml:space="preserve">观澜  /  零售客户智能画像与精准服务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4DA" w:sz="5" w:space="8"/>
      </w:pBdr>
      <w:spacing w:after="150"/>
    </w:pPr>
    <w:r>
      <w:rPr>
        <w:rFonts w:ascii="Microsoft YaHei" w:cs="Microsoft YaHei" w:eastAsia="Microsoft YaHei" w:hAnsi="Microsoft YaHei"/>
        <w:color w:val="65796D"/>
        <w:sz w:val="17"/>
        <w:szCs w:val="17"/>
      </w:rPr>
      <w:t xml:space="preserve">观澜  /  零售客户智能画像与精准服务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4DA" w:sz="5" w:space="8"/>
      </w:pBdr>
      <w:spacing w:after="150"/>
    </w:pPr>
    <w:r>
      <w:rPr>
        <w:rFonts w:ascii="Microsoft YaHei" w:cs="Microsoft YaHei" w:eastAsia="Microsoft YaHei" w:hAnsi="Microsoft YaHei"/>
        <w:color w:val="65796D"/>
        <w:sz w:val="17"/>
        <w:szCs w:val="17"/>
      </w:rPr>
      <w:t xml:space="preserve">观澜  /  零售客户智能画像与精准服务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4DA" w:sz="5" w:space="8"/>
      </w:pBdr>
      <w:spacing w:after="150"/>
    </w:pPr>
    <w:r>
      <w:rPr>
        <w:rFonts w:ascii="Microsoft YaHei" w:cs="Microsoft YaHei" w:eastAsia="Microsoft YaHei" w:hAnsi="Microsoft YaHei"/>
        <w:color w:val="65796D"/>
        <w:sz w:val="17"/>
        <w:szCs w:val="17"/>
      </w:rPr>
      <w:t xml:space="preserve">观澜  /  零售客户智能画像与精准服务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4DA" w:sz="5" w:space="8"/>
      </w:pBdr>
      <w:spacing w:after="150"/>
    </w:pPr>
    <w:r>
      <w:rPr>
        <w:rFonts w:ascii="Microsoft YaHei" w:cs="Microsoft YaHei" w:eastAsia="Microsoft YaHei" w:hAnsi="Microsoft YaHei"/>
        <w:color w:val="65796D"/>
        <w:sz w:val="17"/>
        <w:szCs w:val="17"/>
      </w:rPr>
      <w:t xml:space="preserve">观澜  /  零售客户智能画像与精准服务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4DA" w:sz="5" w:space="8"/>
      </w:pBdr>
      <w:spacing w:after="150"/>
    </w:pPr>
    <w:r>
      <w:rPr>
        <w:rFonts w:ascii="Microsoft YaHei" w:cs="Microsoft YaHei" w:eastAsia="Microsoft YaHei" w:hAnsi="Microsoft YaHei"/>
        <w:color w:val="65796D"/>
        <w:sz w:val="17"/>
        <w:szCs w:val="17"/>
      </w:rPr>
      <w:t xml:space="preserve">观澜  /  零售客户智能画像与精准服务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4DA" w:sz="5" w:space="8"/>
      </w:pBdr>
      <w:spacing w:after="150"/>
    </w:pPr>
    <w:r>
      <w:rPr>
        <w:rFonts w:ascii="Microsoft YaHei" w:cs="Microsoft YaHei" w:eastAsia="Microsoft YaHei" w:hAnsi="Microsoft YaHei"/>
        <w:color w:val="65796D"/>
        <w:sz w:val="17"/>
        <w:szCs w:val="17"/>
      </w:rPr>
      <w:t xml:space="preserve">观澜  /  零售客户智能画像与精准服务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4DA" w:sz="5" w:space="8"/>
      </w:pBdr>
      <w:spacing w:after="150"/>
    </w:pPr>
    <w:r>
      <w:rPr>
        <w:rFonts w:ascii="Microsoft YaHei" w:cs="Microsoft YaHei" w:eastAsia="Microsoft YaHei" w:hAnsi="Microsoft YaHei"/>
        <w:color w:val="65796D"/>
        <w:sz w:val="17"/>
        <w:szCs w:val="17"/>
      </w:rPr>
      <w:t xml:space="preserve">观澜  /  零售客户智能画像与精准服务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4DA" w:sz="5" w:space="8"/>
      </w:pBdr>
      <w:spacing w:after="150"/>
    </w:pPr>
    <w:r>
      <w:rPr>
        <w:rFonts w:ascii="Microsoft YaHei" w:cs="Microsoft YaHei" w:eastAsia="Microsoft YaHei" w:hAnsi="Microsoft YaHei"/>
        <w:color w:val="65796D"/>
        <w:sz w:val="17"/>
        <w:szCs w:val="17"/>
      </w:rPr>
      <w:t xml:space="preserve">观澜  /  零售客户智能画像与精准服务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4DA" w:sz="5" w:space="8"/>
      </w:pBdr>
      <w:spacing w:after="150"/>
    </w:pPr>
    <w:r>
      <w:rPr>
        <w:rFonts w:ascii="Microsoft YaHei" w:cs="Microsoft YaHei" w:eastAsia="Microsoft YaHei" w:hAnsi="Microsoft YaHei"/>
        <w:color w:val="65796D"/>
        <w:sz w:val="17"/>
        <w:szCs w:val="17"/>
      </w:rPr>
      <w:t xml:space="preserve">观澜  /  零售客户智能画像与精准服务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835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gn4hfhhshrkylrmrgcopq" Type="http://schemas.openxmlformats.org/officeDocument/2006/relationships/hyperlink" Target="https://www.salesforce.com/financial-services/personalization/" TargetMode="External"/><Relationship Id="rIdjhvki4grkuqd_5h-ectl0" Type="http://schemas.openxmlformats.org/officeDocument/2006/relationships/hyperlink" Target="https://learn.microsoft.com/en-us/dynamics365/customer-insights/data/overview" TargetMode="External"/><Relationship Id="rIdgbnpeest4qcfbojzfcf7t" Type="http://schemas.openxmlformats.org/officeDocument/2006/relationships/hyperlink" Target="https://scikit-learn.org/stable/modules/clustering.html" TargetMode="External"/><Relationship Id="rIde-mwkcjhugcydkv8bhjai" Type="http://schemas.openxmlformats.org/officeDocument/2006/relationships/hyperlink" Target="https://api-docs.deepseek.com/guides/json_mode/" TargetMode="External"/><Relationship Id="rIdzfcsjvfn7bswyafkxiijr" Type="http://schemas.openxmlformats.org/officeDocument/2006/relationships/hyperlink" Target="https://pywebview.flowrl.com/guide/freezing" TargetMode="External"/><Relationship Id="rId27" Type="http://schemas.openxmlformats.org/officeDocument/2006/relationships/image" Target="media/4edbd51b9c4cdba2134ea72ca4f8f47b99bc01d5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零售客户智能画像与“千人千面”精准服务</dc:title>
  <dc:creator>项目组</dc:creator>
  <dc:description>导师评审方案；当前为合成数据交互原型。</dc:description>
  <cp:lastModifiedBy>Un-named</cp:lastModifiedBy>
  <cp:revision>1</cp:revision>
  <dcterms:created xsi:type="dcterms:W3CDTF">2026-09-27T04:06:12.922Z</dcterms:created>
  <dcterms:modified xsi:type="dcterms:W3CDTF">2026-09-27T04:06:12.924Z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