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6EFD"/>
          <w:sz w:val="40"/>
        </w:rPr>
        <w:t>Document de participation</w:t>
      </w:r>
    </w:p>
    <w:p>
      <w:pPr>
        <w:jc w:val="center"/>
      </w:pPr>
      <w:r>
        <w:rPr>
          <w:i/>
          <w:sz w:val="26"/>
        </w:rPr>
        <w:t>Chatbot de dépôt de réclamations académiques</w:t>
      </w:r>
    </w:p>
    <w:p>
      <w:pPr>
        <w:jc w:val="center"/>
      </w:pPr>
      <w:r>
        <w:rPr>
          <w:color w:val="6C757D"/>
        </w:rPr>
        <w:t>Projet n°14 — Année universitaire 2025-2026</w:t>
      </w:r>
    </w:p>
    <w:p/>
    <w:p>
      <w:pPr>
        <w:pStyle w:val="Heading1"/>
      </w:pPr>
      <w:r>
        <w:rPr>
          <w:color w:val="0D6EFD"/>
        </w:rPr>
        <w:t>Binôme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Membre</w:t>
            </w:r>
          </w:p>
        </w:tc>
        <w:tc>
          <w:tcPr>
            <w:tcW w:type="dxa" w:w="3249"/>
          </w:tcPr>
          <w:p>
            <w:r>
              <w:t>Module principal</w:t>
            </w:r>
          </w:p>
        </w:tc>
        <w:tc>
          <w:tcPr>
            <w:tcW w:type="dxa" w:w="3249"/>
          </w:tcPr>
          <w:p>
            <w:r>
              <w:t>Total points</w:t>
            </w:r>
          </w:p>
        </w:tc>
      </w:tr>
      <w:tr>
        <w:tc>
          <w:tcPr>
            <w:tcW w:type="dxa" w:w="3249"/>
          </w:tcPr>
          <w:p>
            <w:r>
              <w:t>Laouratou BAH</w:t>
            </w:r>
          </w:p>
        </w:tc>
        <w:tc>
          <w:tcPr>
            <w:tcW w:type="dxa" w:w="3249"/>
          </w:tcPr>
          <w:p>
            <w:r>
              <w:t>Module étudiant (chatbot, suivi) + communs</w:t>
            </w:r>
          </w:p>
        </w:tc>
        <w:tc>
          <w:tcPr>
            <w:tcW w:type="dxa" w:w="3249"/>
          </w:tcPr>
          <w:p>
            <w:r>
              <w:t>22</w:t>
            </w:r>
          </w:p>
        </w:tc>
      </w:tr>
      <w:tr>
        <w:tc>
          <w:tcPr>
            <w:tcW w:type="dxa" w:w="3249"/>
          </w:tcPr>
          <w:p>
            <w:r>
              <w:t>Sadjo SIDIBÉ</w:t>
            </w:r>
          </w:p>
        </w:tc>
        <w:tc>
          <w:tcPr>
            <w:tcW w:type="dxa" w:w="3249"/>
          </w:tcPr>
          <w:p>
            <w:r>
              <w:t>Module administration (traitement) + communs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</w:tbl>
    <w:p/>
    <w:p>
      <w:r>
        <w:rPr>
          <w:i/>
          <w:color w:val="6C757D"/>
        </w:rPr>
        <w:t>Charge équilibrée — 22 / 21 points (écart &lt; 5%).</w:t>
      </w:r>
    </w:p>
    <w:p>
      <w:pPr>
        <w:pStyle w:val="Heading1"/>
      </w:pPr>
      <w:r>
        <w:rPr>
          <w:color w:val="0D6EFD"/>
        </w:rPr>
        <w:t>Répartition détaillée des tickets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ID</w:t>
            </w:r>
          </w:p>
        </w:tc>
        <w:tc>
          <w:tcPr>
            <w:tcW w:type="dxa" w:w="1624"/>
          </w:tcPr>
          <w:p>
            <w:r>
              <w:t>Type</w:t>
            </w:r>
          </w:p>
        </w:tc>
        <w:tc>
          <w:tcPr>
            <w:tcW w:type="dxa" w:w="1624"/>
          </w:tcPr>
          <w:p>
            <w:r>
              <w:t>Titre</w:t>
            </w:r>
          </w:p>
        </w:tc>
        <w:tc>
          <w:tcPr>
            <w:tcW w:type="dxa" w:w="1624"/>
          </w:tcPr>
          <w:p>
            <w:r>
              <w:t>Responsable</w:t>
            </w:r>
          </w:p>
        </w:tc>
        <w:tc>
          <w:tcPr>
            <w:tcW w:type="dxa" w:w="1624"/>
          </w:tcPr>
          <w:p>
            <w:r>
              <w:t>Pts</w:t>
            </w:r>
          </w:p>
        </w:tc>
        <w:tc>
          <w:tcPr>
            <w:tcW w:type="dxa" w:w="1624"/>
          </w:tcPr>
          <w:p>
            <w:r>
              <w:t>Sprint</w:t>
            </w:r>
          </w:p>
        </w:tc>
      </w:tr>
      <w:tr>
        <w:tc>
          <w:tcPr>
            <w:tcW w:type="dxa" w:w="1624"/>
          </w:tcPr>
          <w:p>
            <w:r>
              <w:t>S1.1</w:t>
            </w:r>
          </w:p>
        </w:tc>
        <w:tc>
          <w:tcPr>
            <w:tcW w:type="dxa" w:w="1624"/>
          </w:tcPr>
          <w:p>
            <w:r>
              <w:t>Task</w:t>
            </w:r>
          </w:p>
        </w:tc>
        <w:tc>
          <w:tcPr>
            <w:tcW w:type="dxa" w:w="1624"/>
          </w:tcPr>
          <w:p>
            <w:r>
              <w:t>Initialisation du projet et du dépôt Git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S1.2</w:t>
            </w:r>
          </w:p>
        </w:tc>
        <w:tc>
          <w:tcPr>
            <w:tcW w:type="dxa" w:w="1624"/>
          </w:tcPr>
          <w:p>
            <w:r>
              <w:t>Task</w:t>
            </w:r>
          </w:p>
        </w:tc>
        <w:tc>
          <w:tcPr>
            <w:tcW w:type="dxa" w:w="1624"/>
          </w:tcPr>
          <w:p>
            <w:r>
              <w:t>Conception et création de la base de données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S2.1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Démarrage de la conversation avec le chatbot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S2.2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Sélection de la catégorie de réclamation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S2.3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Saisie et soumission de la réclamation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S2.4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Génération d'une référence de suivi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S3.1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Consultation du statut d'une réclamation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  <w:tr>
        <w:tc>
          <w:tcPr>
            <w:tcW w:type="dxa" w:w="1624"/>
          </w:tcPr>
          <w:p>
            <w:r>
              <w:t>S3.2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Suggestion automatique de catégorie (bonus)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  <w:tr>
        <w:tc>
          <w:tcPr>
            <w:tcW w:type="dxa" w:w="1624"/>
          </w:tcPr>
          <w:p>
            <w:r>
              <w:t>S4.1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Liste des réclamations reçues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S4.2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Filtres par catégorie et statut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>
              <w:t>1</w:t>
            </w:r>
          </w:p>
        </w:tc>
      </w:tr>
      <w:tr>
        <w:tc>
          <w:tcPr>
            <w:tcW w:type="dxa" w:w="1624"/>
          </w:tcPr>
          <w:p>
            <w:r>
              <w:t>S4.3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Mise à jour du statut d'une réclamation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  <w:tr>
        <w:tc>
          <w:tcPr>
            <w:tcW w:type="dxa" w:w="1624"/>
          </w:tcPr>
          <w:p>
            <w:r>
              <w:t>S4.4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Réponse à l'étudiant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  <w:tr>
        <w:tc>
          <w:tcPr>
            <w:tcW w:type="dxa" w:w="1624"/>
          </w:tcPr>
          <w:p>
            <w:r>
              <w:t>S4.5</w:t>
            </w:r>
          </w:p>
        </w:tc>
        <w:tc>
          <w:tcPr>
            <w:tcW w:type="dxa" w:w="1624"/>
          </w:tcPr>
          <w:p>
            <w:r>
              <w:t>Story</w:t>
            </w:r>
          </w:p>
        </w:tc>
        <w:tc>
          <w:tcPr>
            <w:tcW w:type="dxa" w:w="1624"/>
          </w:tcPr>
          <w:p>
            <w:r>
              <w:t>Tableau de bord et statistiques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  <w:tr>
        <w:tc>
          <w:tcPr>
            <w:tcW w:type="dxa" w:w="1624"/>
          </w:tcPr>
          <w:p>
            <w:r>
              <w:t>S5.1</w:t>
            </w:r>
          </w:p>
        </w:tc>
        <w:tc>
          <w:tcPr>
            <w:tcW w:type="dxa" w:w="1624"/>
          </w:tcPr>
          <w:p>
            <w:r>
              <w:t>Task</w:t>
            </w:r>
          </w:p>
        </w:tc>
        <w:tc>
          <w:tcPr>
            <w:tcW w:type="dxa" w:w="1624"/>
          </w:tcPr>
          <w:p>
            <w:r>
              <w:t>Authentification étudiant / administration</w:t>
            </w:r>
          </w:p>
        </w:tc>
        <w:tc>
          <w:tcPr>
            <w:tcW w:type="dxa" w:w="1624"/>
          </w:tcPr>
          <w:p>
            <w:r>
              <w:t>Laouratou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  <w:tr>
        <w:tc>
          <w:tcPr>
            <w:tcW w:type="dxa" w:w="1624"/>
          </w:tcPr>
          <w:p>
            <w:r>
              <w:t>S6.1</w:t>
            </w:r>
          </w:p>
        </w:tc>
        <w:tc>
          <w:tcPr>
            <w:tcW w:type="dxa" w:w="1624"/>
          </w:tcPr>
          <w:p>
            <w:r>
              <w:t>Task</w:t>
            </w:r>
          </w:p>
        </w:tc>
        <w:tc>
          <w:tcPr>
            <w:tcW w:type="dxa" w:w="1624"/>
          </w:tcPr>
          <w:p>
            <w:r>
              <w:t>Tests et corrections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  <w:tr>
        <w:tc>
          <w:tcPr>
            <w:tcW w:type="dxa" w:w="1624"/>
          </w:tcPr>
          <w:p>
            <w:r>
              <w:t>S6.2</w:t>
            </w:r>
          </w:p>
        </w:tc>
        <w:tc>
          <w:tcPr>
            <w:tcW w:type="dxa" w:w="1624"/>
          </w:tcPr>
          <w:p>
            <w:r>
              <w:t>Task</w:t>
            </w:r>
          </w:p>
        </w:tc>
        <w:tc>
          <w:tcPr>
            <w:tcW w:type="dxa" w:w="1624"/>
          </w:tcPr>
          <w:p>
            <w:r>
              <w:t>Documentation et préparation de la démo</w:t>
            </w:r>
          </w:p>
        </w:tc>
        <w:tc>
          <w:tcPr>
            <w:tcW w:type="dxa" w:w="1624"/>
          </w:tcPr>
          <w:p>
            <w:r>
              <w:t>Sadjo</w:t>
            </w:r>
          </w:p>
        </w:tc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>
              <w:t>2</w:t>
            </w:r>
          </w:p>
        </w:tc>
      </w:tr>
    </w:tbl>
    <w:p/>
    <w:p>
      <w:pPr>
        <w:pStyle w:val="Heading1"/>
      </w:pPr>
      <w:r>
        <w:rPr>
          <w:color w:val="0D6EFD"/>
        </w:rPr>
        <w:t>Récapitulatif par épic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Épic</w:t>
            </w:r>
          </w:p>
        </w:tc>
        <w:tc>
          <w:tcPr>
            <w:tcW w:type="dxa" w:w="2436"/>
          </w:tcPr>
          <w:p>
            <w:r>
              <w:t>Module</w:t>
            </w:r>
          </w:p>
        </w:tc>
        <w:tc>
          <w:tcPr>
            <w:tcW w:type="dxa" w:w="2436"/>
          </w:tcPr>
          <w:p>
            <w:r>
              <w:t>Responsable</w:t>
            </w:r>
          </w:p>
        </w:tc>
        <w:tc>
          <w:tcPr>
            <w:tcW w:type="dxa" w:w="2436"/>
          </w:tcPr>
          <w:p>
            <w:r>
              <w:t>Tickets</w:t>
            </w:r>
          </w:p>
        </w:tc>
      </w:tr>
      <w:tr>
        <w:tc>
          <w:tcPr>
            <w:tcW w:type="dxa" w:w="2436"/>
          </w:tcPr>
          <w:p>
            <w:r>
              <w:t>E1 — Socle technique et infrastructure</w:t>
            </w:r>
          </w:p>
        </w:tc>
        <w:tc>
          <w:tcPr>
            <w:tcW w:type="dxa" w:w="2436"/>
          </w:tcPr>
          <w:p>
            <w:r>
              <w:t>Commun</w:t>
            </w:r>
          </w:p>
        </w:tc>
        <w:tc>
          <w:tcPr>
            <w:tcW w:type="dxa" w:w="2436"/>
          </w:tcPr>
          <w:p>
            <w:r>
              <w:t>Sadjo + Laouratou</w:t>
            </w:r>
          </w:p>
        </w:tc>
        <w:tc>
          <w:tcPr>
            <w:tcW w:type="dxa" w:w="2436"/>
          </w:tcPr>
          <w:p>
            <w:r>
              <w:t>S1.1, S1.2</w:t>
            </w:r>
          </w:p>
        </w:tc>
      </w:tr>
      <w:tr>
        <w:tc>
          <w:tcPr>
            <w:tcW w:type="dxa" w:w="2436"/>
          </w:tcPr>
          <w:p>
            <w:r>
              <w:t>E2 — Dépôt de réclamation</w:t>
            </w:r>
          </w:p>
        </w:tc>
        <w:tc>
          <w:tcPr>
            <w:tcW w:type="dxa" w:w="2436"/>
          </w:tcPr>
          <w:p>
            <w:r>
              <w:t>Étudiant</w:t>
            </w:r>
          </w:p>
        </w:tc>
        <w:tc>
          <w:tcPr>
            <w:tcW w:type="dxa" w:w="2436"/>
          </w:tcPr>
          <w:p>
            <w:r>
              <w:t>Laouratou</w:t>
            </w:r>
          </w:p>
        </w:tc>
        <w:tc>
          <w:tcPr>
            <w:tcW w:type="dxa" w:w="2436"/>
          </w:tcPr>
          <w:p>
            <w:r>
              <w:t>S2.1 → S2.4</w:t>
            </w:r>
          </w:p>
        </w:tc>
      </w:tr>
      <w:tr>
        <w:tc>
          <w:tcPr>
            <w:tcW w:type="dxa" w:w="2436"/>
          </w:tcPr>
          <w:p>
            <w:r>
              <w:t>E3 — Suivi des réclamations</w:t>
            </w:r>
          </w:p>
        </w:tc>
        <w:tc>
          <w:tcPr>
            <w:tcW w:type="dxa" w:w="2436"/>
          </w:tcPr>
          <w:p>
            <w:r>
              <w:t>Étudiant</w:t>
            </w:r>
          </w:p>
        </w:tc>
        <w:tc>
          <w:tcPr>
            <w:tcW w:type="dxa" w:w="2436"/>
          </w:tcPr>
          <w:p>
            <w:r>
              <w:t>Laouratou</w:t>
            </w:r>
          </w:p>
        </w:tc>
        <w:tc>
          <w:tcPr>
            <w:tcW w:type="dxa" w:w="2436"/>
          </w:tcPr>
          <w:p>
            <w:r>
              <w:t>S3.1, S3.2</w:t>
            </w:r>
          </w:p>
        </w:tc>
      </w:tr>
      <w:tr>
        <w:tc>
          <w:tcPr>
            <w:tcW w:type="dxa" w:w="2436"/>
          </w:tcPr>
          <w:p>
            <w:r>
              <w:t>E4 — Traitement et administration</w:t>
            </w:r>
          </w:p>
        </w:tc>
        <w:tc>
          <w:tcPr>
            <w:tcW w:type="dxa" w:w="2436"/>
          </w:tcPr>
          <w:p>
            <w:r>
              <w:t>Admin</w:t>
            </w:r>
          </w:p>
        </w:tc>
        <w:tc>
          <w:tcPr>
            <w:tcW w:type="dxa" w:w="2436"/>
          </w:tcPr>
          <w:p>
            <w:r>
              <w:t>Sadjo</w:t>
            </w:r>
          </w:p>
        </w:tc>
        <w:tc>
          <w:tcPr>
            <w:tcW w:type="dxa" w:w="2436"/>
          </w:tcPr>
          <w:p>
            <w:r>
              <w:t>S4.1 → S4.5</w:t>
            </w:r>
          </w:p>
        </w:tc>
      </w:tr>
      <w:tr>
        <w:tc>
          <w:tcPr>
            <w:tcW w:type="dxa" w:w="2436"/>
          </w:tcPr>
          <w:p>
            <w:r>
              <w:t>E5 — Authentification et sécurité</w:t>
            </w:r>
          </w:p>
        </w:tc>
        <w:tc>
          <w:tcPr>
            <w:tcW w:type="dxa" w:w="2436"/>
          </w:tcPr>
          <w:p>
            <w:r>
              <w:t>Commun</w:t>
            </w:r>
          </w:p>
        </w:tc>
        <w:tc>
          <w:tcPr>
            <w:tcW w:type="dxa" w:w="2436"/>
          </w:tcPr>
          <w:p>
            <w:r>
              <w:t>Laouratou</w:t>
            </w:r>
          </w:p>
        </w:tc>
        <w:tc>
          <w:tcPr>
            <w:tcW w:type="dxa" w:w="2436"/>
          </w:tcPr>
          <w:p>
            <w:r>
              <w:t>S5.1</w:t>
            </w:r>
          </w:p>
        </w:tc>
      </w:tr>
      <w:tr>
        <w:tc>
          <w:tcPr>
            <w:tcW w:type="dxa" w:w="2436"/>
          </w:tcPr>
          <w:p>
            <w:r>
              <w:t>E6 — Qualité, tests et livraison</w:t>
            </w:r>
          </w:p>
        </w:tc>
        <w:tc>
          <w:tcPr>
            <w:tcW w:type="dxa" w:w="2436"/>
          </w:tcPr>
          <w:p>
            <w:r>
              <w:t>Commun</w:t>
            </w:r>
          </w:p>
        </w:tc>
        <w:tc>
          <w:tcPr>
            <w:tcW w:type="dxa" w:w="2436"/>
          </w:tcPr>
          <w:p>
            <w:r>
              <w:t>Sadjo</w:t>
            </w:r>
          </w:p>
        </w:tc>
        <w:tc>
          <w:tcPr>
            <w:tcW w:type="dxa" w:w="2436"/>
          </w:tcPr>
          <w:p>
            <w:r>
              <w:t>S6.1, S6.2</w:t>
            </w:r>
          </w:p>
        </w:tc>
      </w:tr>
    </w:tbl>
    <w:p/>
    <w:p/>
    <w:p>
      <w:r>
        <w:rPr>
          <w:sz w:val="22"/>
        </w:rPr>
        <w:t>Date : ........................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Laouratou BAH</w:t>
            </w:r>
          </w:p>
        </w:tc>
        <w:tc>
          <w:tcPr>
            <w:tcW w:type="dxa" w:w="4873"/>
          </w:tcPr>
          <w:p>
            <w:r>
              <w:t>Sadjo SIDIBÉ</w:t>
            </w:r>
          </w:p>
        </w:tc>
      </w:tr>
      <w:tr>
        <w:tc>
          <w:tcPr>
            <w:tcW w:type="dxa" w:w="4873"/>
          </w:tcPr>
          <w:p>
            <w:r>
              <w:t>Signature :</w:t>
              <w:br/>
              <w:br/>
              <w:br/>
            </w:r>
          </w:p>
        </w:tc>
        <w:tc>
          <w:tcPr>
            <w:tcW w:type="dxa" w:w="4873"/>
          </w:tcPr>
          <w:p>
            <w:r>
              <w:t>Signature :</w:t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