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496"/>
          <w:sz w:val="16"/>
          <w:szCs w:val="16"/>
        </w:rPr>
        <w:t xml:space="preserve">ASSIGNMENT 2 OF 2 · REQUIRED COVER SHEET · DUE SUNDAY 13 SEPTEMBER 2026, 23:59 SGT</w:t>
      </w:r>
    </w:p>
    <w:p>
      <w:pPr>
        <w:spacing w:after="26"/>
      </w:pPr>
      <w:r>
        <w:rPr>
          <w:b/>
          <w:bCs/>
          <w:color w:val="1F3864"/>
          <w:sz w:val="38"/>
          <w:szCs w:val="38"/>
        </w:rPr>
        <w:t xml:space="preserve">A2 Team Self-Appraisal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>Team ID: B-9     Section: B     Problem chosen (A / B): A</w:t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>Members: Jiang Dong, Liu Weiqi, Niu Duoer, Shi Zhiyun, Ubaidulla Asmitha, Xu Liangjuan</w:t>
      </w:r>
      <w:r>
        <w:rPr>
          <w:sz w:val="19"/>
          <w:szCs w:val="19"/>
        </w:rPr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>Repository URL: https://github.com/Lapis0x0/pe6201-claims-agent     Date: ____________</w:t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</w:p>
    <w:p>
      <w:pPr>
        <w:spacing w:after="60"/>
      </w:pPr>
      <w:r>
        <w:rPr>
          <w:color w:val="595959"/>
          <w:sz w:val="18"/>
          <w:szCs w:val="18"/>
        </w:rPr>
        <w:t xml:space="preserve">ONE SHEET PER TEAM, not one per member. Complete it together, in one sitting, after the work is done — it takes about twenty minutes. CHECK IT INTO YOUR A2 SUBMISSION FOLDER alongside the rest of the submission, by the A2 deadline of Sunday 13 September 2026, 23:59 SGT; do not email it. This sheet is required and is not graded, but a missing self-appraisal is treated as an incomplete submission.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1 · Rate your team against Rubric 1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Circle or mark one band per criterion. Be honest rather than generous — a team that marks itself Excellent everywhere tells the marker nothing, and a large gap between your rating and the marker's is the single most useful thing on this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400"/>
        <w:gridCol w:w="1400"/>
        <w:gridCol w:w="1400"/>
        <w:gridCol w:w="1400"/>
      </w:tblGrid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Criterion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Weight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Excellent (4)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Proficient (3)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Developing (2)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Limited (1)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Conceptual Understanding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r>
              <w:t>X (suggested — confirm as a team)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Technical Execution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vAlign w:val="center"/>
          </w:tcPr>
          <w:p>
            <w:r>
              <w:t>X (suggested — confirm as a team)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Reasoning &amp; Justification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r>
              <w:t>X (suggested — confirm as a team)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Communication &amp; Clarity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r>
              <w:t>X (suggested — confirm as a team)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2 · The one decision you would defend hardest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Name a single design decision — a tool you cut, the autonomy setting you chose, the dependency rule behind your parallel calls, the model you settled on — and say what evidence made it. Four or five sentences.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>The four-fact duplicate match in check_duplicate (member, hospital, date of service, AND line items — not just the first three). Evidence, not instinct: case CLM-8933's own design note says a weaker match would miss the real duplicate among three near-misses in decided_claims, and the paired case CLM-8960 shows a three-fact match would also wrongly refuse a legitimate approval. D7's second reproduced failure demonstrates exactly this: weakening the match back to three facts makes CLM-8960 collide with an unrelated prior claim and wrongly escalate it. It's one of D2(b)'s four poka-yoke moves, and the only one with two named cases and a working/broken/restored failure behind it, not just an assertion of good design.</w:t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3 · The one you are least sure about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team has one. Naming it costs you nothing here and it is often the most interesting thing in the submission.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>Our judgement-check pass rate. Two independent graders scored twenty live decision records against a committed rubric: 2/20 passed initially, and a citation-requirement fix (Section 6) lifted that to 9/20 — real progress, but 11/20 still fail, mostly on near-duplicate reasoning and facts the rubric checks for that fall outside our schema. Outcome accuracy (the code check) is high; explanation quality is not, and we don't yet have a general fix for the gap, only a documented mitigation and two new failure modes the fix itself exposed.</w:t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4 · Your headline numbers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Copy these from your repository. If any cell is empty, that is worth noticing before you submit rather than after.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000"/>
        <w:gridCol w:w="1600"/>
      </w:tblGrid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Evaluation cases</w:t>
            </w:r>
          </w:p>
        </w:tc>
        <w:tc>
          <w:tcPr>
            <w:tcW w:type="dxa" w:w="1600"/>
            <w:vAlign w:val="center"/>
          </w:tcPr>
          <w:p>
            <w:r>
              <w:t>50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Guardrail cases</w:t>
            </w:r>
          </w:p>
        </w:tc>
        <w:tc>
          <w:tcPr>
            <w:tcW w:type="dxa" w:w="1600"/>
            <w:vAlign w:val="center"/>
          </w:tcPr>
          <w:p>
            <w:r>
              <w:t>12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Negative cases</w:t>
            </w:r>
          </w:p>
        </w:tc>
        <w:tc>
          <w:tcPr>
            <w:tcW w:type="dxa" w:w="1600"/>
            <w:vAlign w:val="center"/>
          </w:tcPr>
          <w:p>
            <w:r>
              <w:t>20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Live runs per model (D4)</w:t>
            </w:r>
          </w:p>
        </w:tc>
        <w:tc>
          <w:tcPr>
            <w:tcW w:type="dxa" w:w="1600"/>
            <w:vAlign w:val="center"/>
          </w:tcPr>
          <w:p>
            <w:r>
              <w:t>90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Pass rate (best model)</w:t>
            </w:r>
          </w:p>
        </w:tc>
        <w:tc>
          <w:tcPr>
            <w:tcW w:type="dxa" w:w="1600"/>
            <w:vAlign w:val="center"/>
          </w:tcPr>
          <w:p>
            <w:r>
              <w:t>98.9% (DeepSeek V4 Flash, 89/90)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Pass rate on negatives only</w:t>
            </w:r>
          </w:p>
        </w:tc>
        <w:tc>
          <w:tcPr>
            <w:tcW w:type="dxa" w:w="1600"/>
            <w:vAlign w:val="center"/>
          </w:tcPr>
          <w:p>
            <w:r>
              <w:t>98.3% (DeepSeek, 59/60)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Models in the battery</w:t>
            </w:r>
          </w:p>
        </w:tc>
        <w:tc>
          <w:tcPr>
            <w:tcW w:type="dxa" w:w="1600"/>
            <w:vAlign w:val="center"/>
          </w:tcPr>
          <w:p>
            <w:r>
              <w:t>5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Median turns per run</w:t>
            </w:r>
          </w:p>
        </w:tc>
        <w:tc>
          <w:tcPr>
            <w:tcW w:type="dxa" w:w="1600"/>
            <w:vAlign w:val="center"/>
          </w:tcPr>
          <w:p>
            <w:r>
              <w:t>5 (scripted, 50-case set)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The live model YOU ran (D5b)</w:t>
            </w:r>
          </w:p>
        </w:tc>
        <w:tc>
          <w:tcPr>
            <w:tcW w:type="dxa" w:w="1600"/>
            <w:vAlign w:val="center"/>
          </w:tcPr>
          <w:p>
            <w:r>
              <w:t>v1 pass, on openai/gpt-4o-mini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Your pass rate on it</w:t>
            </w:r>
          </w:p>
        </w:tc>
        <w:tc>
          <w:tcPr>
            <w:tcW w:type="dxa" w:w="1600"/>
            <w:vAlign w:val="center"/>
          </w:tcPr>
          <w:p>
            <w:r>
              <w:t>64.4% (58/90, v1)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Turns saved by parallel calls</w:t>
            </w:r>
          </w:p>
        </w:tc>
        <w:tc>
          <w:tcPr>
            <w:tcW w:type="dxa" w:w="1600"/>
            <w:vAlign w:val="center"/>
          </w:tcPr>
          <w:p>
            <w:r>
              <w:t>69 (324 -&gt; 255, -21.3%)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Cost per successful task</w:t>
            </w:r>
          </w:p>
        </w:tc>
        <w:tc>
          <w:tcPr>
            <w:tcW w:type="dxa" w:w="1600"/>
            <w:vAlign w:val="center"/>
          </w:tcPr>
          <w:p>
            <w:r>
              <w:t>$0.0857 (DeepSeek, best model)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Monthly cost at problem volume</w:t>
            </w:r>
          </w:p>
        </w:tc>
        <w:tc>
          <w:tcPr>
            <w:tcW w:type="dxa" w:w="1600"/>
            <w:vAlign w:val="center"/>
          </w:tcPr>
          <w:p>
            <w:r>
              <w:t>$690 (DeepSeek, 8,000 claims/month)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Break-even success rate</w:t>
            </w:r>
          </w:p>
        </w:tc>
        <w:tc>
          <w:tcPr>
            <w:tcW w:type="dxa" w:w="1600"/>
            <w:vAlign w:val="center"/>
          </w:tcPr>
          <w:p>
            <w:r>
              <w:t>98.9% (what every alternative must reach to match DeepSeek's cost)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Tokens per call — v1 → v2</w:t>
            </w:r>
          </w:p>
        </w:tc>
        <w:tc>
          <w:tcPr>
            <w:tcW w:type="dxa" w:w="1600"/>
            <w:vAlign w:val="center"/>
          </w:tcPr>
          <w:p>
            <w:r>
              <w:t>2,176 -&gt; 2,264 (full system prompt, gpt-4o-mini)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Pass rate — v1 → v2, same model</w:t>
            </w:r>
          </w:p>
        </w:tc>
        <w:tc>
          <w:tcPr>
            <w:tcW w:type="dxa" w:w="1600"/>
            <w:vAlign w:val="center"/>
          </w:tcPr>
          <w:p>
            <w:r>
              <w:t>64.4% -&gt; 66.7% (gpt-4o-mini)</w:t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Every member runs one live model, or the v1 pass — three models is the floor, N-1 for a team of N is the shape expected. Name YOURS. If you ran the v1 pass, write "v1 pass" and the model it sat on.</w:t>
      </w:r>
    </w:p>
    <w:p>
      <w:pPr>
        <w:spacing w:after="40"/>
      </w:pPr>
      <w:r>
        <w:rPr>
          <w:color w:val="595959"/>
          <w:sz w:val="16"/>
          <w:szCs w:val="16"/>
        </w:rPr>
        <w:t xml:space="preserve">The last row is D2(b): the descriptor rewrite you measured. Two numbers each, before and after, on ONE model. An empty row here means the rewrite was never measured.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5 · Contribution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Who owned what. This should match CONTRIBUTIONS.md and the commit history. It is not used to scale marks — the team receives the team score — but it is one of the two signals the non-contribution clause relies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000"/>
      </w:tblGrid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Member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Owned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Also contributed to</w:t>
            </w:r>
          </w:p>
        </w:tc>
      </w:tr>
      <w:tr>
        <w:tc>
          <w:tcPr>
            <w:tcW w:type="dxa" w:w="2800"/>
            <w:vAlign w:val="center"/>
          </w:tcPr>
          <w:p>
            <w:r>
              <w:t>SHI ZHIYUN</w:t>
            </w:r>
          </w:p>
        </w:tc>
        <w:tc>
          <w:tcPr>
            <w:tcW w:type="dxa" w:w="3400"/>
            <w:vAlign w:val="center"/>
          </w:tcPr>
          <w:p>
            <w:r>
              <w:t>Agent architecture: ReAct loop, code guardrails, gated action, scripted backend, trajectories, harness, live-battery configuration.</w:t>
            </w:r>
          </w:p>
        </w:tc>
        <w:tc>
          <w:tcPr>
            <w:tcW w:type="dxa" w:w="3000"/>
            <w:vAlign w:val="center"/>
          </w:tcPr>
          <w:p>
            <w:r>
              <w:t>D2(c) work with Ubaidulla Asmitha</w:t>
            </w:r>
          </w:p>
        </w:tc>
      </w:tr>
      <w:tr>
        <w:tc>
          <w:tcPr>
            <w:tcW w:type="dxa" w:w="2800"/>
            <w:vAlign w:val="center"/>
          </w:tcPr>
          <w:p>
            <w:r>
              <w:t>UBAIDULLA ASMITHA</w:t>
            </w:r>
          </w:p>
        </w:tc>
        <w:tc>
          <w:tcPr>
            <w:tcW w:type="dxa" w:w="3400"/>
            <w:vAlign w:val="center"/>
          </w:tcPr>
          <w:p>
            <w:r>
              <w:t>Tool layer, six-field descriptor contracts and poka-yoke, D2(a) pruning, D2(b) v1 comparison, notebooks.</w:t>
            </w:r>
          </w:p>
        </w:tc>
        <w:tc>
          <w:tcPr>
            <w:tcW w:type="dxa" w:w="3000"/>
            <w:vAlign w:val="center"/>
          </w:tcPr>
          <w:p>
            <w:r>
              <w:t>D2(c) work with Shi Zhiyun</w:t>
            </w:r>
          </w:p>
        </w:tc>
      </w:tr>
      <w:tr>
        <w:tc>
          <w:tcPr>
            <w:tcW w:type="dxa" w:w="2800"/>
            <w:vAlign w:val="center"/>
          </w:tcPr>
          <w:p>
            <w:r>
              <w:t>JIANG DONG</w:t>
            </w:r>
          </w:p>
        </w:tc>
        <w:tc>
          <w:tcPr>
            <w:tcW w:type="dxa" w:w="3400"/>
            <w:vAlign w:val="center"/>
          </w:tcPr>
          <w:p>
            <w:r>
              <w:t>D0 justification, D3(b) guardrail checklist.</w:t>
            </w:r>
          </w:p>
        </w:tc>
        <w:tc>
          <w:tcPr>
            <w:tcW w:type="dxa" w:w="3000"/>
            <w:vAlign w:val="center"/>
          </w:tcPr>
          <w:p>
            <w:r>
              <w:t>-</w:t>
            </w:r>
          </w:p>
        </w:tc>
      </w:tr>
      <w:tr>
        <w:tc>
          <w:tcPr>
            <w:tcW w:type="dxa" w:w="2800"/>
            <w:vAlign w:val="center"/>
          </w:tcPr>
          <w:p>
            <w:r>
              <w:t>LIU WEIQI</w:t>
            </w:r>
          </w:p>
        </w:tc>
        <w:tc>
          <w:tcPr>
            <w:tcW w:type="dxa" w:w="3400"/>
            <w:vAlign w:val="center"/>
          </w:tcPr>
          <w:p>
            <w:r>
              <w:t>D6 three-layer cost model, four-lever ledger, sensitivity analysis, break-even calculation, cap economics.</w:t>
            </w:r>
          </w:p>
        </w:tc>
        <w:tc>
          <w:tcPr>
            <w:tcW w:type="dxa" w:w="3000"/>
            <w:vAlign w:val="center"/>
          </w:tcPr>
          <w:p>
            <w:r>
              <w:t>-</w:t>
            </w:r>
          </w:p>
        </w:tc>
      </w:tr>
      <w:tr>
        <w:tc>
          <w:tcPr>
            <w:tcW w:type="dxa" w:w="2800"/>
            <w:vAlign w:val="center"/>
          </w:tcPr>
          <w:p>
            <w:r>
              <w:t>NIU DUOER</w:t>
            </w:r>
          </w:p>
        </w:tc>
        <w:tc>
          <w:tcPr>
            <w:tcW w:type="dxa" w:w="3400"/>
            <w:vAlign w:val="center"/>
          </w:tcPr>
          <w:p>
            <w:r>
              <w:t>D4 evaluation set, D7 reproducible failures, case consolidation.</w:t>
            </w:r>
          </w:p>
        </w:tc>
        <w:tc>
          <w:tcPr>
            <w:tcW w:type="dxa" w:w="3000"/>
            <w:vAlign w:val="center"/>
          </w:tcPr>
          <w:p>
            <w:r>
              <w:t>-</w:t>
            </w:r>
          </w:p>
        </w:tc>
      </w:tr>
      <w:tr>
        <w:tc>
          <w:tcPr>
            <w:tcW w:type="dxa" w:w="2800"/>
            <w:vAlign w:val="center"/>
          </w:tcPr>
          <w:p>
            <w:r>
              <w:t>XU LIANGJUAN</w:t>
            </w:r>
          </w:p>
        </w:tc>
        <w:tc>
          <w:tcPr>
            <w:tcW w:type="dxa" w:w="3400"/>
            <w:vAlign w:val="center"/>
          </w:tcPr>
          <w:p>
            <w:r>
              <w:t>Final report and demonstration, D2(b) write-up support, live-model evidence.</w:t>
            </w:r>
          </w:p>
        </w:tc>
        <w:tc>
          <w:tcPr>
            <w:tcW w:type="dxa" w:w="3000"/>
            <w:vAlign w:val="center"/>
          </w:tcPr>
          <w:p>
            <w:r>
              <w:t>-</w:t>
            </w:r>
          </w:p>
        </w:tc>
      </w:tr>
      <w:tr>
        <w:tc>
          <w:tcPr>
            <w:tcW w:type="dxa" w:w="2800"/>
            <w:vAlign w:val="center"/>
          </w:tcPr>
          <w:p>
            <w:r>
              <w:t>Everyone</w:t>
            </w:r>
          </w:p>
        </w:tc>
        <w:tc>
          <w:tcPr>
            <w:tcW w:type="dxa" w:w="3400"/>
            <w:vAlign w:val="center"/>
          </w:tcPr>
          <w:p>
            <w:r>
              <w:t>Five to eight evaluation cases each.</w:t>
            </w:r>
          </w:p>
        </w:tc>
        <w:tc>
          <w:tcPr>
            <w:tcW w:type="dxa" w:w="3000"/>
            <w:vAlign w:val="center"/>
          </w:tcPr>
          <w:p>
            <w:r>
              <w:t>Final live measurements / demonstration</w:t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Peer rating is separate from this sheet and comes AFTER it: NTU's Group Project peer-review function opens 13 September and closes Wednesday 16 September, 23:59 SGT. Each member completes it individually in NTULearn. It is a participation requirement.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6 · Declaration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member ticks every box. One sheet, signed by the team.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Every member of this team can explain every block of code we submit — what it does, and why it is there. (Block, not line: this is about function, not syntax.)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The pass rates, token counts, turn counts and costs we report are measurements we ran ourselves. None of them were supplied by an AI assistant.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Our submitted harness runs end to end on the scripted backend, with no key and no network.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We kept every fixture record we were given, unedited, and every case in our evaluation set carries a label. check_my_data.py passes on our data.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No part of this submission is drawn from any member's End-of-Course Project, and no part of it will be submitted as part of one.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This is our own work, and all sources, tools and assistance are attributed.</w:t>
      </w:r>
    </w:p>
    <w:p>
      <w:pPr>
        <w:spacing w:before="60" w:after="40"/>
      </w:pPr>
      <w:r>
        <w:rPr>
          <w:b/>
          <w:bCs/>
          <w:color w:val="1F3864"/>
          <w:sz w:val="19"/>
          <w:szCs w:val="19"/>
        </w:rPr>
        <w:t xml:space="preserve">Signed on behalf of the team: </w:t>
      </w:r>
      <w:r>
        <w:rPr>
          <w:sz w:val="19"/>
          <w:szCs w:val="19"/>
        </w:rPr>
        <w:t xml:space="preserve">______________________________     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 xml:space="preserve">________________</w:t>
      </w:r>
    </w:p>
    <w:p>
      <w:pPr>
        <w:spacing w:before="170" w:after="40"/>
      </w:pPr>
      <w:r>
        <w:rPr>
          <w:b/>
          <w:bCs/>
          <w:color w:val="1F3864"/>
          <w:sz w:val="20"/>
          <w:szCs w:val="20"/>
        </w:rPr>
        <w:t xml:space="preserve">How this is used</w:t>
      </w:r>
    </w:p>
    <w:p>
      <w:pPr>
        <w:spacing w:after="40"/>
      </w:pPr>
      <w:r>
        <w:rPr>
          <w:color w:val="1A1A1A"/>
          <w:sz w:val="18"/>
          <w:szCs w:val="18"/>
        </w:rPr>
        <w:t xml:space="preserve">This sheet is not marked and cannot lower your grade. It is read alongside your submission for two reasons. First, how a team reads its own work is usually the fastest route to feedback that is actually useful. Second, where a team's self-rating and the marking diverge sharply, that gap gets an explicit comment — which is where the most useful feedback tends to sit.</w:t>
      </w:r>
    </w:p>
    <w:sectPr>
      <w:headerReference w:type="default" r:id="rId7"/>
      <w:footerReference w:type="default" r:id="rId8"/>
      <w:headerReference w:type="first" r:id="rId10"/>
      <w:headerReference w:type="even" r:id="rId11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A" w:sz="6"/>
      </w:pBdr>
      <w:spacing w:before="40"/>
    </w:pPr>
    <w:r>
      <w:rPr>
        <w:color w:val="595959"/>
        <w:sz w:val="15"/>
        <w:szCs w:val="15"/>
      </w:rPr>
      <w:t xml:space="preserve"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A" w:sz="6"/>
      </w:pBdr>
      <w:spacing w:after="60"/>
    </w:pPr>
    <w:r>
      <w:rPr>
        <w:b/>
        <w:bCs/>
        <w:color w:val="1F3864"/>
        <w:sz w:val="15"/>
        <w:szCs w:val="15"/>
      </w:rPr>
      <w:t xml:space="preserve">PE6201 · EMERGING AI TECHNOLOGIES</w:t>
    </w:r>
    <w:r>
      <w:ptab w:alignment="right" w:relativeTo="margin" w:leader="none"/>
    </w:r>
    <w:r>
      <w:rPr>
        <w:color w:val="595959"/>
        <w:sz w:val="15"/>
        <w:szCs w:val="15"/>
      </w:rPr>
      <w:t>A2 · Applied AI System · Team Self-Appraisal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2026-08-10T07:13:44.004Z</dcterms:created>
  <dcterms:modified xsi:type="dcterms:W3CDTF">2026-08-10T07:13:44.004Z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