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/>
          <w:snapToGrid w:val="0"/>
          <w:kern w:val="0"/>
          <w:sz w:val="24"/>
        </w:rPr>
        <w:t>六、网络综合应用（30分）</w:t>
      </w:r>
    </w:p>
    <w:p>
      <w:pPr>
        <w:numPr>
          <w:ilvl w:val="0"/>
          <w:numId w:val="0"/>
        </w:num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蓝色部分点开拓扑结构，黑色用说的就好！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1.拿到拓扑，进行分析，两台三层交换机，两台路由器，一台二层交换机，连接了一台PC1和一台FTP服务器，另一台三层交换机连接了一台打印服务器。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2.首先配置好网段的地址，如图所示，对终端设备进行DHCP地址自动获取，在两个三层之间配置了端口聚合模式，以便于备份。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点开S3750A和S3750B查看端口聚合的配置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47687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819650" cy="2238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3.在三层交换机上配置VLAN IF的IP地址，为终端设备做基础。终端以及两台三层交换机以静态路由的模式互联互通。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点开S3750A和S3750B相应的VLAN和静态路由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color w:val="0000FF"/>
          <w:sz w:val="24"/>
          <w:szCs w:val="24"/>
          <w:lang w:val="en-GB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GB" w:eastAsia="zh-CN"/>
        </w:rPr>
        <w:t>Display 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color w:val="0000FF"/>
          <w:sz w:val="24"/>
          <w:szCs w:val="24"/>
          <w:lang w:val="en-GB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GB" w:eastAsia="zh-CN"/>
        </w:rPr>
        <w:t>Display ip routing-table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napToGrid w:val="0"/>
          <w:kern w:val="0"/>
          <w:sz w:val="24"/>
        </w:rPr>
      </w:pPr>
      <w:r>
        <w:drawing>
          <wp:inline distT="0" distB="0" distL="114300" distR="114300">
            <wp:extent cx="5730240" cy="1280795"/>
            <wp:effectExtent l="0" t="0" r="3810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2145" cy="772795"/>
            <wp:effectExtent l="0" t="0" r="1905" b="825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color w:val="0000FF"/>
          <w:sz w:val="24"/>
          <w:szCs w:val="24"/>
          <w:lang w:val="en-GB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4.两台路由器之间采用OSPF协议互联互通，其中RSR20B路由器是通向外网的，则需要配置NAT。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点开RSR20B，找到ACL2000和对应的接口配置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napToGrid w:val="0"/>
          <w:kern w:val="0"/>
          <w:sz w:val="24"/>
        </w:rPr>
      </w:pPr>
      <w:r>
        <w:drawing>
          <wp:inline distT="0" distB="0" distL="114300" distR="114300">
            <wp:extent cx="49815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napToGrid w:val="0"/>
          <w:kern w:val="0"/>
          <w:sz w:val="24"/>
        </w:rPr>
      </w:pPr>
      <w:r>
        <w:drawing>
          <wp:inline distT="0" distB="0" distL="114300" distR="114300">
            <wp:extent cx="42005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napToGrid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snapToGrid w:val="0"/>
          <w:kern w:val="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napToGrid w:val="0"/>
          <w:kern w:val="0"/>
          <w:sz w:val="24"/>
          <w:szCs w:val="24"/>
        </w:rPr>
        <w:t>允许内部网络的主机只能访问外部Web服务器的Web服务，并开放PC机FTP访问服务，不允许访问Web服务器上的其它服务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点开RSR20B，找到ACL3000和对应的接口配置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napToGrid w:val="0"/>
          <w:kern w:val="0"/>
          <w:sz w:val="24"/>
        </w:rPr>
      </w:pPr>
      <w:r>
        <w:drawing>
          <wp:inline distT="0" distB="0" distL="114300" distR="114300">
            <wp:extent cx="5732145" cy="844550"/>
            <wp:effectExtent l="0" t="0" r="19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6800" cy="1095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宋体" w:hAnsi="宋体"/>
          <w:snapToGrid w:val="0"/>
          <w:kern w:val="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0AA4"/>
    <w:rsid w:val="10D43B35"/>
    <w:rsid w:val="11F671A7"/>
    <w:rsid w:val="137662AD"/>
    <w:rsid w:val="195552E5"/>
    <w:rsid w:val="38B16D52"/>
    <w:rsid w:val="75836FE6"/>
    <w:rsid w:val="7E4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2020-12-24T01:34:00Z</dcterms:created>
  <dc:creator>Apple</dc:creator>
  <cp:lastModifiedBy>lzayo</cp:lastModifiedBy>
  <dcterms:modified xsi:type="dcterms:W3CDTF">2020-12-26T12:54:21Z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