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AE" w:rsidRDefault="003762C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</w:t>
      </w:r>
      <w:r w:rsidR="006A1BD3" w:rsidRPr="006A1BD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[30]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. </w:t>
      </w: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Общая характеристика экологической деятельности организации приведена в таблице </w:t>
      </w:r>
      <w:r w:rsidRPr="00B04D7D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.1.</w:t>
      </w:r>
    </w:p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7.1 - Общая характеристика экологической деятельности организации</w:t>
      </w:r>
    </w:p>
    <w:tbl>
      <w:tblPr>
        <w:tblStyle w:val="10"/>
        <w:tblW w:w="9639" w:type="dxa"/>
        <w:tblLook w:val="04A0" w:firstRow="1" w:lastRow="0" w:firstColumn="1" w:lastColumn="0" w:noHBand="0" w:noVBand="1"/>
      </w:tblPr>
      <w:tblGrid>
        <w:gridCol w:w="4972"/>
        <w:gridCol w:w="4667"/>
      </w:tblGrid>
      <w:tr w:rsidR="00AD11AE">
        <w:trPr>
          <w:trHeight w:val="466"/>
        </w:trPr>
        <w:tc>
          <w:tcPr>
            <w:tcW w:w="4972" w:type="dxa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4667" w:type="dxa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AD11AE">
        <w:trPr>
          <w:trHeight w:val="867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Нормативы допустимых выбросов (НДВ) (из экологического паспорта) </w:t>
            </w:r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  <w:proofErr w:type="spellEnd"/>
          </w:p>
          <w:p w:rsidR="00AD11AE" w:rsidRDefault="00AD11A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1AE" w:rsidRPr="006A1BD3">
        <w:trPr>
          <w:trHeight w:val="880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Объем сброса сточных вод, м3 (из экологического паспорта)</w:t>
            </w:r>
          </w:p>
        </w:tc>
        <w:tc>
          <w:tcPr>
            <w:tcW w:w="4667" w:type="dxa"/>
            <w:vAlign w:val="center"/>
          </w:tcPr>
          <w:p w:rsidR="00AD11AE" w:rsidRPr="00D75015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0,1</w:t>
            </w:r>
            <w:r w:rsid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/день</w:t>
            </w:r>
            <w:r w:rsid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из расчёта на 1 работника</w:t>
            </w:r>
          </w:p>
        </w:tc>
      </w:tr>
      <w:tr w:rsidR="00AD11AE" w:rsidRPr="006A1BD3">
        <w:trPr>
          <w:trHeight w:val="880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 w:rsidR="00AD11AE" w:rsidRPr="00D75015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0,08м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 день</w:t>
            </w:r>
            <w:r w:rsidR="00D750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раздельный сбор отходов, вывоз по графику</w:t>
            </w:r>
          </w:p>
        </w:tc>
      </w:tr>
      <w:tr w:rsidR="00AD11AE">
        <w:trPr>
          <w:trHeight w:val="518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 w:rsidR="00AD11AE" w:rsidRPr="00D75015" w:rsidRDefault="00D7501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Городские очистные сооружения</w:t>
            </w:r>
          </w:p>
        </w:tc>
      </w:tr>
      <w:tr w:rsidR="00AD11AE" w:rsidRPr="006A1BD3">
        <w:trPr>
          <w:trHeight w:val="1331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 w:rsidR="00AD11AE" w:rsidRPr="00B04D7D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Раздельный сбор, складирование в контейнер и вывоз, сдача макулатуры, ежегодно</w:t>
            </w:r>
          </w:p>
        </w:tc>
      </w:tr>
      <w:tr w:rsidR="00AD11AE">
        <w:trPr>
          <w:trHeight w:val="902"/>
        </w:trPr>
        <w:tc>
          <w:tcPr>
            <w:tcW w:w="4972" w:type="dxa"/>
          </w:tcPr>
          <w:p w:rsidR="00AD11AE" w:rsidRDefault="003762C9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энергосбережению</w:t>
            </w:r>
            <w:proofErr w:type="spellEnd"/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Рациональное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электроэнергии</w:t>
            </w:r>
            <w:proofErr w:type="spellEnd"/>
          </w:p>
        </w:tc>
      </w:tr>
    </w:tbl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7.2 содержит экологические аспекты деятельности и виды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воздействия экологических аспектов на окружающую среду, а также возможные мероприятия по сокращению воздействия</w:t>
      </w:r>
      <w:r w:rsidR="006A1BD3" w:rsidRPr="006A1BD3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[31]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7.2 - Экологические аспекты деятельности и виды воздействия экологических аспектов на окружающую среду</w:t>
      </w:r>
    </w:p>
    <w:tbl>
      <w:tblPr>
        <w:tblStyle w:val="3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536"/>
      </w:tblGrid>
      <w:tr w:rsidR="00AD11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Экологический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аспект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Предложения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сокращению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воздействия</w:t>
            </w:r>
            <w:proofErr w:type="spellEnd"/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энергии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400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40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Рациональное использование электроэнергии</w:t>
            </w:r>
            <w:r w:rsidR="00B0440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 использование САУ осветительными приборами, датчиков движения</w:t>
            </w:r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Отработанные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лампы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тяж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лыми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металлами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Сортировка, централизованный сбор и утилизация</w:t>
            </w:r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атмосферы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Рационально использование, мероприятия по энергосбережению</w:t>
            </w:r>
            <w:r w:rsidR="00B0440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 использование ПЭВМ класса А+++</w:t>
            </w:r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ЭМП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работающих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Соблюдение режима труда, современное оборудование</w:t>
            </w:r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Информация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400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анализаторов</w:t>
            </w:r>
            <w:proofErr w:type="spellEnd"/>
            <w:r w:rsidR="00B044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 xml:space="preserve">, перерасход </w:t>
            </w:r>
            <w:proofErr w:type="spellStart"/>
            <w:r w:rsidR="00B044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энерии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Более эффективные системы поиска информации</w:t>
            </w:r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рдые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отходы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производства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Раздельный сбор. Переработка вторичного сырья</w:t>
            </w:r>
          </w:p>
        </w:tc>
      </w:tr>
      <w:tr w:rsidR="00AD11AE" w:rsidRPr="006A1BD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гидросферы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Установка сч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тчика, фильтра, использование рециркуляции бытовой воды</w:t>
            </w:r>
          </w:p>
        </w:tc>
      </w:tr>
    </w:tbl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>Схема материальных потоков при работе с веб-сервисом представлена ниже (рисунок 7.1).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lastRenderedPageBreak/>
        <w:t>Компьютерная техника состоит из разных деталей, которые могут негативно 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>что приводит к гибели живых организмов.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center"/>
        <w:textAlignment w:val="baseline"/>
      </w:pPr>
      <w:r>
        <w:rPr>
          <w:noProof/>
        </w:rP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sz w:val="28"/>
          <w:szCs w:val="28"/>
          <w:lang w:val="ru-RU" w:eastAsia="ru-RU"/>
        </w:rPr>
        <w:t>Рисунок 7.1 - Схема материальных потоков при работе с веб-сервисом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образования». В соответствии с </w:t>
      </w:r>
      <w:proofErr w:type="spellStart"/>
      <w:r w:rsidRPr="00B04D7D">
        <w:rPr>
          <w:rFonts w:ascii="Times New Roman" w:hAnsi="Times New Roman"/>
          <w:sz w:val="28"/>
          <w:szCs w:val="28"/>
          <w:lang w:val="ru-RU" w:eastAsia="ru-RU"/>
        </w:rPr>
        <w:t>пп</w:t>
      </w:r>
      <w:proofErr w:type="spellEnd"/>
      <w:r w:rsidRPr="00B04D7D">
        <w:rPr>
          <w:rFonts w:ascii="Times New Roman" w:hAnsi="Times New Roman"/>
          <w:sz w:val="28"/>
          <w:szCs w:val="28"/>
          <w:lang w:val="ru-RU" w:eastAsia="ru-RU"/>
        </w:rPr>
        <w:t>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видам.»</w:t>
      </w:r>
      <w:r w:rsidR="006A1BD3" w:rsidRPr="006A1BD3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6A1BD3">
        <w:rPr>
          <w:rFonts w:ascii="Times New Roman" w:hAnsi="Times New Roman"/>
          <w:sz w:val="28"/>
          <w:szCs w:val="28"/>
          <w:lang w:eastAsia="ru-RU"/>
        </w:rPr>
        <w:t>[32]</w:t>
      </w:r>
      <w:bookmarkStart w:id="0" w:name="_GoBack"/>
      <w:bookmarkEnd w:id="0"/>
      <w:r w:rsidRPr="00B04D7D"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E65BA2" w:rsidRPr="00B04D7D" w:rsidRDefault="00E65BA2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E65BA2">
        <w:rPr>
          <w:rFonts w:ascii="Times New Roman" w:hAnsi="Times New Roman"/>
          <w:sz w:val="28"/>
          <w:szCs w:val="28"/>
          <w:lang w:val="ru-RU" w:eastAsia="ru-RU"/>
        </w:rPr>
        <w:t xml:space="preserve">Для правильной утилизации компьютерной техники необходимо соблюдать последовательность технологии. Разбор обязательно осуществляется опытным специалистом в целях сохранения целостности </w:t>
      </w:r>
      <w:r w:rsidRPr="00E65BA2">
        <w:rPr>
          <w:rFonts w:ascii="Times New Roman" w:hAnsi="Times New Roman"/>
          <w:sz w:val="28"/>
          <w:szCs w:val="28"/>
          <w:lang w:val="ru-RU" w:eastAsia="ru-RU"/>
        </w:rPr>
        <w:lastRenderedPageBreak/>
        <w:t>компонентов. Далее выполняется сортировка каждой запчасти. Затем назначается алгоритм переработки, который осуществляется в специальном помещении. Если задачу по утилизации на себя берёт частная компания, то она должна обладать специальным оборудованием, знать алгоритм технологии переработки и быть зарегистрирована в реестре. Особое внимание необходимо уделить металлическим компонентам, которые могут использоваться повторно. Пластиковые детали сортируются по цвету и типу пластмассы. Стекло отправляется на аффинажное предприятие. Сдавать компьютер на металлолом невыгодно – лучше воспользоваться услугами специализированной организации [</w:t>
      </w:r>
      <w:r w:rsidR="006A1BD3" w:rsidRPr="006A1BD3">
        <w:rPr>
          <w:rFonts w:ascii="Times New Roman" w:hAnsi="Times New Roman"/>
          <w:sz w:val="28"/>
          <w:szCs w:val="28"/>
          <w:lang w:val="ru-RU" w:eastAsia="ru-RU"/>
        </w:rPr>
        <w:t>33</w:t>
      </w:r>
      <w:r w:rsidRPr="00E65BA2">
        <w:rPr>
          <w:rFonts w:ascii="Times New Roman" w:hAnsi="Times New Roman"/>
          <w:sz w:val="28"/>
          <w:szCs w:val="28"/>
          <w:lang w:val="ru-RU" w:eastAsia="ru-RU"/>
        </w:rPr>
        <w:t>].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дальнейшая переработка.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На данный момент существует несколько способов утилизации старых компьютеров:</w:t>
      </w:r>
    </w:p>
    <w:p w:rsidR="00AD11AE" w:rsidRPr="00B04D7D" w:rsidRDefault="003762C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найти специализированные фирмы по утилизации, которые вывезут и разберут ПК. При этом они должны иметь соответствующую лицензию, паспорт отходов; обязаны заключать договоры о работе и иметь квалифицированный персонал и технику;</w:t>
      </w:r>
    </w:p>
    <w:p w:rsidR="00AD11AE" w:rsidRPr="00B04D7D" w:rsidRDefault="003762C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сдать в пункты приёма металла;</w:t>
      </w:r>
    </w:p>
    <w:p w:rsidR="00AD11AE" w:rsidRPr="00B04D7D" w:rsidRDefault="003762C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отдать компьютер на запчасти. Стоимость каждого сданного товара может варьироваться в зависимости от сложности его конструкции, количества работающих деталей и расценок, принятых в данной фирме. </w:t>
      </w:r>
    </w:p>
    <w:p w:rsidR="00B04400" w:rsidRDefault="00B04400" w:rsidP="00B0440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Комплектующие компьютерной техники, такие как: видеокарта, материнская плата можно продать на запчасти или сдать на утилизацию специализированным компаниям.</w:t>
      </w:r>
    </w:p>
    <w:p w:rsidR="00B04400" w:rsidRPr="00B04400" w:rsidRDefault="00B04400" w:rsidP="00B0440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Так как к </w:t>
      </w:r>
      <w:r>
        <w:rPr>
          <w:rFonts w:ascii="Times New Roman" w:hAnsi="Times New Roman"/>
          <w:sz w:val="28"/>
          <w:szCs w:val="28"/>
          <w:lang w:eastAsia="ru-RU"/>
        </w:rPr>
        <w:t>web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сервису ест доступ с мобильного телефона имеет смысл рассмотреть утилизацию данного вида техники. 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 xml:space="preserve">Первоначально стоит отталкиваться от состояния смартфона. Если он исправен, то можно продать или </w:t>
      </w:r>
      <w:r>
        <w:rPr>
          <w:rFonts w:ascii="Times New Roman" w:hAnsi="Times New Roman"/>
          <w:sz w:val="28"/>
          <w:szCs w:val="28"/>
          <w:lang w:val="ru-RU" w:eastAsia="ru-RU"/>
        </w:rPr>
        <w:t>отдать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 xml:space="preserve"> девайс. Утилизация сотовых телефонов уместна тогда, когда устройство пришло в негодность и находится в нерабочем состоянии.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>Утилизация старых мобильных телефонов возможна в некоторых крупных магазинах электроники. Там проводятся временные либо постоянные акции.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B04400">
        <w:rPr>
          <w:rFonts w:ascii="Times New Roman" w:hAnsi="Times New Roman"/>
          <w:sz w:val="28"/>
          <w:szCs w:val="28"/>
          <w:lang w:val="ru-RU" w:eastAsia="ru-RU"/>
        </w:rPr>
        <w:t>Некоторые скупщики принимают неисправные телефоны на запчасти. Компании-производители также принимают старые смартфоны, делая скидку на покупку нового. Они разбирают устройство на запчасти, утилизируют телефонные аккумуляторы и отдают на переработку металлические и пластиковые детали, а из плат извлекают драгоценные металлы, которые потом используют при изготовлении новой техники.</w:t>
      </w:r>
      <w:r w:rsidR="00E65BA2">
        <w:rPr>
          <w:rFonts w:ascii="Times New Roman" w:hAnsi="Times New Roman"/>
          <w:sz w:val="28"/>
          <w:szCs w:val="28"/>
          <w:lang w:val="ru-RU" w:eastAsia="ru-RU"/>
        </w:rPr>
        <w:t xml:space="preserve"> Также телефон можно просто сдать на переработку в специальный пункт приёма. </w:t>
      </w:r>
      <w:r w:rsidR="00E65BA2" w:rsidRPr="00E65BA2">
        <w:rPr>
          <w:rFonts w:ascii="Times New Roman" w:hAnsi="Times New Roman"/>
          <w:sz w:val="28"/>
          <w:szCs w:val="28"/>
          <w:lang w:val="ru-RU" w:eastAsia="ru-RU"/>
        </w:rPr>
        <w:t xml:space="preserve">Пункты вторичной переработки есть в большинстве крупных городов. В такой пункт можно отвезти в том числе и мобильные телефоны. За сдачу предметов на вторичную переработку платят, хоть и весьма символические суммы. </w:t>
      </w:r>
      <w:r w:rsidR="00E65BA2">
        <w:rPr>
          <w:rFonts w:ascii="Times New Roman" w:hAnsi="Times New Roman"/>
          <w:sz w:val="28"/>
          <w:szCs w:val="28"/>
          <w:lang w:val="ru-RU" w:eastAsia="ru-RU"/>
        </w:rPr>
        <w:t>Р</w:t>
      </w:r>
      <w:r w:rsidR="00E65BA2" w:rsidRPr="00E65BA2">
        <w:rPr>
          <w:rFonts w:ascii="Times New Roman" w:hAnsi="Times New Roman"/>
          <w:sz w:val="28"/>
          <w:szCs w:val="28"/>
          <w:lang w:val="ru-RU" w:eastAsia="ru-RU"/>
        </w:rPr>
        <w:t>асположение пунктов вторичной переработки обычно указывается на сайте администрации города.</w:t>
      </w:r>
    </w:p>
    <w:p w:rsidR="00AD11AE" w:rsidRPr="00B04400" w:rsidRDefault="003762C9" w:rsidP="00B04400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</w:p>
    <w:sectPr w:rsidR="00AD11AE" w:rsidRPr="00B04400">
      <w:headerReference w:type="default" r:id="rId9"/>
      <w:headerReference w:type="first" r:id="rId10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380" w:rsidRDefault="00E55380">
      <w:r>
        <w:separator/>
      </w:r>
    </w:p>
  </w:endnote>
  <w:endnote w:type="continuationSeparator" w:id="0">
    <w:p w:rsidR="00E55380" w:rsidRDefault="00E5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380" w:rsidRDefault="00E55380">
      <w:r>
        <w:separator/>
      </w:r>
    </w:p>
  </w:footnote>
  <w:footnote w:type="continuationSeparator" w:id="0">
    <w:p w:rsidR="00E55380" w:rsidRDefault="00E5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1AE" w:rsidRDefault="003762C9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B04D7D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AD11AE" w:rsidRDefault="00AD11AE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5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B04D7D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AD11AE" w:rsidRDefault="00AD11AE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1AE" w:rsidRDefault="003762C9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B04D7D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0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" name="Group 79"/>
                      <wpg:cNvGrpSpPr/>
                      <wpg:grpSpPr>
                        <a:xfrm>
                          <a:off x="39" y="18599"/>
                          <a:ext cx="5087" cy="324"/>
                          <a:chOff x="0" y="-980"/>
                          <a:chExt cx="21189" cy="2098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080" y="-980"/>
                            <a:ext cx="12109" cy="2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А.В..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AD11A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AD11AE" w:rsidRDefault="00AD11A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9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B04D7D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AD11AE" w:rsidRDefault="00AD11AE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599;width:5087;height:324" coordorigin=",-980" coordsize="21189,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080;top:-980;width:12109;height:20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А.В..</w:t>
                        </w:r>
                        <w:proofErr w:type="gramEnd"/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AD11AE" w:rsidRDefault="00AD11A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AD11AE" w:rsidRDefault="00AD11A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AD11AE" w:rsidRDefault="003762C9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8E73"/>
    <w:multiLevelType w:val="multilevel"/>
    <w:tmpl w:val="16148E7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AE"/>
    <w:rsid w:val="003762C9"/>
    <w:rsid w:val="006A1BD3"/>
    <w:rsid w:val="00AD11AE"/>
    <w:rsid w:val="00B04400"/>
    <w:rsid w:val="00B04D7D"/>
    <w:rsid w:val="00D75015"/>
    <w:rsid w:val="00E55380"/>
    <w:rsid w:val="00E62B8C"/>
    <w:rsid w:val="00E65BA2"/>
    <w:rsid w:val="1125500C"/>
    <w:rsid w:val="4FB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B3E5D2"/>
  <w15:docId w15:val="{0F082AF5-A716-4F94-BAE8-0B8D884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customStyle="1" w:styleId="10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oadmin</dc:creator>
  <cp:lastModifiedBy>максим лапко</cp:lastModifiedBy>
  <cp:revision>4</cp:revision>
  <dcterms:created xsi:type="dcterms:W3CDTF">2022-05-27T07:41:00Z</dcterms:created>
  <dcterms:modified xsi:type="dcterms:W3CDTF">2022-05-31T05:40:00Z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E5D1CA6B877846F0A869C0DFF18D7A55</vt:lpwstr>
  </property>
</Properties>
</file>