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DBAB6D">
      <w:pPr>
        <w:widowControl/>
        <w:ind w:firstLine="420"/>
        <w:jc w:val="center"/>
        <w:rPr>
          <w:rFonts w:ascii="宋体" w:hAnsi="宋体"/>
        </w:rPr>
      </w:pPr>
      <w:r>
        <w:rPr>
          <w:rFonts w:ascii="宋体" w:hAnsi="宋体"/>
        </w:rPr>
        <w:drawing>
          <wp:inline distT="0" distB="0" distL="114300" distR="114300">
            <wp:extent cx="3982720" cy="1135380"/>
            <wp:effectExtent l="0" t="0" r="10160" b="7620"/>
            <wp:docPr id="3" name="图片 1" descr="C:\Users\HYH_0312\AppData\Roaming\Tencent\Users\199731211\QQ\WinTemp\RichOle\L$V8U$H5F@5_~6VP42I}9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C:\Users\HYH_0312\AppData\Roaming\Tencent\Users\199731211\QQ\WinTemp\RichOle\L$V8U$H5F@5_~6VP42I}934.png"/>
                    <pic:cNvPicPr>
                      <a:picLocks noChangeAspect="1"/>
                    </pic:cNvPicPr>
                  </pic:nvPicPr>
                  <pic:blipFill>
                    <a:blip r:embed="rId6"/>
                    <a:stretch>
                      <a:fillRect/>
                    </a:stretch>
                  </pic:blipFill>
                  <pic:spPr>
                    <a:xfrm>
                      <a:off x="0" y="0"/>
                      <a:ext cx="3982720" cy="1135380"/>
                    </a:xfrm>
                    <a:prstGeom prst="rect">
                      <a:avLst/>
                    </a:prstGeom>
                    <a:noFill/>
                    <a:ln>
                      <a:noFill/>
                    </a:ln>
                  </pic:spPr>
                </pic:pic>
              </a:graphicData>
            </a:graphic>
          </wp:inline>
        </w:drawing>
      </w:r>
    </w:p>
    <w:p w14:paraId="6F05DBA9">
      <w:pPr>
        <w:jc w:val="center"/>
        <w:rPr>
          <w:rFonts w:ascii="宋体" w:hAnsi="宋体"/>
          <w:b/>
          <w:sz w:val="72"/>
          <w:szCs w:val="72"/>
        </w:rPr>
      </w:pPr>
      <w:r>
        <w:rPr>
          <w:rFonts w:hint="eastAsia" w:ascii="宋体" w:hAnsi="宋体"/>
          <w:b/>
          <w:sz w:val="72"/>
          <w:szCs w:val="72"/>
        </w:rPr>
        <w:t>《</w:t>
      </w:r>
      <w:r>
        <w:rPr>
          <w:rFonts w:hint="eastAsia" w:ascii="宋体" w:hAnsi="宋体"/>
          <w:b/>
          <w:sz w:val="72"/>
          <w:szCs w:val="72"/>
          <w:lang w:val="en-US" w:eastAsia="zh-CN"/>
        </w:rPr>
        <w:t>马克思主义基本原理</w:t>
      </w:r>
      <w:r>
        <w:rPr>
          <w:rFonts w:hint="eastAsia" w:ascii="宋体" w:hAnsi="宋体"/>
          <w:b/>
          <w:sz w:val="72"/>
          <w:szCs w:val="72"/>
        </w:rPr>
        <w:t>》</w:t>
      </w:r>
    </w:p>
    <w:p w14:paraId="4CEA255C">
      <w:pPr>
        <w:jc w:val="center"/>
        <w:rPr>
          <w:rFonts w:hint="eastAsia" w:ascii="宋体" w:hAnsi="宋体" w:eastAsiaTheme="minorEastAsia"/>
          <w:b/>
          <w:sz w:val="72"/>
          <w:szCs w:val="72"/>
          <w:lang w:val="en-US" w:eastAsia="zh-CN"/>
        </w:rPr>
      </w:pPr>
      <w:r>
        <w:rPr>
          <w:rFonts w:hint="eastAsia" w:ascii="宋体" w:hAnsi="宋体"/>
          <w:b/>
          <w:sz w:val="72"/>
          <w:szCs w:val="72"/>
        </w:rPr>
        <w:t>课程</w:t>
      </w:r>
      <w:r>
        <w:rPr>
          <w:rFonts w:hint="eastAsia" w:ascii="宋体" w:hAnsi="宋体"/>
          <w:b/>
          <w:sz w:val="72"/>
          <w:szCs w:val="72"/>
          <w:lang w:val="en-US" w:eastAsia="zh-CN"/>
        </w:rPr>
        <w:t>实践报告</w:t>
      </w:r>
    </w:p>
    <w:p w14:paraId="6C848695">
      <w:pPr>
        <w:ind w:firstLine="1040"/>
        <w:jc w:val="center"/>
        <w:rPr>
          <w:rFonts w:ascii="宋体" w:hAnsi="宋体"/>
          <w:sz w:val="52"/>
        </w:rPr>
      </w:pPr>
    </w:p>
    <w:p w14:paraId="5DB9CAD3">
      <w:pPr>
        <w:ind w:firstLine="420"/>
        <w:jc w:val="center"/>
        <w:rPr>
          <w:rFonts w:ascii="宋体" w:hAnsi="宋体"/>
          <w:sz w:val="52"/>
        </w:rPr>
      </w:pPr>
      <w:r>
        <w:rPr>
          <w:rFonts w:ascii="宋体" w:hAnsi="宋体"/>
        </w:rPr>
        <w:drawing>
          <wp:inline distT="0" distB="0" distL="114300" distR="114300">
            <wp:extent cx="1837055" cy="1802130"/>
            <wp:effectExtent l="0" t="0" r="6985" b="11430"/>
            <wp:docPr id="2" name="图片 2"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校徽"/>
                    <pic:cNvPicPr>
                      <a:picLocks noChangeAspect="1"/>
                    </pic:cNvPicPr>
                  </pic:nvPicPr>
                  <pic:blipFill>
                    <a:blip r:embed="rId7"/>
                    <a:stretch>
                      <a:fillRect/>
                    </a:stretch>
                  </pic:blipFill>
                  <pic:spPr>
                    <a:xfrm>
                      <a:off x="0" y="0"/>
                      <a:ext cx="1837055" cy="1802130"/>
                    </a:xfrm>
                    <a:prstGeom prst="rect">
                      <a:avLst/>
                    </a:prstGeom>
                    <a:noFill/>
                    <a:ln>
                      <a:noFill/>
                    </a:ln>
                  </pic:spPr>
                </pic:pic>
              </a:graphicData>
            </a:graphic>
          </wp:inline>
        </w:drawing>
      </w:r>
    </w:p>
    <w:p w14:paraId="6A689C5C">
      <w:pPr>
        <w:ind w:firstLine="420"/>
        <w:rPr>
          <w:rFonts w:ascii="宋体" w:hAnsi="宋体"/>
        </w:rPr>
      </w:pPr>
    </w:p>
    <w:p w14:paraId="0C71A1A8">
      <w:pPr>
        <w:ind w:firstLine="2554" w:firstLineChars="795"/>
        <w:rPr>
          <w:rFonts w:ascii="宋体" w:hAnsi="宋体"/>
          <w:b/>
          <w:bCs/>
          <w:sz w:val="32"/>
        </w:rPr>
      </w:pPr>
    </w:p>
    <w:p w14:paraId="2585B4B4">
      <w:pPr>
        <w:rPr>
          <w:rFonts w:hint="eastAsia"/>
        </w:rPr>
        <w:sectPr>
          <w:footerReference r:id="rId3" w:type="default"/>
          <w:pgSz w:w="11906" w:h="16838"/>
          <w:pgMar w:top="1440" w:right="1800" w:bottom="1440" w:left="1800" w:header="851" w:footer="992" w:gutter="0"/>
          <w:cols w:space="425" w:num="1"/>
          <w:docGrid w:type="lines" w:linePitch="312" w:charSpace="0"/>
        </w:sectPr>
      </w:pPr>
      <w:bookmarkStart w:id="0" w:name="_GoBack"/>
      <w:bookmarkEnd w:id="0"/>
    </w:p>
    <w:p w14:paraId="55332B98">
      <w:pPr>
        <w:rPr>
          <w:rFonts w:hint="eastAsia"/>
        </w:rPr>
      </w:pPr>
    </w:p>
    <w:p w14:paraId="4DEC1307">
      <w:pPr>
        <w:keepNext w:val="0"/>
        <w:keepLines w:val="0"/>
        <w:pageBreakBefore w:val="0"/>
        <w:widowControl w:val="0"/>
        <w:kinsoku/>
        <w:wordWrap/>
        <w:overflowPunct/>
        <w:topLinePunct w:val="0"/>
        <w:autoSpaceDE/>
        <w:autoSpaceDN/>
        <w:bidi w:val="0"/>
        <w:adjustRightInd/>
        <w:snapToGrid/>
        <w:spacing w:line="360" w:lineRule="auto"/>
        <w:ind w:firstLine="562" w:firstLineChars="200"/>
        <w:jc w:val="center"/>
        <w:textAlignment w:val="auto"/>
        <w:rPr>
          <w:rFonts w:hint="eastAsia"/>
          <w:b/>
          <w:bCs/>
          <w:sz w:val="28"/>
          <w:szCs w:val="28"/>
        </w:rPr>
      </w:pPr>
      <w:r>
        <w:rPr>
          <w:rFonts w:hint="eastAsia"/>
          <w:b/>
          <w:bCs/>
          <w:sz w:val="28"/>
          <w:szCs w:val="28"/>
        </w:rPr>
        <w:t>基于量变质变规律的大学生数学竞赛备战实践与自我发展体验报告</w:t>
      </w:r>
    </w:p>
    <w:p w14:paraId="4D5AE5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8"/>
          <w:szCs w:val="28"/>
        </w:rPr>
      </w:pPr>
      <w:r>
        <w:rPr>
          <w:rFonts w:hint="eastAsia"/>
          <w:b/>
          <w:bCs/>
          <w:sz w:val="28"/>
          <w:szCs w:val="28"/>
        </w:rPr>
        <w:t>一、题目</w:t>
      </w:r>
    </w:p>
    <w:p w14:paraId="1773F4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sz w:val="21"/>
          <w:szCs w:val="21"/>
        </w:rPr>
      </w:pPr>
      <w:r>
        <w:rPr>
          <w:rFonts w:hint="eastAsia"/>
          <w:sz w:val="21"/>
          <w:szCs w:val="21"/>
        </w:rPr>
        <w:t>量变质变规律视域下大学生数学竞赛备战的实践探索与自我发展机理分析</w:t>
      </w:r>
    </w:p>
    <w:p w14:paraId="2B9CF1F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8"/>
          <w:szCs w:val="28"/>
        </w:rPr>
      </w:pPr>
      <w:r>
        <w:rPr>
          <w:rFonts w:hint="eastAsia"/>
          <w:b/>
          <w:bCs/>
          <w:sz w:val="28"/>
          <w:szCs w:val="28"/>
        </w:rPr>
        <w:t>二、内容提要</w:t>
      </w:r>
    </w:p>
    <w:p w14:paraId="41CBA7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本文以唯物辩证法量变质变规律为理论基础，以一个月的大学生数学竞赛（非数学类）备战为实践载体，通过 “基础夯实 — 题型突破 — 综合模拟” 三阶段的量化训练设计，系统记录并分析量变积累到质变突破的全过程。</w:t>
      </w:r>
      <w:r>
        <w:rPr>
          <w:rFonts w:hint="eastAsia"/>
          <w:lang w:val="en-US" w:eastAsia="zh-CN"/>
        </w:rPr>
        <w:t>本人</w:t>
      </w:r>
      <w:r>
        <w:rPr>
          <w:rFonts w:hint="eastAsia"/>
        </w:rPr>
        <w:t>从数学能力、学习方法、心理品质三个维度，验证量变质变规律在个体自我发展中的实践价值：当训练量达到 “400 道专项题 + 5 套真题” 的阈值时，数学解题效率提升 60%，形成结构化解题思维（能力质变）；错题整理从 “机械抄录” 升级为 “类型化反思”（方法质变）；应试焦虑值下降 45%，建立自主调控信心（心理质变）。</w:t>
      </w:r>
      <w:r>
        <w:rPr>
          <w:rFonts w:hint="eastAsia"/>
          <w:lang w:val="en-US" w:eastAsia="zh-CN"/>
        </w:rPr>
        <w:t>体验</w:t>
      </w:r>
      <w:r>
        <w:rPr>
          <w:rFonts w:hint="eastAsia"/>
        </w:rPr>
        <w:t>表明，量变质变规律的核心在于 “科学积累 + 关键突破”，其对大学生自主学习与能力发展具有重要指导意义。</w:t>
      </w:r>
    </w:p>
    <w:p w14:paraId="738827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8"/>
          <w:szCs w:val="28"/>
        </w:rPr>
      </w:pPr>
      <w:r>
        <w:rPr>
          <w:rFonts w:hint="eastAsia"/>
          <w:b/>
          <w:bCs/>
          <w:sz w:val="28"/>
          <w:szCs w:val="28"/>
        </w:rPr>
        <w:t>三、关键词</w:t>
      </w:r>
    </w:p>
    <w:p w14:paraId="75D9D9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量变质变规律；大学生数学竞赛；自我发展；实践体验；量变积累</w:t>
      </w:r>
    </w:p>
    <w:p w14:paraId="6624F6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8"/>
          <w:szCs w:val="28"/>
        </w:rPr>
      </w:pPr>
      <w:r>
        <w:rPr>
          <w:rFonts w:hint="eastAsia"/>
          <w:b/>
          <w:bCs/>
          <w:sz w:val="28"/>
          <w:szCs w:val="28"/>
        </w:rPr>
        <w:t>四、引言</w:t>
      </w:r>
    </w:p>
    <w:p w14:paraId="7D171D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唯物辩证法认为，“量变是质变的必要准备，质变是量变的必然结果”（恩格斯，1984），二者在一定条件下相互转化，构成事物发展的基本规律。这一规律不仅适用于自然与社会领域，更深刻体现在个体成长与能力发展中。对于大学生而言，数学竞赛是提升逻辑思维、强化数学应用能力的重要平台，其备战过程本质是 “知识输入 — 技能训练 — 能力内化” 的量变积累，最终指向 “解题能力跃迁” 的质变目标。</w:t>
      </w:r>
    </w:p>
    <w:p w14:paraId="241A4FA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现有研究多从理论层面阐释量变质变规律的内涵（李秀林等，2004），或聚焦竞赛解题技巧（全国大学生数学竞赛组委会，2022），但缺乏将哲学规律与个体备战实践结合的实证分析。本文以一个月（30 天）为周期，以 “每日定量训练 + 阶段性反思” 为路径，通过</w:t>
      </w:r>
      <w:r>
        <w:rPr>
          <w:rFonts w:hint="eastAsia"/>
          <w:lang w:val="en-US" w:eastAsia="zh-CN"/>
        </w:rPr>
        <w:t>题目</w:t>
      </w:r>
      <w:r>
        <w:rPr>
          <w:rFonts w:hint="eastAsia"/>
        </w:rPr>
        <w:t>具体数据与</w:t>
      </w:r>
      <w:r>
        <w:rPr>
          <w:rFonts w:hint="eastAsia"/>
          <w:lang w:val="en-US" w:eastAsia="zh-CN"/>
        </w:rPr>
        <w:t>本人的</w:t>
      </w:r>
      <w:r>
        <w:rPr>
          <w:rFonts w:hint="eastAsia"/>
        </w:rPr>
        <w:t>体验记录，揭示量变质变规律在数学竞赛备战中的作用机制，为大学生自主发展提供可复制的实践范式。</w:t>
      </w:r>
    </w:p>
    <w:p w14:paraId="59C4DE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8"/>
          <w:szCs w:val="28"/>
        </w:rPr>
      </w:pPr>
      <w:r>
        <w:rPr>
          <w:rFonts w:hint="eastAsia"/>
          <w:b/>
          <w:bCs/>
          <w:sz w:val="28"/>
          <w:szCs w:val="28"/>
        </w:rPr>
        <w:t>五、正文</w:t>
      </w:r>
    </w:p>
    <w:p w14:paraId="7C48C3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rPr>
      </w:pPr>
      <w:r>
        <w:rPr>
          <w:rFonts w:hint="eastAsia"/>
          <w:b/>
          <w:bCs/>
          <w:sz w:val="24"/>
          <w:szCs w:val="24"/>
        </w:rPr>
        <w:t>（一）理论溯源：唯物辩证法量变质变规律的核心要义</w:t>
      </w:r>
    </w:p>
    <w:p w14:paraId="2BF48E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量变质变规律是马克思主义哲学的重要组成部分，其核心内涵可概括为三个层面：</w:t>
      </w:r>
    </w:p>
    <w:p w14:paraId="660C38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量变与质变的定义区分量变是事物数量的增减或构成要素的排列变化，是 “渐进的、不显著的变化”（列宁，1993）；质变是事物根本性质的改变，是 “飞跃式、根本性的变化”。在学习领域，“每日做 20 道数学题” 是量变，“从‘不会解题’到‘掌握解题规律’” 是质变。</w:t>
      </w:r>
    </w:p>
    <w:p w14:paraId="25C8CC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量变与质变的辩证关系马克思在《资本论》中指出：“单纯的量的变化到一定点时，就会转化为质的差别。” 这一 “临界点”（即 “度”）是量变转化为质变的关键 —— 只有当量变突破 “度” 的界限，才能引发质变。例如，数学中 “极限” 概念的理解，需通过反复练习导数、积分的基础题（量变），直到突破 “概念模糊” 的界限，实现 “灵活应用” 的质变。</w:t>
      </w:r>
    </w:p>
    <w:p w14:paraId="5B19F62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量变质变的渗透与循环事物发展是 “量变 — 质变 — 新的量变” 的循环过程，总量变中包含部分质变。如备战竞赛时，“积分模块的解题能力提升” 是总量变中的部分质变，而 “整体解题能力达到竞赛获奖水平” 是根本质变。</w:t>
      </w:r>
    </w:p>
    <w:p w14:paraId="4B6C2B3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rPr>
      </w:pPr>
      <w:r>
        <w:rPr>
          <w:rFonts w:hint="eastAsia"/>
          <w:b/>
          <w:bCs/>
          <w:sz w:val="24"/>
          <w:szCs w:val="24"/>
        </w:rPr>
        <w:t>（二）实践设计：大学生数学竞赛备战的量变积累方案</w:t>
      </w:r>
    </w:p>
    <w:p w14:paraId="761F2D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基于量变质变规律，</w:t>
      </w:r>
      <w:r>
        <w:rPr>
          <w:rFonts w:hint="eastAsia"/>
          <w:lang w:val="en-US" w:eastAsia="zh-CN"/>
        </w:rPr>
        <w:t>我为自己</w:t>
      </w:r>
      <w:r>
        <w:rPr>
          <w:rFonts w:hint="eastAsia"/>
        </w:rPr>
        <w:t>设计为期 30 天的备战计划，聚焦“非数学类大学生数学竞赛” 核心模块（极限、导数、积分、微分方程、不等式证明），通过</w:t>
      </w:r>
      <w:r>
        <w:rPr>
          <w:rFonts w:hint="eastAsia"/>
          <w:lang w:eastAsia="zh-CN"/>
        </w:rPr>
        <w:t>“</w:t>
      </w:r>
      <w:r>
        <w:rPr>
          <w:rFonts w:hint="eastAsia"/>
        </w:rPr>
        <w:t>定量训练 + 定期检测”实现量变积累，具体分为三阶段：</w:t>
      </w:r>
    </w:p>
    <w:p w14:paraId="3773C1A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drawing>
          <wp:inline distT="0" distB="0" distL="114300" distR="114300">
            <wp:extent cx="5267325" cy="1894840"/>
            <wp:effectExtent l="0" t="0" r="5715" b="10160"/>
            <wp:docPr id="1" name="图片 1" descr="{5AEF2D27-B88B-41B2-AAF6-B3CF159DD7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AEF2D27-B88B-41B2-AAF6-B3CF159DD7CA}"/>
                    <pic:cNvPicPr>
                      <a:picLocks noChangeAspect="1"/>
                    </pic:cNvPicPr>
                  </pic:nvPicPr>
                  <pic:blipFill>
                    <a:blip r:embed="rId8"/>
                    <a:stretch>
                      <a:fillRect/>
                    </a:stretch>
                  </pic:blipFill>
                  <pic:spPr>
                    <a:xfrm>
                      <a:off x="0" y="0"/>
                      <a:ext cx="5267325" cy="1894840"/>
                    </a:xfrm>
                    <a:prstGeom prst="rect">
                      <a:avLst/>
                    </a:prstGeom>
                  </pic:spPr>
                </pic:pic>
              </a:graphicData>
            </a:graphic>
          </wp:inline>
        </w:drawing>
      </w:r>
      <w:r>
        <w:rPr>
          <w:rFonts w:hint="eastAsia"/>
        </w:rPr>
        <w:t>设计依据：</w:t>
      </w:r>
    </w:p>
    <w:p w14:paraId="7432FDC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基础期（7 天）：通过 “理论 + 基础题” 的低强度训练，实现 “知识点回忆 — 基础应用” 的初步量变，避免因初始难度过高导致放弃；</w:t>
      </w:r>
    </w:p>
    <w:p w14:paraId="56919A9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突破期（14 天）：延长训练时间（6 小时 / 天）、增加题量（30 题 / 天），聚焦竞赛高频题型（如不等式证明、微分方程应用），通过 “重复训练 — 方法总结” 积累解题经验，为质变储备能量；</w:t>
      </w:r>
    </w:p>
    <w:p w14:paraId="2E21F4A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模拟期（9 天）：以真题为载体，模拟真实竞赛环境，通过 “限时训练 — 错题复盘” 优化时间分配与解题策略，推动量变向质变转化。</w:t>
      </w:r>
    </w:p>
    <w:p w14:paraId="1BA0C7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rPr>
      </w:pPr>
      <w:r>
        <w:rPr>
          <w:rFonts w:hint="eastAsia"/>
          <w:b/>
          <w:bCs/>
          <w:sz w:val="24"/>
          <w:szCs w:val="24"/>
        </w:rPr>
        <w:t>（三）实践体验：从量变到质变的过程感知与维度分析</w:t>
      </w:r>
    </w:p>
    <w:p w14:paraId="6D7D39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通过 30 天的备战实践，本文从数学能力、学习方法、心理品质三个维度，记录量变积累到质变突破的具体表现，核心数据与体验如下：</w:t>
      </w:r>
    </w:p>
    <w:p w14:paraId="74A5BD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b/>
          <w:bCs/>
        </w:rPr>
        <w:t>1. 数学能力维度</w:t>
      </w:r>
      <w:r>
        <w:rPr>
          <w:rFonts w:hint="eastAsia"/>
        </w:rPr>
        <w:t>：从 “机械解题” 到 “规律化思维” 的质变</w:t>
      </w:r>
    </w:p>
    <w:p w14:paraId="2FE88A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量变积累：</w:t>
      </w:r>
      <w:r>
        <w:rPr>
          <w:rFonts w:hint="eastAsia"/>
          <w:lang w:eastAsia="zh-CN"/>
        </w:rPr>
        <w:t>（</w:t>
      </w:r>
      <w:r>
        <w:rPr>
          <w:rFonts w:hint="eastAsia"/>
          <w:lang w:val="en-US" w:eastAsia="zh-CN"/>
        </w:rPr>
        <w:t>涉及数量为约数</w:t>
      </w:r>
      <w:r>
        <w:rPr>
          <w:rFonts w:hint="eastAsia"/>
          <w:lang w:eastAsia="zh-CN"/>
        </w:rPr>
        <w:t>）</w:t>
      </w:r>
      <w:r>
        <w:rPr>
          <w:rFonts w:hint="eastAsia"/>
        </w:rPr>
        <w:t>30 天累计完成基础题 140 道、专项题 420 道、真题 5 套（100 题），总训练量 660 道；错题整理累计 120 道，形成</w:t>
      </w:r>
      <w:r>
        <w:rPr>
          <w:rFonts w:hint="eastAsia"/>
          <w:lang w:val="en-US" w:eastAsia="zh-CN"/>
        </w:rPr>
        <w:t>自己的</w:t>
      </w:r>
      <w:r>
        <w:rPr>
          <w:rFonts w:hint="eastAsia"/>
        </w:rPr>
        <w:t>《竞赛错题分类手册》（按 “知识点错误”“计算错误”“思路错误” 分类）。</w:t>
      </w:r>
    </w:p>
    <w:p w14:paraId="437FB6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质变表现：</w:t>
      </w:r>
    </w:p>
    <w:p w14:paraId="06B2DF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解题效率：基础期做 1 道不等式证明题平均需 15 分钟，且正确率仅 40%；突破期结束后（第 21 天），同类题解题时间缩短至 8 分钟，正确率提升至 90%；模拟期（第 30 天）可在 5 分钟内准确解答，形成 “观察题干 — 定位知识点 — 选择方法（如拉格朗日中值定理、柯西不等式）” 的固定思路。</w:t>
      </w:r>
    </w:p>
    <w:p w14:paraId="527875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知识迁移：基础期仅能解答 “直接套用公式” 的题目（如定积分计算），突破期后可将导数知识迁移至 “函数单调性证明”“极值求解” 等综合题，如第 18 天成功用 “导数法” 解决此前无法入手的 “数列不等式证明题”，实现知识应用的质变。</w:t>
      </w:r>
    </w:p>
    <w:p w14:paraId="1E6CA2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b/>
          <w:bCs/>
        </w:rPr>
        <w:t>2. 学习方法维度</w:t>
      </w:r>
      <w:r>
        <w:rPr>
          <w:rFonts w:hint="eastAsia"/>
        </w:rPr>
        <w:t>：从 “被动接受” 到 “主动建构” 的质变</w:t>
      </w:r>
    </w:p>
    <w:p w14:paraId="60A4C5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量变积累：每日坚持 “训练 — 错题整理 — 方法总结” 的闭环，突破期内累计总结 “极限求解 5 种方法”“积分技巧 3 类”“微分方程应用 4 种模型”，形成《竞赛解题方法手册》。</w:t>
      </w:r>
    </w:p>
    <w:p w14:paraId="00BDCC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质变表现：</w:t>
      </w:r>
    </w:p>
    <w:p w14:paraId="47609D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错题整理：基础期仅机械抄录题目与答案，突破期（第 12 天）开始标注 “错误原因”，如 “忽略积分上下限变换”“未考虑函数定义域”；模拟期（第 25 天）进一步总结 “同类错误规避策略”，如 “解题前先圈画题干关键条件”，实现从 “纠错” 到 “防错” 的质变。</w:t>
      </w:r>
    </w:p>
    <w:p w14:paraId="3C21A2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时间管理：基础期常因 “纠结难题” 导致任务超时（日均超 1.5 小时），突破期（第 15 天）学会 “优先级划分”：先完成 80% 的基础题，再攻克 20% 的难题，日均超时缩短至 30 分钟；模拟期（第 28 天）可精准把控时间（真题模拟误差不超过 5 分钟），形成科学的时间管理方法。</w:t>
      </w:r>
    </w:p>
    <w:p w14:paraId="5D13C4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b/>
          <w:bCs/>
        </w:rPr>
        <w:t>3. 心理品质维度</w:t>
      </w:r>
      <w:r>
        <w:rPr>
          <w:rFonts w:hint="eastAsia"/>
        </w:rPr>
        <w:t>：从 “焦虑迷茫” 到 “自信可控” 的质变</w:t>
      </w:r>
    </w:p>
    <w:p w14:paraId="6953780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量变积累：经历 7 次模块测试、5 次专项测试、5 次真题模拟，累计应对 17 次压力情境，每次测试后记录 “焦虑值”（1-10 分，10 分为极度焦虑）。</w:t>
      </w:r>
    </w:p>
    <w:p w14:paraId="77A4C91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质变表现：</w:t>
      </w:r>
    </w:p>
    <w:p w14:paraId="4B32527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焦虑水平：基础期首次测试（第 7 天）焦虑值为 8 分（手抖、思路混乱），突破期第 15 天测试焦虑值降至 5 分，模拟期第 30 天真题测试焦虑值仅 2 分，能从容应对 “陌生题型”（如第 29 天遇到 “微分方程与经济学结合题”，未出现慌乱，按 “建模 — 求解 — 验证” 步骤顺利完成）。</w:t>
      </w:r>
    </w:p>
    <w:p w14:paraId="0639A8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自信心态：基础期因 “频繁出错” 产生自我怀疑（如第 3 天因 10 道基础题错 6 道而失眠），突破期（第 20 天）专项测试正确率达 85%，首次产生 “能获奖” 的信心；模拟期（第 27 天）完成近 3 年真题，平均得分超 80 分（竞赛一等奖分数线约 75 分），确立 “目标明确、能力匹配” 的自信认知。</w:t>
      </w:r>
    </w:p>
    <w:p w14:paraId="7E5854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rPr>
      </w:pPr>
      <w:r>
        <w:rPr>
          <w:rFonts w:hint="eastAsia"/>
          <w:b/>
          <w:bCs/>
          <w:sz w:val="24"/>
          <w:szCs w:val="24"/>
        </w:rPr>
        <w:t>（四）机理探讨：量变质变规律在自我发展中的作用机制</w:t>
      </w:r>
    </w:p>
    <w:p w14:paraId="7C3618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结合备战实践，量变质变规律推动自我发展的核心机制可概括为 “三阶段模型”：</w:t>
      </w:r>
    </w:p>
    <w:p w14:paraId="2DC329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b/>
          <w:bCs/>
        </w:rPr>
        <w:t>1. 积累机制</w:t>
      </w:r>
      <w:r>
        <w:rPr>
          <w:rFonts w:hint="eastAsia"/>
        </w:rPr>
        <w:t>：定向量变是质变的前提</w:t>
      </w:r>
    </w:p>
    <w:p w14:paraId="5DD821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唯物辩证法强调 “没有量变的积累，就没有质变的发生”（毛泽东，1991）。备战中，“每日定量训练” 并非随机重复，而是 “定向积累”—— 所有训练都围绕 “竞赛核心模块” 展开，避免无效量变。例如，突破期聚焦 “不等式证明”（竞赛占比 20%），420 道专项题中该题型占比 30%（126 道），通过 “集中训练 — 强化记忆” 形成解题肌肉记忆，为 “思路突破” 奠定基础。这印证了荀子《劝学》中 “不积跬步无以至千里，不积小流无以成江海” 的哲学思想，也符合现代教育心理学 “刻意练习” 理论（林崇德，2019）。</w:t>
      </w:r>
    </w:p>
    <w:p w14:paraId="46A961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b/>
          <w:bCs/>
        </w:rPr>
        <w:t>2. 突破机制</w:t>
      </w:r>
      <w:r>
        <w:rPr>
          <w:rFonts w:hint="eastAsia"/>
        </w:rPr>
        <w:t>：“临界点” 触发质变</w:t>
      </w:r>
    </w:p>
    <w:p w14:paraId="18A7CD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量变转化为质变的关键是突破 “度” 的界限。备战中，“400 道专项题 + 5 套真题” 是能力质变的 “临界点”：第 21 天（完成 420 道专项题）时，首次实现 “所有模块题型全覆盖且正确率超 80%”；第 27 天（完成 5 套真题）时，解题思维从 “零散” 走向 “系统”。这一过程符合黑格尔 “度是质和量的统一” 的论断 —— 当训练量未达 “度” 时，能力提升呈线性缓慢增长；一旦突破 “度”，能力呈指数级跃迁。</w:t>
      </w:r>
    </w:p>
    <w:p w14:paraId="7812A0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b/>
          <w:bCs/>
        </w:rPr>
        <w:t>3. 反馈机制</w:t>
      </w:r>
      <w:r>
        <w:rPr>
          <w:rFonts w:hint="eastAsia"/>
        </w:rPr>
        <w:t>：反思校正量变方向</w:t>
      </w:r>
    </w:p>
    <w:p w14:paraId="706A012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无效量变无法引发质变，而 “反馈 — 调整” 是避免无效量变的关键。备战中，“错题整理” 与 “测试复盘” 构成反馈闭环：第 10 天发现 “积分计算错误率高”，立即调整训练计划（增加 10 道 / 天的积分计算题）；第 23 天真题模拟发现 “微分方程应用题薄弱”，补充 5 道 / 天的建模题训练。这种 “根据反馈调整量变方向” 的做法，确保量变始终朝着 “能力提升” 的质变目标推进，符合控制论 “负反馈调节” 原理，也体现了唯物辩证法 “否定之否定” 的发展规律 —— 通过不断纠错实现自我完善。</w:t>
      </w:r>
    </w:p>
    <w:p w14:paraId="6188F1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8"/>
          <w:szCs w:val="28"/>
        </w:rPr>
      </w:pPr>
      <w:r>
        <w:rPr>
          <w:rFonts w:hint="eastAsia"/>
          <w:b/>
          <w:bCs/>
          <w:sz w:val="28"/>
          <w:szCs w:val="28"/>
        </w:rPr>
        <w:t>六、结论与启示</w:t>
      </w:r>
    </w:p>
    <w:p w14:paraId="5A5FAC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rPr>
      </w:pPr>
      <w:r>
        <w:rPr>
          <w:rFonts w:hint="eastAsia"/>
          <w:b/>
          <w:bCs/>
          <w:sz w:val="24"/>
          <w:szCs w:val="24"/>
        </w:rPr>
        <w:t>（一）研究结论</w:t>
      </w:r>
    </w:p>
    <w:p w14:paraId="40D73C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量变质变规律在大学生数学竞赛备战中具有明确的实践效度：30 天的定向量变（660 道题训练）突破 “能力阈值”，实现数学能力、学习方法、心理品质的多维度质变；</w:t>
      </w:r>
    </w:p>
    <w:p w14:paraId="52A8B9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量变转化为质变的核心条件是 “科学积累 + 关键突破”：“定向训练” 确保量变有效，“临界点突破” 触发质变，“反馈调整” 校正量变方向；</w:t>
      </w:r>
    </w:p>
    <w:p w14:paraId="5EF353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自我发展是 “量变 — 质变 — 新量变” 的循环过程：竞赛备战的质变（如解题能力提升）将成为后续 “更高难度学习”（如数学建模、考研数学）的新量变起点。</w:t>
      </w:r>
    </w:p>
    <w:p w14:paraId="422255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rPr>
      </w:pPr>
      <w:r>
        <w:rPr>
          <w:rFonts w:hint="eastAsia"/>
          <w:b/>
          <w:bCs/>
          <w:sz w:val="24"/>
          <w:szCs w:val="24"/>
        </w:rPr>
        <w:t>（二）实践启示</w:t>
      </w:r>
    </w:p>
    <w:p w14:paraId="3F766F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对大学生自主学习的启示：</w:t>
      </w:r>
    </w:p>
    <w:p w14:paraId="09F2EF3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设定 “量化目标”：将大目标拆解为每日可执行的小任务（如 “备战考研数学，每日做 30 道题”），通过量变积累降低目标难度；</w:t>
      </w:r>
    </w:p>
    <w:p w14:paraId="13C2A95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识别 “临界点”：根据自身情况判断量变 “阈值”（如 “英语六级备考，背完 5000 个单词是阅读能力质变的临界点”），集中精力突破；</w:t>
      </w:r>
    </w:p>
    <w:p w14:paraId="292F1F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坚持 “反馈反思”：通过错题本、学习日志等工具记录过程，及时调整计划，避免无效努力。</w:t>
      </w:r>
    </w:p>
    <w:p w14:paraId="010D34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对高校人才培养的启示：</w:t>
      </w:r>
    </w:p>
    <w:p w14:paraId="3416B3B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开设 “哲学与学习方法” 课程，将量变质变规律等哲学原理融入学习指导，帮助学生掌握科学学习方法；</w:t>
      </w:r>
    </w:p>
    <w:p w14:paraId="15AA7B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搭建 “竞赛 — 学习 — 实践” 衔接平台，将竞赛备战的质变成果转化为专业学习与实践能力，推动学生可持续发展。</w:t>
      </w:r>
    </w:p>
    <w:p w14:paraId="2A36B1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8"/>
          <w:szCs w:val="28"/>
        </w:rPr>
      </w:pPr>
      <w:r>
        <w:rPr>
          <w:rFonts w:hint="eastAsia"/>
          <w:b/>
          <w:bCs/>
          <w:sz w:val="28"/>
          <w:szCs w:val="28"/>
        </w:rPr>
        <w:t>七、参考文献</w:t>
      </w:r>
    </w:p>
    <w:p w14:paraId="54401A8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18"/>
          <w:szCs w:val="18"/>
        </w:rPr>
      </w:pPr>
      <w:r>
        <w:rPr>
          <w:rFonts w:hint="eastAsia" w:ascii="宋体" w:hAnsi="宋体" w:eastAsia="宋体" w:cs="宋体"/>
          <w:sz w:val="18"/>
          <w:szCs w:val="18"/>
        </w:rPr>
        <w:t>[1] 马克思。资本论（第一卷）[M]. 中共中央马克思恩格斯列宁斯大林著作编译局，译。人民出版社，2004.</w:t>
      </w:r>
    </w:p>
    <w:p w14:paraId="795C76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18"/>
          <w:szCs w:val="18"/>
        </w:rPr>
      </w:pPr>
      <w:r>
        <w:rPr>
          <w:rFonts w:hint="eastAsia" w:ascii="宋体" w:hAnsi="宋体" w:eastAsia="宋体" w:cs="宋体"/>
          <w:sz w:val="18"/>
          <w:szCs w:val="18"/>
        </w:rPr>
        <w:t>[2] 恩格斯。自然辩证法 [M]. 中共中央马克思恩格斯列宁斯大林著作编译局，译。人民出版社，1984.</w:t>
      </w:r>
    </w:p>
    <w:p w14:paraId="039468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18"/>
          <w:szCs w:val="18"/>
        </w:rPr>
      </w:pPr>
      <w:r>
        <w:rPr>
          <w:rFonts w:hint="eastAsia" w:ascii="宋体" w:hAnsi="宋体" w:eastAsia="宋体" w:cs="宋体"/>
          <w:sz w:val="18"/>
          <w:szCs w:val="18"/>
        </w:rPr>
        <w:t>[3] 列宁。哲学笔记 [M]. 中共中央马克思恩格斯列宁斯大林著作编译局，译。人民出版社，1993.</w:t>
      </w:r>
    </w:p>
    <w:p w14:paraId="44BAAC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18"/>
          <w:szCs w:val="18"/>
        </w:rPr>
      </w:pPr>
      <w:r>
        <w:rPr>
          <w:rFonts w:hint="eastAsia" w:ascii="宋体" w:hAnsi="宋体" w:eastAsia="宋体" w:cs="宋体"/>
          <w:sz w:val="18"/>
          <w:szCs w:val="18"/>
        </w:rPr>
        <w:t>[4] 毛泽东。矛盾论 [M]. 人民出版社，1991.</w:t>
      </w:r>
    </w:p>
    <w:p w14:paraId="67C712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18"/>
          <w:szCs w:val="18"/>
        </w:rPr>
      </w:pPr>
      <w:r>
        <w:rPr>
          <w:rFonts w:hint="eastAsia" w:ascii="宋体" w:hAnsi="宋体" w:eastAsia="宋体" w:cs="宋体"/>
          <w:sz w:val="18"/>
          <w:szCs w:val="18"/>
        </w:rPr>
        <w:t>[5] 李秀林，王于，李淮春。辩证唯物主义和历史唯物主义原理（第五版）[M]. 中国人民大学出版社，2004.</w:t>
      </w:r>
    </w:p>
    <w:p w14:paraId="0C08E6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18"/>
          <w:szCs w:val="18"/>
        </w:rPr>
      </w:pPr>
      <w:r>
        <w:rPr>
          <w:rFonts w:hint="eastAsia" w:ascii="宋体" w:hAnsi="宋体" w:eastAsia="宋体" w:cs="宋体"/>
          <w:sz w:val="18"/>
          <w:szCs w:val="18"/>
        </w:rPr>
        <w:t>[6] 全国大学生数学竞赛组委会。全国大学生数学竞赛辅导教程（非数学类）[M]. 高等教育出版社，2022.</w:t>
      </w:r>
    </w:p>
    <w:p w14:paraId="73D26A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18"/>
          <w:szCs w:val="18"/>
        </w:rPr>
      </w:pPr>
      <w:r>
        <w:rPr>
          <w:rFonts w:hint="eastAsia" w:ascii="宋体" w:hAnsi="宋体" w:eastAsia="宋体" w:cs="宋体"/>
          <w:sz w:val="18"/>
          <w:szCs w:val="18"/>
        </w:rPr>
        <w:t>[7] 林崇德。学习与发展 —— 中小学生心理能力发展与培养 [M]. 北京师范大学出版社，2019.</w:t>
      </w:r>
    </w:p>
    <w:p w14:paraId="2607FB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18"/>
          <w:szCs w:val="18"/>
        </w:rPr>
      </w:pPr>
      <w:r>
        <w:rPr>
          <w:rFonts w:hint="eastAsia" w:ascii="宋体" w:hAnsi="宋体" w:eastAsia="宋体" w:cs="宋体"/>
          <w:sz w:val="18"/>
          <w:szCs w:val="18"/>
        </w:rPr>
        <w:t>[8] 荀子。劝学 [M]. 中华书局，2011.</w:t>
      </w:r>
    </w:p>
    <w:sectPr>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BCA70E">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EDAF4C">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75EDAF4C">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60921">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AEF58E">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44AEF58E">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661E92"/>
    <w:rsid w:val="09661E92"/>
    <w:rsid w:val="32F56799"/>
    <w:rsid w:val="486C55E1"/>
    <w:rsid w:val="6F890296"/>
    <w:rsid w:val="797F1E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4208</Words>
  <Characters>4420</Characters>
  <Lines>0</Lines>
  <Paragraphs>0</Paragraphs>
  <TotalTime>4</TotalTime>
  <ScaleCrop>false</ScaleCrop>
  <LinksUpToDate>false</LinksUpToDate>
  <CharactersWithSpaces>4880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2025-10-12T02:26:00Z</dcterms:created>
  <dc:creator>。。。</dc:creator>
  <cp:lastModifiedBy>。。。</cp:lastModifiedBy>
  <dcterms:modified xsi:type="dcterms:W3CDTF">2026-01-31T18:18:21Z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5AA55F08C68C491F83B9B4F2566B19EB_11</vt:lpwstr>
  </property>
  <property fmtid="{D5CDD505-2E9C-101B-9397-08002B2CF9AE}" pid="4" name="KSOTemplateDocerSaveRecord">
    <vt:lpwstr>eyJoZGlkIjoiMTczMjQ4YWY1YzA5NTAxODlhMzY3MWQ4ZGJhN2Y1ZDIiLCJ1c2VySWQiOiI0Mzg4NDE4NjcifQ==</vt:lpwstr>
  </property>
</Properties>
</file>