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r>
        <w:rPr>
          <w:b/>
          <w:color w:val="1F3864"/>
          <w:sz w:val="36"/>
        </w:rPr>
        <w:t>Requirement sheets R01–R16</w:t>
      </w:r>
    </w:p>
    <w:p>
      <w:r>
        <w:rPr>
          <w:i/>
          <w:sz w:val="20"/>
        </w:rPr>
        <w:t>Companion material to: RASOLOSOA, J. — A Reference Framework for DvP Settlement Architectures in Central Bank Money. Master 2 MIAGE IKSEM, Université Paris 1 Panthéon-Sorbonne, 2025–2026.</w:t>
      </w:r>
    </w:p>
    <w:p>
      <w:pPr>
        <w:spacing w:before="280" w:after="120"/>
        <w:jc w:val="left"/>
      </w:pPr>
      <w:r>
        <w:rPr>
          <w:b/>
          <w:color w:val="1F3864"/>
          <w:sz w:val="26"/>
        </w:rPr>
        <w:t>Purpose</w:t>
      </w:r>
    </w:p>
    <w:p>
      <w:r>
        <w:t>Table 4.3 of the manuscript reports the sixteen requirements in abridged form, one line each. These sheets give the full statement of each requirement together with everything needed to contest it: its normative anchor with page-level locators, the inductive theme that shaped it, the component that must realise it, the design parameter it deliberately leaves open, the sources that support it, and — stated explicitly — what an arrangement would have to look like to fail it.</w:t>
      </w:r>
    </w:p>
    <w:p>
      <w:r>
        <w:t>The last field matters most. A requirement set that nothing could fail is a description, not a test. Each sheet therefore closes by naming the observation that would defeat the requirement, so that the realisation matrix can be read as an instrument rather than as a summary.</w:t>
      </w:r>
    </w:p>
    <w:p>
      <w:pPr>
        <w:spacing w:before="280" w:after="120"/>
        <w:jc w:val="left"/>
      </w:pPr>
      <w:r>
        <w:rPr>
          <w:b/>
          <w:color w:val="1F3864"/>
          <w:sz w:val="26"/>
        </w:rPr>
        <w:t>How the fields relate to the manuscript</w:t>
      </w:r>
    </w:p>
    <w:tbl>
      <w:tblPr>
        <w:tblStyle w:val="TableGrid"/>
        <w:tblW w:type="auto" w:w="0"/>
        <w:jc w:val="center"/>
        <w:tblLook w:firstColumn="1" w:firstRow="1" w:lastColumn="0" w:lastRow="0" w:noHBand="0" w:noVBand="1" w:val="04A0"/>
      </w:tblPr>
      <w:tblGrid>
        <w:gridCol w:w="1814"/>
        <w:gridCol w:w="7597"/>
      </w:tblGrid>
      <w:tr>
        <w:tc>
          <w:tcPr>
            <w:tcW w:type="dxa" w:w="4759"/>
            <w:shd w:val="clear" w:fill="F2F2F2"/>
          </w:tcPr>
          <w:p>
            <w:r>
              <w:rPr>
                <w:b/>
                <w:sz w:val="18"/>
              </w:rPr>
              <w:t>Priority</w:t>
            </w:r>
          </w:p>
        </w:tc>
        <w:tc>
          <w:tcPr>
            <w:tcW w:type="dxa" w:w="4759"/>
          </w:tcPr>
          <w:p>
            <w:r>
              <w:rPr>
                <w:sz w:val="18"/>
              </w:rPr>
              <w:t>Core requirements condition admissibility (Section 4.2). Structural, Conditional and Secondary requirements describe dimensions on which admissible architectures may legitimately differ. Eight requirements are Core: R01–R07 and R14.</w:t>
            </w:r>
          </w:p>
        </w:tc>
      </w:tr>
      <w:tr>
        <w:tc>
          <w:tcPr>
            <w:tcW w:type="dxa" w:w="4759"/>
            <w:shd w:val="clear" w:fill="F2F2F2"/>
          </w:tcPr>
          <w:p>
            <w:r>
              <w:rPr>
                <w:b/>
                <w:sz w:val="18"/>
              </w:rPr>
              <w:t>Primary layer</w:t>
            </w:r>
          </w:p>
        </w:tc>
        <w:tc>
          <w:tcPr>
            <w:tcW w:type="dxa" w:w="4759"/>
          </w:tcPr>
          <w:p>
            <w:r>
              <w:rPr>
                <w:sz w:val="18"/>
              </w:rPr>
              <w:t>The functional layer that carries the requirement's control objective (Table 4.4). A layer in which the requirement is merely exercised, or in which an actor's authority is legally constituted, is secondary and is shown separately.</w:t>
            </w:r>
          </w:p>
        </w:tc>
      </w:tr>
      <w:tr>
        <w:tc>
          <w:tcPr>
            <w:tcW w:type="dxa" w:w="4759"/>
            <w:shd w:val="clear" w:fill="F2F2F2"/>
          </w:tcPr>
          <w:p>
            <w:r>
              <w:rPr>
                <w:b/>
                <w:sz w:val="18"/>
              </w:rPr>
              <w:t>Left open</w:t>
            </w:r>
          </w:p>
        </w:tc>
        <w:tc>
          <w:tcPr>
            <w:tcW w:type="dxa" w:w="4759"/>
          </w:tcPr>
          <w:p>
            <w:r>
              <w:rPr>
                <w:sz w:val="18"/>
              </w:rPr>
              <w:t>The design parameter D1–D5 that the requirement does not fix (Table 4.7). This field is what makes the underdetermination result auditable requirement by requirement.</w:t>
            </w:r>
          </w:p>
        </w:tc>
      </w:tr>
      <w:tr>
        <w:tc>
          <w:tcPr>
            <w:tcW w:type="dxa" w:w="4759"/>
            <w:shd w:val="clear" w:fill="F2F2F2"/>
          </w:tcPr>
          <w:p>
            <w:r>
              <w:rPr>
                <w:b/>
                <w:sz w:val="18"/>
              </w:rPr>
              <w:t>Sources</w:t>
            </w:r>
          </w:p>
        </w:tc>
        <w:tc>
          <w:tcPr>
            <w:tcW w:type="dxa" w:w="4759"/>
          </w:tcPr>
          <w:p>
            <w:r>
              <w:rPr>
                <w:sz w:val="18"/>
              </w:rPr>
              <w:t>Thesis bibliography reference plus the section, paragraph or page on which the evidence sits. The full locator register, with URLs and verbatim quotations, is in sheet 4 of the realisation matrix workbook.</w:t>
            </w:r>
          </w:p>
        </w:tc>
      </w:tr>
      <w:tr>
        <w:tc>
          <w:tcPr>
            <w:tcW w:type="dxa" w:w="4759"/>
            <w:shd w:val="clear" w:fill="F2F2F2"/>
          </w:tcPr>
          <w:p>
            <w:r>
              <w:rPr>
                <w:b/>
                <w:sz w:val="18"/>
              </w:rPr>
              <w:t>Falsification</w:t>
            </w:r>
          </w:p>
        </w:tc>
        <w:tc>
          <w:tcPr>
            <w:tcW w:type="dxa" w:w="4759"/>
          </w:tcPr>
          <w:p>
            <w:r>
              <w:rPr>
                <w:sz w:val="18"/>
              </w:rPr>
              <w:t>What would have to be observed for an arrangement to fail this requirement.</w:t>
            </w:r>
          </w:p>
        </w:tc>
      </w:tr>
    </w:tbl>
    <w:p>
      <w:pPr>
        <w:spacing w:before="280" w:after="120"/>
        <w:jc w:val="left"/>
      </w:pPr>
      <w:r>
        <w:rPr>
          <w:b/>
          <w:color w:val="1F3864"/>
          <w:sz w:val="26"/>
        </w:rPr>
        <w:t>A note on independence</w:t>
      </w:r>
    </w:p>
    <w:p>
      <w:r>
        <w:t>One coder derived this set. The coding rules were fixed before the final pass, each requirement is linked to an evidence location, a delayed second pass re-coded the corpus with divergences resolved against the source text, and the supervisor reviewed a sample of decisions. No inter-coder reliability statistic is claimed and no expert panel has assessed the set. These sheets exist so that the assessment others have not yet carried out remains possible on the published material.</w:t>
      </w:r>
    </w:p>
    <w:p>
      <w:r>
        <w:br w:type="page"/>
      </w:r>
    </w:p>
    <w:p>
      <w:pPr>
        <w:spacing w:before="0" w:after="120"/>
        <w:jc w:val="left"/>
      </w:pPr>
      <w:r>
        <w:rPr>
          <w:b/>
          <w:color w:val="1F3864"/>
          <w:sz w:val="30"/>
        </w:rPr>
        <w:t>R01 — Core</w:t>
      </w:r>
    </w:p>
    <w:p>
      <w:r>
        <w:rPr>
          <w:sz w:val="22"/>
        </w:rPr>
        <w:t>The arrangement shall rest on a legal basis that is well founded, clear and enforceable in every relevant jurisdiction for three distinct things: the ownership of the tokenised security, the enforceability of its transfer, and the moment at which each leg becomes irrevocable and unconditional. The arrangement shall name the register to which that legal basis attaches, and shall state the moment of finality for each leg separately where the two legs settle on different supports.</w:t>
      </w:r>
    </w:p>
    <w:tbl>
      <w:tblPr>
        <w:tblStyle w:val="TableGrid"/>
        <w:tblW w:type="auto" w:w="0"/>
        <w:tblLook w:firstColumn="1" w:firstRow="1" w:lastColumn="0" w:lastRow="0" w:noHBand="0" w:noVBand="1" w:val="04A0"/>
      </w:tblPr>
      <w:tblGrid>
        <w:gridCol w:w="2494"/>
        <w:gridCol w:w="6917"/>
      </w:tblGrid>
      <w:tr>
        <w:tc>
          <w:tcPr>
            <w:tcW w:type="dxa" w:w="4759"/>
            <w:shd w:val="clear" w:fill="F2F2F2"/>
          </w:tcPr>
          <w:p>
            <w:pPr>
              <w:spacing w:after="40"/>
            </w:pPr>
            <w:r>
              <w:rPr>
                <w:b/>
                <w:sz w:val="18"/>
              </w:rPr>
              <w:t>Priority</w:t>
            </w:r>
          </w:p>
        </w:tc>
        <w:tc>
          <w:tcPr>
            <w:tcW w:type="dxa" w:w="4759"/>
          </w:tcPr>
          <w:p>
            <w:pPr>
              <w:spacing w:after="40"/>
            </w:pPr>
            <w:r>
              <w:rPr>
                <w:sz w:val="18"/>
              </w:rPr>
              <w:t>Core</w:t>
            </w:r>
          </w:p>
        </w:tc>
      </w:tr>
      <w:tr>
        <w:tc>
          <w:tcPr>
            <w:tcW w:type="dxa" w:w="4759"/>
            <w:shd w:val="clear" w:fill="F2F2F2"/>
          </w:tcPr>
          <w:p>
            <w:pPr>
              <w:spacing w:after="40"/>
            </w:pPr>
            <w:r>
              <w:rPr>
                <w:b/>
                <w:sz w:val="18"/>
              </w:rPr>
              <w:t>Primary layer</w:t>
            </w:r>
          </w:p>
        </w:tc>
        <w:tc>
          <w:tcPr>
            <w:tcW w:type="dxa" w:w="4759"/>
          </w:tcPr>
          <w:p>
            <w:pPr>
              <w:spacing w:after="40"/>
            </w:pPr>
            <w:r>
              <w:rPr>
                <w:sz w:val="18"/>
              </w:rPr>
              <w:t>L1 - Legal and governance</w:t>
            </w:r>
          </w:p>
        </w:tc>
      </w:tr>
      <w:tr>
        <w:tc>
          <w:tcPr>
            <w:tcW w:type="dxa" w:w="4759"/>
            <w:shd w:val="clear" w:fill="F2F2F2"/>
          </w:tcPr>
          <w:p>
            <w:pPr>
              <w:spacing w:after="40"/>
            </w:pPr>
            <w:r>
              <w:rPr>
                <w:b/>
                <w:sz w:val="18"/>
              </w:rPr>
              <w:t>Secondary layer</w:t>
            </w:r>
          </w:p>
        </w:tc>
        <w:tc>
          <w:tcPr>
            <w:tcW w:type="dxa" w:w="4759"/>
          </w:tcPr>
          <w:p>
            <w:pPr>
              <w:spacing w:after="40"/>
            </w:pPr>
            <w:r>
              <w:rPr>
                <w:sz w:val="18"/>
              </w:rPr>
              <w:t>-</w:t>
            </w:r>
          </w:p>
        </w:tc>
      </w:tr>
      <w:tr>
        <w:tc>
          <w:tcPr>
            <w:tcW w:type="dxa" w:w="4759"/>
            <w:shd w:val="clear" w:fill="F2F2F2"/>
          </w:tcPr>
          <w:p>
            <w:pPr>
              <w:spacing w:after="40"/>
            </w:pPr>
            <w:r>
              <w:rPr>
                <w:b/>
                <w:sz w:val="18"/>
              </w:rPr>
              <w:t>PFMI anchor</w:t>
            </w:r>
          </w:p>
        </w:tc>
        <w:tc>
          <w:tcPr>
            <w:tcW w:type="dxa" w:w="4759"/>
          </w:tcPr>
          <w:p>
            <w:pPr>
              <w:spacing w:after="40"/>
            </w:pPr>
            <w:r>
              <w:rPr>
                <w:sz w:val="18"/>
              </w:rPr>
              <w:t>P1 Legal basis (p. 21); P8 Settlement finality (p. 64); P11 Central securities depositories (p. 72).</w:t>
            </w:r>
          </w:p>
        </w:tc>
      </w:tr>
      <w:tr>
        <w:tc>
          <w:tcPr>
            <w:tcW w:type="dxa" w:w="4759"/>
            <w:shd w:val="clear" w:fill="F2F2F2"/>
          </w:tcPr>
          <w:p>
            <w:pPr>
              <w:spacing w:after="40"/>
            </w:pPr>
            <w:r>
              <w:rPr>
                <w:b/>
                <w:sz w:val="18"/>
              </w:rPr>
              <w:t>Inductive theme</w:t>
            </w:r>
          </w:p>
        </w:tc>
        <w:tc>
          <w:tcPr>
            <w:tcW w:type="dxa" w:w="4759"/>
          </w:tcPr>
          <w:p>
            <w:pPr>
              <w:spacing w:after="40"/>
            </w:pPr>
            <w:r>
              <w:rPr>
                <w:sz w:val="18"/>
              </w:rPr>
              <w:t>T9 - regulatory and jurisdictional fragmentation.</w:t>
            </w:r>
          </w:p>
        </w:tc>
      </w:tr>
      <w:tr>
        <w:tc>
          <w:tcPr>
            <w:tcW w:type="dxa" w:w="4759"/>
            <w:shd w:val="clear" w:fill="F2F2F2"/>
          </w:tcPr>
          <w:p>
            <w:pPr>
              <w:spacing w:after="40"/>
            </w:pPr>
            <w:r>
              <w:rPr>
                <w:b/>
                <w:sz w:val="18"/>
              </w:rPr>
              <w:t>Responsible component or interaction</w:t>
            </w:r>
          </w:p>
        </w:tc>
        <w:tc>
          <w:tcPr>
            <w:tcW w:type="dxa" w:w="4759"/>
          </w:tcPr>
          <w:p>
            <w:pPr>
              <w:spacing w:after="40"/>
            </w:pPr>
            <w:r>
              <w:rPr>
                <w:sz w:val="18"/>
              </w:rPr>
              <w:t>L1 rulebook and designation instrument; the authoritative register named under D2; the release or commit interaction that carries finality.</w:t>
            </w:r>
          </w:p>
        </w:tc>
      </w:tr>
      <w:tr>
        <w:tc>
          <w:tcPr>
            <w:tcW w:type="dxa" w:w="4759"/>
            <w:shd w:val="clear" w:fill="F2F2F2"/>
          </w:tcPr>
          <w:p>
            <w:pPr>
              <w:spacing w:after="40"/>
            </w:pPr>
            <w:r>
              <w:rPr>
                <w:b/>
                <w:sz w:val="18"/>
              </w:rPr>
              <w:t>Left open (design parameter)</w:t>
            </w:r>
          </w:p>
        </w:tc>
        <w:tc>
          <w:tcPr>
            <w:tcW w:type="dxa" w:w="4759"/>
          </w:tcPr>
          <w:p>
            <w:pPr>
              <w:spacing w:after="40"/>
            </w:pPr>
            <w:r>
              <w:rPr>
                <w:sz w:val="18"/>
              </w:rPr>
              <w:t>Does not fix WHERE the authoritative record sits (D2). It requires that an answer be given, not which answer.</w:t>
            </w:r>
          </w:p>
        </w:tc>
      </w:tr>
      <w:tr>
        <w:tc>
          <w:tcPr>
            <w:tcW w:type="dxa" w:w="4759"/>
            <w:shd w:val="clear" w:fill="F2F2F2"/>
          </w:tcPr>
          <w:p>
            <w:pPr>
              <w:spacing w:after="40"/>
            </w:pPr>
            <w:r>
              <w:rPr>
                <w:b/>
                <w:sz w:val="18"/>
              </w:rPr>
              <w:t>Sources and locators</w:t>
            </w:r>
          </w:p>
        </w:tc>
        <w:tc>
          <w:tcPr>
            <w:tcW w:type="dxa" w:w="4759"/>
            <w:shd w:val="clear" w:fill="F7F9FC"/>
          </w:tcPr>
          <w:p>
            <w:pPr>
              <w:spacing w:after="40"/>
            </w:pPr>
            <w:r>
              <w:rPr>
                <w:sz w:val="18"/>
              </w:rPr>
              <w:t>[11] P1 p. 21, P8 p. 64, P11 p. 72. [23] para. 3.4.6 p. 17 (define the point at which a transfer becomes irrevocable and unconditional; a clear legal basis acknowledging finality). [8] Sec. 11-12 (SFD 'system' and 'transfer order'; fixing the moment of finality in a DLT environment). [21] Ch. 3 Box 2 pp. 24-25 (off-chain system as legal record of ownership); Box 5 p. 38 (SFD applies within the D-FMI). [13] Sec. 4 pp. 28-29. [20] p. 91.</w:t>
            </w:r>
          </w:p>
        </w:tc>
      </w:tr>
      <w:tr>
        <w:tc>
          <w:tcPr>
            <w:tcW w:type="dxa" w:w="4759"/>
            <w:shd w:val="clear" w:fill="F2F2F2"/>
          </w:tcPr>
          <w:p>
            <w:pPr>
              <w:spacing w:after="40"/>
            </w:pPr>
            <w:r>
              <w:rPr>
                <w:b/>
                <w:sz w:val="18"/>
              </w:rPr>
              <w:t>Falsification — what would defeat it</w:t>
            </w:r>
          </w:p>
        </w:tc>
        <w:tc>
          <w:tcPr>
            <w:tcW w:type="dxa" w:w="4759"/>
            <w:shd w:val="clear" w:fill="FFF2CC"/>
          </w:tcPr>
          <w:p>
            <w:pPr>
              <w:spacing w:after="40"/>
            </w:pPr>
            <w:r>
              <w:rPr>
                <w:sz w:val="18"/>
              </w:rPr>
              <w:t>An arrangement fails R01 if no register can be named as the one to which the legal basis attaches, or if two candidate moments of finality coexist for the same leg with no rule of priority between them.</w:t>
            </w:r>
          </w:p>
        </w:tc>
      </w:tr>
    </w:tbl>
    <w:p>
      <w:pPr>
        <w:spacing w:before="120"/>
      </w:pPr>
      <w:r>
        <w:rPr>
          <w:b/>
          <w:sz w:val="19"/>
        </w:rPr>
        <w:t>How each variant discharges it</w:t>
      </w:r>
    </w:p>
    <w:tbl>
      <w:tblPr>
        <w:tblStyle w:val="TableGrid"/>
        <w:tblW w:type="auto" w:w="0"/>
        <w:tblLook w:firstColumn="1" w:firstRow="1" w:lastColumn="0" w:lastRow="0" w:noHBand="0" w:noVBand="1" w:val="04A0"/>
      </w:tblPr>
      <w:tblGrid>
        <w:gridCol w:w="3173"/>
        <w:gridCol w:w="3173"/>
        <w:gridCol w:w="3173"/>
      </w:tblGrid>
      <w:tr>
        <w:tc>
          <w:tcPr>
            <w:tcW w:type="dxa" w:w="3173"/>
            <w:shd w:val="clear" w:fill="DCE6F1"/>
          </w:tcPr>
          <w:p>
            <w:r>
              <w:rPr>
                <w:b/>
                <w:sz w:val="18"/>
              </w:rPr>
              <w:t>B1 — Synchronised trigger</w:t>
            </w:r>
          </w:p>
        </w:tc>
        <w:tc>
          <w:tcPr>
            <w:tcW w:type="dxa" w:w="3173"/>
            <w:shd w:val="clear" w:fill="DCE6F1"/>
          </w:tcPr>
          <w:p>
            <w:r>
              <w:rPr>
                <w:b/>
                <w:sz w:val="18"/>
              </w:rPr>
              <w:t>B2 — Integrated on-ledger</w:t>
            </w:r>
          </w:p>
        </w:tc>
        <w:tc>
          <w:tcPr>
            <w:tcW w:type="dxa" w:w="3173"/>
            <w:shd w:val="clear" w:fill="DCE6F1"/>
          </w:tcPr>
          <w:p>
            <w:r>
              <w:rPr>
                <w:b/>
                <w:sz w:val="18"/>
              </w:rPr>
              <w:t>B3 — Cross-ledger HTLC</w:t>
            </w:r>
          </w:p>
        </w:tc>
      </w:tr>
      <w:tr>
        <w:tc>
          <w:tcPr>
            <w:tcW w:type="dxa" w:w="3173"/>
          </w:tcPr>
          <w:p>
            <w:r>
              <w:rPr>
                <w:sz w:val="17"/>
              </w:rPr>
              <w:t>RTGS finality under the existing designation; the CSD record acquires securities finality at release.</w:t>
            </w:r>
          </w:p>
        </w:tc>
        <w:tc>
          <w:tcPr>
            <w:tcW w:type="dxa" w:w="3173"/>
          </w:tcPr>
          <w:p>
            <w:r>
              <w:rPr>
                <w:sz w:val="17"/>
              </w:rPr>
              <w:t>Finality at the platform commit; the ledger is the authoritative record.</w:t>
            </w:r>
          </w:p>
        </w:tc>
        <w:tc>
          <w:tcPr>
            <w:tcW w:type="dxa" w:w="3173"/>
          </w:tcPr>
          <w:p>
            <w:r>
              <w:rPr>
                <w:sz w:val="17"/>
              </w:rPr>
              <w:t>Finality conditional on the locks - the heaviest legal demand of the three. Contested cell.</w:t>
            </w:r>
          </w:p>
        </w:tc>
      </w:tr>
    </w:tbl>
    <w:p>
      <w:r>
        <w:rPr>
          <w:i/>
          <w:sz w:val="17"/>
        </w:rPr>
        <w:t>Full cell content — mechanism, interface trace, evidence, assumption and residual risk — is in the realisation matrix workbook, sheet 2.</w:t>
      </w:r>
    </w:p>
    <w:p>
      <w:r>
        <w:br w:type="page"/>
      </w:r>
    </w:p>
    <w:p>
      <w:pPr>
        <w:spacing w:before="360" w:after="120"/>
        <w:jc w:val="left"/>
      </w:pPr>
      <w:r>
        <w:rPr>
          <w:b/>
          <w:color w:val="1F3864"/>
          <w:sz w:val="30"/>
        </w:rPr>
        <w:t>R02 — Core</w:t>
      </w:r>
    </w:p>
    <w:p>
      <w:r>
        <w:rPr>
          <w:sz w:val="22"/>
        </w:rPr>
        <w:t>Every critical function of the arrangement - operation of the register, endorsement of issuance, coordination of the two legs, operation of the platform, and supervision - shall be allocated to an identifiable legal entity, and that allocation shall be recorded in the rulebook. One institution may hold several functional roles. Neither the central bank nor the supervisory authority may also act as a participant, and the same restriction applies to the entity endorsing the authoritative record.</w:t>
      </w:r>
    </w:p>
    <w:tbl>
      <w:tblPr>
        <w:tblStyle w:val="TableGrid"/>
        <w:tblW w:type="auto" w:w="0"/>
        <w:tblLook w:firstColumn="1" w:firstRow="1" w:lastColumn="0" w:lastRow="0" w:noHBand="0" w:noVBand="1" w:val="04A0"/>
      </w:tblPr>
      <w:tblGrid>
        <w:gridCol w:w="2494"/>
        <w:gridCol w:w="6917"/>
      </w:tblGrid>
      <w:tr>
        <w:tc>
          <w:tcPr>
            <w:tcW w:type="dxa" w:w="4759"/>
            <w:shd w:val="clear" w:fill="F2F2F2"/>
          </w:tcPr>
          <w:p>
            <w:pPr>
              <w:spacing w:after="40"/>
            </w:pPr>
            <w:r>
              <w:rPr>
                <w:b/>
                <w:sz w:val="18"/>
              </w:rPr>
              <w:t>Priority</w:t>
            </w:r>
          </w:p>
        </w:tc>
        <w:tc>
          <w:tcPr>
            <w:tcW w:type="dxa" w:w="4759"/>
          </w:tcPr>
          <w:p>
            <w:pPr>
              <w:spacing w:after="40"/>
            </w:pPr>
            <w:r>
              <w:rPr>
                <w:sz w:val="18"/>
              </w:rPr>
              <w:t>Core</w:t>
            </w:r>
          </w:p>
        </w:tc>
      </w:tr>
      <w:tr>
        <w:tc>
          <w:tcPr>
            <w:tcW w:type="dxa" w:w="4759"/>
            <w:shd w:val="clear" w:fill="F2F2F2"/>
          </w:tcPr>
          <w:p>
            <w:pPr>
              <w:spacing w:after="40"/>
            </w:pPr>
            <w:r>
              <w:rPr>
                <w:b/>
                <w:sz w:val="18"/>
              </w:rPr>
              <w:t>Primary layer</w:t>
            </w:r>
          </w:p>
        </w:tc>
        <w:tc>
          <w:tcPr>
            <w:tcW w:type="dxa" w:w="4759"/>
          </w:tcPr>
          <w:p>
            <w:pPr>
              <w:spacing w:after="40"/>
            </w:pPr>
            <w:r>
              <w:rPr>
                <w:sz w:val="18"/>
              </w:rPr>
              <w:t>L1 - Legal and governance</w:t>
            </w:r>
          </w:p>
        </w:tc>
      </w:tr>
      <w:tr>
        <w:tc>
          <w:tcPr>
            <w:tcW w:type="dxa" w:w="4759"/>
            <w:shd w:val="clear" w:fill="F2F2F2"/>
          </w:tcPr>
          <w:p>
            <w:pPr>
              <w:spacing w:after="40"/>
            </w:pPr>
            <w:r>
              <w:rPr>
                <w:b/>
                <w:sz w:val="18"/>
              </w:rPr>
              <w:t>Secondary layer</w:t>
            </w:r>
          </w:p>
        </w:tc>
        <w:tc>
          <w:tcPr>
            <w:tcW w:type="dxa" w:w="4759"/>
          </w:tcPr>
          <w:p>
            <w:pPr>
              <w:spacing w:after="40"/>
            </w:pPr>
            <w:r>
              <w:rPr>
                <w:sz w:val="18"/>
              </w:rPr>
              <w:t>-</w:t>
            </w:r>
          </w:p>
        </w:tc>
      </w:tr>
      <w:tr>
        <w:tc>
          <w:tcPr>
            <w:tcW w:type="dxa" w:w="4759"/>
            <w:shd w:val="clear" w:fill="F2F2F2"/>
          </w:tcPr>
          <w:p>
            <w:pPr>
              <w:spacing w:after="40"/>
            </w:pPr>
            <w:r>
              <w:rPr>
                <w:b/>
                <w:sz w:val="18"/>
              </w:rPr>
              <w:t>PFMI anchor</w:t>
            </w:r>
          </w:p>
        </w:tc>
        <w:tc>
          <w:tcPr>
            <w:tcW w:type="dxa" w:w="4759"/>
          </w:tcPr>
          <w:p>
            <w:pPr>
              <w:spacing w:after="40"/>
            </w:pPr>
            <w:r>
              <w:rPr>
                <w:sz w:val="18"/>
              </w:rPr>
              <w:t>P2 Governance (p. 26); P18 Access and participation (p. 101).</w:t>
            </w:r>
          </w:p>
        </w:tc>
      </w:tr>
      <w:tr>
        <w:tc>
          <w:tcPr>
            <w:tcW w:type="dxa" w:w="4759"/>
            <w:shd w:val="clear" w:fill="F2F2F2"/>
          </w:tcPr>
          <w:p>
            <w:pPr>
              <w:spacing w:after="40"/>
            </w:pPr>
            <w:r>
              <w:rPr>
                <w:b/>
                <w:sz w:val="18"/>
              </w:rPr>
              <w:t>Inductive theme</w:t>
            </w:r>
          </w:p>
        </w:tc>
        <w:tc>
          <w:tcPr>
            <w:tcW w:type="dxa" w:w="4759"/>
          </w:tcPr>
          <w:p>
            <w:pPr>
              <w:spacing w:after="40"/>
            </w:pPr>
            <w:r>
              <w:rPr>
                <w:sz w:val="18"/>
              </w:rPr>
              <w:t>T7 - market structure; T8 - system governance.</w:t>
            </w:r>
          </w:p>
        </w:tc>
      </w:tr>
      <w:tr>
        <w:tc>
          <w:tcPr>
            <w:tcW w:type="dxa" w:w="4759"/>
            <w:shd w:val="clear" w:fill="F2F2F2"/>
          </w:tcPr>
          <w:p>
            <w:pPr>
              <w:spacing w:after="40"/>
            </w:pPr>
            <w:r>
              <w:rPr>
                <w:b/>
                <w:sz w:val="18"/>
              </w:rPr>
              <w:t>Responsible component or interaction</w:t>
            </w:r>
          </w:p>
        </w:tc>
        <w:tc>
          <w:tcPr>
            <w:tcW w:type="dxa" w:w="4759"/>
          </w:tcPr>
          <w:p>
            <w:pPr>
              <w:spacing w:after="40"/>
            </w:pPr>
            <w:r>
              <w:rPr>
                <w:sz w:val="18"/>
              </w:rPr>
              <w:t>L1 rulebook; the operator agreements; the role allocation reported in Table 4.5 of the manuscript.</w:t>
            </w:r>
          </w:p>
        </w:tc>
      </w:tr>
      <w:tr>
        <w:tc>
          <w:tcPr>
            <w:tcW w:type="dxa" w:w="4759"/>
            <w:shd w:val="clear" w:fill="F2F2F2"/>
          </w:tcPr>
          <w:p>
            <w:pPr>
              <w:spacing w:after="40"/>
            </w:pPr>
            <w:r>
              <w:rPr>
                <w:b/>
                <w:sz w:val="18"/>
              </w:rPr>
              <w:t>Left open (design parameter)</w:t>
            </w:r>
          </w:p>
        </w:tc>
        <w:tc>
          <w:tcPr>
            <w:tcW w:type="dxa" w:w="4759"/>
          </w:tcPr>
          <w:p>
            <w:pPr>
              <w:spacing w:after="40"/>
            </w:pPr>
            <w:r>
              <w:rPr>
                <w:sz w:val="18"/>
              </w:rPr>
              <w:t>Does not fix which institution holds which role, nor whether roles are concentrated or dispersed.</w:t>
            </w:r>
          </w:p>
        </w:tc>
      </w:tr>
      <w:tr>
        <w:tc>
          <w:tcPr>
            <w:tcW w:type="dxa" w:w="4759"/>
            <w:shd w:val="clear" w:fill="F2F2F2"/>
          </w:tcPr>
          <w:p>
            <w:pPr>
              <w:spacing w:after="40"/>
            </w:pPr>
            <w:r>
              <w:rPr>
                <w:b/>
                <w:sz w:val="18"/>
              </w:rPr>
              <w:t>Sources and locators</w:t>
            </w:r>
          </w:p>
        </w:tc>
        <w:tc>
          <w:tcPr>
            <w:tcW w:type="dxa" w:w="4759"/>
            <w:shd w:val="clear" w:fill="F7F9FC"/>
          </w:tcPr>
          <w:p>
            <w:pPr>
              <w:spacing w:after="40"/>
            </w:pPr>
            <w:r>
              <w:rPr>
                <w:sz w:val="18"/>
              </w:rPr>
              <w:t>[11] P2 p. 26, P18 p. 101. [23] para. 3.2.5 p. 13 (a transfer function executed as code with no entity in control of it is the governance problem); para. 3.2.8 p. 14 (clear and direct lines of responsibility and accountability). [5] (tokenisation redistributes authority between banks, platform operators and standard setters). [13] Sec. 2.3 Req. 6 p. 16. [15] p. 13. NOTE: para. 3.2.8 is permissive - see the drafting note in Section 4 of the companion corrections file.</w:t>
            </w:r>
          </w:p>
        </w:tc>
      </w:tr>
      <w:tr>
        <w:tc>
          <w:tcPr>
            <w:tcW w:type="dxa" w:w="4759"/>
            <w:shd w:val="clear" w:fill="F2F2F2"/>
          </w:tcPr>
          <w:p>
            <w:pPr>
              <w:spacing w:after="40"/>
            </w:pPr>
            <w:r>
              <w:rPr>
                <w:b/>
                <w:sz w:val="18"/>
              </w:rPr>
              <w:t>Falsification — what would defeat it</w:t>
            </w:r>
          </w:p>
        </w:tc>
        <w:tc>
          <w:tcPr>
            <w:tcW w:type="dxa" w:w="4759"/>
            <w:shd w:val="clear" w:fill="FFF2CC"/>
          </w:tcPr>
          <w:p>
            <w:pPr>
              <w:spacing w:after="40"/>
            </w:pPr>
            <w:r>
              <w:rPr>
                <w:sz w:val="18"/>
              </w:rPr>
              <w:t>An arrangement fails R02 if a function on the settlement path has no entity answerable for it, or if the entity that endorses the authoritative record also trades on it.</w:t>
            </w:r>
          </w:p>
        </w:tc>
      </w:tr>
    </w:tbl>
    <w:p>
      <w:pPr>
        <w:spacing w:before="120"/>
      </w:pPr>
      <w:r>
        <w:rPr>
          <w:b/>
          <w:sz w:val="19"/>
        </w:rPr>
        <w:t>How each variant discharges it</w:t>
      </w:r>
    </w:p>
    <w:tbl>
      <w:tblPr>
        <w:tblStyle w:val="TableGrid"/>
        <w:tblW w:type="auto" w:w="0"/>
        <w:tblLook w:firstColumn="1" w:firstRow="1" w:lastColumn="0" w:lastRow="0" w:noHBand="0" w:noVBand="1" w:val="04A0"/>
      </w:tblPr>
      <w:tblGrid>
        <w:gridCol w:w="3173"/>
        <w:gridCol w:w="3173"/>
        <w:gridCol w:w="3173"/>
      </w:tblGrid>
      <w:tr>
        <w:tc>
          <w:tcPr>
            <w:tcW w:type="dxa" w:w="3173"/>
            <w:shd w:val="clear" w:fill="DCE6F1"/>
          </w:tcPr>
          <w:p>
            <w:r>
              <w:rPr>
                <w:b/>
                <w:sz w:val="18"/>
              </w:rPr>
              <w:t>B1 — Synchronised trigger</w:t>
            </w:r>
          </w:p>
        </w:tc>
        <w:tc>
          <w:tcPr>
            <w:tcW w:type="dxa" w:w="3173"/>
            <w:shd w:val="clear" w:fill="DCE6F1"/>
          </w:tcPr>
          <w:p>
            <w:r>
              <w:rPr>
                <w:b/>
                <w:sz w:val="18"/>
              </w:rPr>
              <w:t>B2 — Integrated on-ledger</w:t>
            </w:r>
          </w:p>
        </w:tc>
        <w:tc>
          <w:tcPr>
            <w:tcW w:type="dxa" w:w="3173"/>
            <w:shd w:val="clear" w:fill="DCE6F1"/>
          </w:tcPr>
          <w:p>
            <w:r>
              <w:rPr>
                <w:b/>
                <w:sz w:val="18"/>
              </w:rPr>
              <w:t>B3 — Cross-ledger HTLC</w:t>
            </w:r>
          </w:p>
        </w:tc>
      </w:tr>
      <w:tr>
        <w:tc>
          <w:tcPr>
            <w:tcW w:type="dxa" w:w="3173"/>
          </w:tcPr>
          <w:p>
            <w:r>
              <w:rPr>
                <w:sz w:val="17"/>
              </w:rPr>
              <w:t>Roles split across two infrastructures, with a named accountable coordinator.</w:t>
            </w:r>
          </w:p>
        </w:tc>
        <w:tc>
          <w:tcPr>
            <w:tcW w:type="dxa" w:w="3173"/>
          </w:tcPr>
          <w:p>
            <w:r>
              <w:rPr>
                <w:sz w:val="17"/>
              </w:rPr>
              <w:t>Roles expressed as endorsement policies on one permissioned network.</w:t>
            </w:r>
          </w:p>
        </w:tc>
        <w:tc>
          <w:tcPr>
            <w:tcW w:type="dxa" w:w="3173"/>
          </w:tcPr>
          <w:p>
            <w:r>
              <w:rPr>
                <w:sz w:val="17"/>
              </w:rPr>
              <w:t>No coordinator: duties allocated by rulebook rather than by a component.</w:t>
            </w:r>
          </w:p>
        </w:tc>
      </w:tr>
    </w:tbl>
    <w:p>
      <w:r>
        <w:rPr>
          <w:i/>
          <w:sz w:val="17"/>
        </w:rPr>
        <w:t>Full cell content — mechanism, interface trace, evidence, assumption and residual risk — is in the realisation matrix workbook, sheet 2.</w:t>
      </w:r>
    </w:p>
    <w:p>
      <w:r>
        <w:br w:type="page"/>
      </w:r>
    </w:p>
    <w:p>
      <w:pPr>
        <w:spacing w:before="360" w:after="120"/>
        <w:jc w:val="left"/>
      </w:pPr>
      <w:r>
        <w:rPr>
          <w:b/>
          <w:color w:val="1F3864"/>
          <w:sz w:val="30"/>
        </w:rPr>
        <w:t>R03 — Core</w:t>
      </w:r>
    </w:p>
    <w:p>
      <w:r>
        <w:rPr>
          <w:sz w:val="22"/>
        </w:rPr>
        <w:t>Access to the arrangement shall rest on objective, risk-based and publicly disclosed criteria. Where the two legs sit under separate access regimes, both regimes shall be satisfied before an instruction is admitted, and a suspension under either regime shall propagate to the other. The monetary authority shall retain the decision on who may hold or receive the settlement asset.</w:t>
      </w:r>
    </w:p>
    <w:tbl>
      <w:tblPr>
        <w:tblStyle w:val="TableGrid"/>
        <w:tblW w:type="auto" w:w="0"/>
        <w:tblLook w:firstColumn="1" w:firstRow="1" w:lastColumn="0" w:lastRow="0" w:noHBand="0" w:noVBand="1" w:val="04A0"/>
      </w:tblPr>
      <w:tblGrid>
        <w:gridCol w:w="2494"/>
        <w:gridCol w:w="6917"/>
      </w:tblGrid>
      <w:tr>
        <w:tc>
          <w:tcPr>
            <w:tcW w:type="dxa" w:w="4759"/>
            <w:shd w:val="clear" w:fill="F2F2F2"/>
          </w:tcPr>
          <w:p>
            <w:pPr>
              <w:spacing w:after="40"/>
            </w:pPr>
            <w:r>
              <w:rPr>
                <w:b/>
                <w:sz w:val="18"/>
              </w:rPr>
              <w:t>Priority</w:t>
            </w:r>
          </w:p>
        </w:tc>
        <w:tc>
          <w:tcPr>
            <w:tcW w:type="dxa" w:w="4759"/>
          </w:tcPr>
          <w:p>
            <w:pPr>
              <w:spacing w:after="40"/>
            </w:pPr>
            <w:r>
              <w:rPr>
                <w:sz w:val="18"/>
              </w:rPr>
              <w:t>Core</w:t>
            </w:r>
          </w:p>
        </w:tc>
      </w:tr>
      <w:tr>
        <w:tc>
          <w:tcPr>
            <w:tcW w:type="dxa" w:w="4759"/>
            <w:shd w:val="clear" w:fill="F2F2F2"/>
          </w:tcPr>
          <w:p>
            <w:pPr>
              <w:spacing w:after="40"/>
            </w:pPr>
            <w:r>
              <w:rPr>
                <w:b/>
                <w:sz w:val="18"/>
              </w:rPr>
              <w:t>Primary layer</w:t>
            </w:r>
          </w:p>
        </w:tc>
        <w:tc>
          <w:tcPr>
            <w:tcW w:type="dxa" w:w="4759"/>
          </w:tcPr>
          <w:p>
            <w:pPr>
              <w:spacing w:after="40"/>
            </w:pPr>
            <w:r>
              <w:rPr>
                <w:sz w:val="18"/>
              </w:rPr>
              <w:t>L2 - Participation and access</w:t>
            </w:r>
          </w:p>
        </w:tc>
      </w:tr>
      <w:tr>
        <w:tc>
          <w:tcPr>
            <w:tcW w:type="dxa" w:w="4759"/>
            <w:shd w:val="clear" w:fill="F2F2F2"/>
          </w:tcPr>
          <w:p>
            <w:pPr>
              <w:spacing w:after="40"/>
            </w:pPr>
            <w:r>
              <w:rPr>
                <w:b/>
                <w:sz w:val="18"/>
              </w:rPr>
              <w:t>Secondary layer</w:t>
            </w:r>
          </w:p>
        </w:tc>
        <w:tc>
          <w:tcPr>
            <w:tcW w:type="dxa" w:w="4759"/>
          </w:tcPr>
          <w:p>
            <w:pPr>
              <w:spacing w:after="40"/>
            </w:pPr>
            <w:r>
              <w:rPr>
                <w:sz w:val="18"/>
              </w:rPr>
              <w:t>-</w:t>
            </w:r>
          </w:p>
        </w:tc>
      </w:tr>
      <w:tr>
        <w:tc>
          <w:tcPr>
            <w:tcW w:type="dxa" w:w="4759"/>
            <w:shd w:val="clear" w:fill="F2F2F2"/>
          </w:tcPr>
          <w:p>
            <w:pPr>
              <w:spacing w:after="40"/>
            </w:pPr>
            <w:r>
              <w:rPr>
                <w:b/>
                <w:sz w:val="18"/>
              </w:rPr>
              <w:t>PFMI anchor</w:t>
            </w:r>
          </w:p>
        </w:tc>
        <w:tc>
          <w:tcPr>
            <w:tcW w:type="dxa" w:w="4759"/>
          </w:tcPr>
          <w:p>
            <w:pPr>
              <w:spacing w:after="40"/>
            </w:pPr>
            <w:r>
              <w:rPr>
                <w:sz w:val="18"/>
              </w:rPr>
              <w:t>P18 Access and participation (p. 101); P19 Tiered participation.</w:t>
            </w:r>
          </w:p>
        </w:tc>
      </w:tr>
      <w:tr>
        <w:tc>
          <w:tcPr>
            <w:tcW w:type="dxa" w:w="4759"/>
            <w:shd w:val="clear" w:fill="F2F2F2"/>
          </w:tcPr>
          <w:p>
            <w:pPr>
              <w:spacing w:after="40"/>
            </w:pPr>
            <w:r>
              <w:rPr>
                <w:b/>
                <w:sz w:val="18"/>
              </w:rPr>
              <w:t>Inductive theme</w:t>
            </w:r>
          </w:p>
        </w:tc>
        <w:tc>
          <w:tcPr>
            <w:tcW w:type="dxa" w:w="4759"/>
          </w:tcPr>
          <w:p>
            <w:pPr>
              <w:spacing w:after="40"/>
            </w:pPr>
            <w:r>
              <w:rPr>
                <w:sz w:val="18"/>
              </w:rPr>
              <w:t>None. R03 rests on the deductive layer: the principles already name access, and the inductive pass found nothing further.</w:t>
            </w:r>
          </w:p>
        </w:tc>
      </w:tr>
      <w:tr>
        <w:tc>
          <w:tcPr>
            <w:tcW w:type="dxa" w:w="4759"/>
            <w:shd w:val="clear" w:fill="F2F2F2"/>
          </w:tcPr>
          <w:p>
            <w:pPr>
              <w:spacing w:after="40"/>
            </w:pPr>
            <w:r>
              <w:rPr>
                <w:b/>
                <w:sz w:val="18"/>
              </w:rPr>
              <w:t>Responsible component or interaction</w:t>
            </w:r>
          </w:p>
        </w:tc>
        <w:tc>
          <w:tcPr>
            <w:tcW w:type="dxa" w:w="4759"/>
          </w:tcPr>
          <w:p>
            <w:pPr>
              <w:spacing w:after="40"/>
            </w:pPr>
            <w:r>
              <w:rPr>
                <w:sz w:val="18"/>
              </w:rPr>
              <w:t>L2 admission and eligibility checks; the entry guard on the settlement instruction; the central bank's reserved control over eligibility for the cash leg.</w:t>
            </w:r>
          </w:p>
        </w:tc>
      </w:tr>
      <w:tr>
        <w:tc>
          <w:tcPr>
            <w:tcW w:type="dxa" w:w="4759"/>
            <w:shd w:val="clear" w:fill="F2F2F2"/>
          </w:tcPr>
          <w:p>
            <w:pPr>
              <w:spacing w:after="40"/>
            </w:pPr>
            <w:r>
              <w:rPr>
                <w:b/>
                <w:sz w:val="18"/>
              </w:rPr>
              <w:t>Left open (design parameter)</w:t>
            </w:r>
          </w:p>
        </w:tc>
        <w:tc>
          <w:tcPr>
            <w:tcW w:type="dxa" w:w="4759"/>
          </w:tcPr>
          <w:p>
            <w:pPr>
              <w:spacing w:after="40"/>
            </w:pPr>
            <w:r>
              <w:rPr>
                <w:sz w:val="18"/>
              </w:rPr>
              <w:t>Does not fix whether participation is direct or tiered and sponsored (D4). D4 is the one parameter that remains largely orthogonal to the choice of coordination mechanism.</w:t>
            </w:r>
          </w:p>
        </w:tc>
      </w:tr>
      <w:tr>
        <w:tc>
          <w:tcPr>
            <w:tcW w:type="dxa" w:w="4759"/>
            <w:shd w:val="clear" w:fill="F2F2F2"/>
          </w:tcPr>
          <w:p>
            <w:pPr>
              <w:spacing w:after="40"/>
            </w:pPr>
            <w:r>
              <w:rPr>
                <w:b/>
                <w:sz w:val="18"/>
              </w:rPr>
              <w:t>Sources and locators</w:t>
            </w:r>
          </w:p>
        </w:tc>
        <w:tc>
          <w:tcPr>
            <w:tcW w:type="dxa" w:w="4759"/>
            <w:shd w:val="clear" w:fill="F7F9FC"/>
          </w:tcPr>
          <w:p>
            <w:pPr>
              <w:spacing w:after="40"/>
            </w:pPr>
            <w:r>
              <w:rPr>
                <w:sz w:val="18"/>
              </w:rPr>
              <w:t>[11] P18 p. 101, P19. [20] p. 96 (central banks must retain final say over access to their payment balances). [13] Sec. 2.3 Req. 6 p. 16. [21] Executive summary p. 7.</w:t>
            </w:r>
          </w:p>
        </w:tc>
      </w:tr>
      <w:tr>
        <w:tc>
          <w:tcPr>
            <w:tcW w:type="dxa" w:w="4759"/>
            <w:shd w:val="clear" w:fill="F2F2F2"/>
          </w:tcPr>
          <w:p>
            <w:pPr>
              <w:spacing w:after="40"/>
            </w:pPr>
            <w:r>
              <w:rPr>
                <w:b/>
                <w:sz w:val="18"/>
              </w:rPr>
              <w:t>Falsification — what would defeat it</w:t>
            </w:r>
          </w:p>
        </w:tc>
        <w:tc>
          <w:tcPr>
            <w:tcW w:type="dxa" w:w="4759"/>
            <w:shd w:val="clear" w:fill="FFF2CC"/>
          </w:tcPr>
          <w:p>
            <w:pPr>
              <w:spacing w:after="40"/>
            </w:pPr>
            <w:r>
              <w:rPr>
                <w:sz w:val="18"/>
              </w:rPr>
              <w:t>An arrangement fails R03 if a party can reach one leg without being eligible for the other, or if the monetary authority cannot refuse a holder of the settlement asset.</w:t>
            </w:r>
          </w:p>
        </w:tc>
      </w:tr>
    </w:tbl>
    <w:p>
      <w:pPr>
        <w:spacing w:before="120"/>
      </w:pPr>
      <w:r>
        <w:rPr>
          <w:b/>
          <w:sz w:val="19"/>
        </w:rPr>
        <w:t>How each variant discharges it</w:t>
      </w:r>
    </w:p>
    <w:tbl>
      <w:tblPr>
        <w:tblStyle w:val="TableGrid"/>
        <w:tblW w:type="auto" w:w="0"/>
        <w:tblLook w:firstColumn="1" w:firstRow="1" w:lastColumn="0" w:lastRow="0" w:noHBand="0" w:noVBand="1" w:val="04A0"/>
      </w:tblPr>
      <w:tblGrid>
        <w:gridCol w:w="3173"/>
        <w:gridCol w:w="3173"/>
        <w:gridCol w:w="3173"/>
      </w:tblGrid>
      <w:tr>
        <w:tc>
          <w:tcPr>
            <w:tcW w:type="dxa" w:w="3173"/>
            <w:shd w:val="clear" w:fill="DCE6F1"/>
          </w:tcPr>
          <w:p>
            <w:r>
              <w:rPr>
                <w:b/>
                <w:sz w:val="18"/>
              </w:rPr>
              <w:t>B1 — Synchronised trigger</w:t>
            </w:r>
          </w:p>
        </w:tc>
        <w:tc>
          <w:tcPr>
            <w:tcW w:type="dxa" w:w="3173"/>
            <w:shd w:val="clear" w:fill="DCE6F1"/>
          </w:tcPr>
          <w:p>
            <w:r>
              <w:rPr>
                <w:b/>
                <w:sz w:val="18"/>
              </w:rPr>
              <w:t>B2 — Integrated on-ledger</w:t>
            </w:r>
          </w:p>
        </w:tc>
        <w:tc>
          <w:tcPr>
            <w:tcW w:type="dxa" w:w="3173"/>
            <w:shd w:val="clear" w:fill="DCE6F1"/>
          </w:tcPr>
          <w:p>
            <w:r>
              <w:rPr>
                <w:b/>
                <w:sz w:val="18"/>
              </w:rPr>
              <w:t>B3 — Cross-ledger HTLC</w:t>
            </w:r>
          </w:p>
        </w:tc>
      </w:tr>
      <w:tr>
        <w:tc>
          <w:tcPr>
            <w:tcW w:type="dxa" w:w="3173"/>
          </w:tcPr>
          <w:p>
            <w:r>
              <w:rPr>
                <w:sz w:val="17"/>
              </w:rPr>
              <w:t>Two access regimes to keep aligned: securities DLT plus existing RTGS access.</w:t>
            </w:r>
          </w:p>
        </w:tc>
        <w:tc>
          <w:tcPr>
            <w:tcW w:type="dxa" w:w="3173"/>
          </w:tcPr>
          <w:p>
            <w:r>
              <w:rPr>
                <w:sz w:val="17"/>
              </w:rPr>
              <w:t>One onboarding regime; the central bank keeps the last word through reserved mint and burn.</w:t>
            </w:r>
          </w:p>
        </w:tc>
        <w:tc>
          <w:tcPr>
            <w:tcW w:type="dxa" w:w="3173"/>
          </w:tcPr>
          <w:p>
            <w:r>
              <w:rPr>
                <w:sz w:val="17"/>
              </w:rPr>
              <w:t>Two register-level regimes; the central bank controls eligibility natively on the cash side.</w:t>
            </w:r>
          </w:p>
        </w:tc>
      </w:tr>
    </w:tbl>
    <w:p>
      <w:r>
        <w:rPr>
          <w:i/>
          <w:sz w:val="17"/>
        </w:rPr>
        <w:t>Full cell content — mechanism, interface trace, evidence, assumption and residual risk — is in the realisation matrix workbook, sheet 2.</w:t>
      </w:r>
    </w:p>
    <w:p>
      <w:r>
        <w:br w:type="page"/>
      </w:r>
    </w:p>
    <w:p>
      <w:pPr>
        <w:spacing w:before="360" w:after="120"/>
        <w:jc w:val="left"/>
      </w:pPr>
      <w:r>
        <w:rPr>
          <w:b/>
          <w:color w:val="1F3864"/>
          <w:sz w:val="30"/>
        </w:rPr>
        <w:t>R04 — Core</w:t>
      </w:r>
    </w:p>
    <w:p>
      <w:r>
        <w:rPr>
          <w:sz w:val="22"/>
        </w:rPr>
        <w:t>The cash leg shall settle in central bank money, held either as a balance in a real-time gross settlement system or as a claim on the central bank represented on a ledger. Where the cash leg is represented on a ledger, it shall be a direct claim on the central bank and its issuance and redemption shall be reserved to the central bank.</w:t>
      </w:r>
    </w:p>
    <w:tbl>
      <w:tblPr>
        <w:tblStyle w:val="TableGrid"/>
        <w:tblW w:type="auto" w:w="0"/>
        <w:tblLook w:firstColumn="1" w:firstRow="1" w:lastColumn="0" w:lastRow="0" w:noHBand="0" w:noVBand="1" w:val="04A0"/>
      </w:tblPr>
      <w:tblGrid>
        <w:gridCol w:w="2494"/>
        <w:gridCol w:w="6917"/>
      </w:tblGrid>
      <w:tr>
        <w:tc>
          <w:tcPr>
            <w:tcW w:type="dxa" w:w="4759"/>
            <w:shd w:val="clear" w:fill="F2F2F2"/>
          </w:tcPr>
          <w:p>
            <w:pPr>
              <w:spacing w:after="40"/>
            </w:pPr>
            <w:r>
              <w:rPr>
                <w:b/>
                <w:sz w:val="18"/>
              </w:rPr>
              <w:t>Priority</w:t>
            </w:r>
          </w:p>
        </w:tc>
        <w:tc>
          <w:tcPr>
            <w:tcW w:type="dxa" w:w="4759"/>
          </w:tcPr>
          <w:p>
            <w:pPr>
              <w:spacing w:after="40"/>
            </w:pPr>
            <w:r>
              <w:rPr>
                <w:sz w:val="18"/>
              </w:rPr>
              <w:t>Core</w:t>
            </w:r>
          </w:p>
        </w:tc>
      </w:tr>
      <w:tr>
        <w:tc>
          <w:tcPr>
            <w:tcW w:type="dxa" w:w="4759"/>
            <w:shd w:val="clear" w:fill="F2F2F2"/>
          </w:tcPr>
          <w:p>
            <w:pPr>
              <w:spacing w:after="40"/>
            </w:pPr>
            <w:r>
              <w:rPr>
                <w:b/>
                <w:sz w:val="18"/>
              </w:rPr>
              <w:t>Primary layer</w:t>
            </w:r>
          </w:p>
        </w:tc>
        <w:tc>
          <w:tcPr>
            <w:tcW w:type="dxa" w:w="4759"/>
          </w:tcPr>
          <w:p>
            <w:pPr>
              <w:spacing w:after="40"/>
            </w:pPr>
            <w:r>
              <w:rPr>
                <w:sz w:val="18"/>
              </w:rPr>
              <w:t>L3 - Coordinated DvP engine</w:t>
            </w:r>
          </w:p>
        </w:tc>
      </w:tr>
      <w:tr>
        <w:tc>
          <w:tcPr>
            <w:tcW w:type="dxa" w:w="4759"/>
            <w:shd w:val="clear" w:fill="F2F2F2"/>
          </w:tcPr>
          <w:p>
            <w:pPr>
              <w:spacing w:after="40"/>
            </w:pPr>
            <w:r>
              <w:rPr>
                <w:b/>
                <w:sz w:val="18"/>
              </w:rPr>
              <w:t>Secondary layer</w:t>
            </w:r>
          </w:p>
        </w:tc>
        <w:tc>
          <w:tcPr>
            <w:tcW w:type="dxa" w:w="4759"/>
          </w:tcPr>
          <w:p>
            <w:pPr>
              <w:spacing w:after="40"/>
            </w:pPr>
            <w:r>
              <w:rPr>
                <w:sz w:val="18"/>
              </w:rPr>
              <w:t>-</w:t>
            </w:r>
          </w:p>
        </w:tc>
      </w:tr>
      <w:tr>
        <w:tc>
          <w:tcPr>
            <w:tcW w:type="dxa" w:w="4759"/>
            <w:shd w:val="clear" w:fill="F2F2F2"/>
          </w:tcPr>
          <w:p>
            <w:pPr>
              <w:spacing w:after="40"/>
            </w:pPr>
            <w:r>
              <w:rPr>
                <w:b/>
                <w:sz w:val="18"/>
              </w:rPr>
              <w:t>PFMI anchor</w:t>
            </w:r>
          </w:p>
        </w:tc>
        <w:tc>
          <w:tcPr>
            <w:tcW w:type="dxa" w:w="4759"/>
          </w:tcPr>
          <w:p>
            <w:pPr>
              <w:spacing w:after="40"/>
            </w:pPr>
            <w:r>
              <w:rPr>
                <w:sz w:val="18"/>
              </w:rPr>
              <w:t>P9 Money settlements (p. 67).</w:t>
            </w:r>
          </w:p>
        </w:tc>
      </w:tr>
      <w:tr>
        <w:tc>
          <w:tcPr>
            <w:tcW w:type="dxa" w:w="4759"/>
            <w:shd w:val="clear" w:fill="F2F2F2"/>
          </w:tcPr>
          <w:p>
            <w:pPr>
              <w:spacing w:after="40"/>
            </w:pPr>
            <w:r>
              <w:rPr>
                <w:b/>
                <w:sz w:val="18"/>
              </w:rPr>
              <w:t>Inductive theme</w:t>
            </w:r>
          </w:p>
        </w:tc>
        <w:tc>
          <w:tcPr>
            <w:tcW w:type="dxa" w:w="4759"/>
          </w:tcPr>
          <w:p>
            <w:pPr>
              <w:spacing w:after="40"/>
            </w:pPr>
            <w:r>
              <w:rPr>
                <w:sz w:val="18"/>
              </w:rPr>
              <w:t>None. The requirement restates the principle at the level the principle already states it.</w:t>
            </w:r>
          </w:p>
        </w:tc>
      </w:tr>
      <w:tr>
        <w:tc>
          <w:tcPr>
            <w:tcW w:type="dxa" w:w="4759"/>
            <w:shd w:val="clear" w:fill="F2F2F2"/>
          </w:tcPr>
          <w:p>
            <w:pPr>
              <w:spacing w:after="40"/>
            </w:pPr>
            <w:r>
              <w:rPr>
                <w:b/>
                <w:sz w:val="18"/>
              </w:rPr>
              <w:t>Responsible component or interaction</w:t>
            </w:r>
          </w:p>
        </w:tc>
        <w:tc>
          <w:tcPr>
            <w:tcW w:type="dxa" w:w="4759"/>
          </w:tcPr>
          <w:p>
            <w:pPr>
              <w:spacing w:after="40"/>
            </w:pPr>
            <w:r>
              <w:rPr>
                <w:sz w:val="18"/>
              </w:rPr>
              <w:t>L3 cash domain; the issuance and redemption channel where the cash leg is on-ledger.</w:t>
            </w:r>
          </w:p>
        </w:tc>
      </w:tr>
      <w:tr>
        <w:tc>
          <w:tcPr>
            <w:tcW w:type="dxa" w:w="4759"/>
            <w:shd w:val="clear" w:fill="F2F2F2"/>
          </w:tcPr>
          <w:p>
            <w:pPr>
              <w:spacing w:after="40"/>
            </w:pPr>
            <w:r>
              <w:rPr>
                <w:b/>
                <w:sz w:val="18"/>
              </w:rPr>
              <w:t>Left open (design parameter)</w:t>
            </w:r>
          </w:p>
        </w:tc>
        <w:tc>
          <w:tcPr>
            <w:tcW w:type="dxa" w:w="4759"/>
          </w:tcPr>
          <w:p>
            <w:pPr>
              <w:spacing w:after="40"/>
            </w:pPr>
            <w:r>
              <w:rPr>
                <w:sz w:val="18"/>
              </w:rPr>
              <w:t>Does not fix WHERE the cash leg resides (D1). This is the single most consequential open point in the set: it separates the Swiss on-ledger trajectory from the Eurosystem's decision to retain cash in TARGET.</w:t>
            </w:r>
          </w:p>
        </w:tc>
      </w:tr>
      <w:tr>
        <w:tc>
          <w:tcPr>
            <w:tcW w:type="dxa" w:w="4759"/>
            <w:shd w:val="clear" w:fill="F2F2F2"/>
          </w:tcPr>
          <w:p>
            <w:pPr>
              <w:spacing w:after="40"/>
            </w:pPr>
            <w:r>
              <w:rPr>
                <w:b/>
                <w:sz w:val="18"/>
              </w:rPr>
              <w:t>Sources and locators</w:t>
            </w:r>
          </w:p>
        </w:tc>
        <w:tc>
          <w:tcPr>
            <w:tcW w:type="dxa" w:w="4759"/>
            <w:shd w:val="clear" w:fill="F7F9FC"/>
          </w:tcPr>
          <w:p>
            <w:pPr>
              <w:spacing w:after="40"/>
            </w:pPr>
            <w:r>
              <w:rPr>
                <w:sz w:val="18"/>
              </w:rPr>
              <w:t>[11] P9 p. 67. [13] Sec. 2.3 Req. 2 and Req. 3 p. 16 (balance-sheet neutrality; one-to-one convertibility); Sec. 2.4 p. 20. [12] Sec. 3.4 pp. 19-20 (both placements, same institutional environment). [16] Sec. 3 Table 1 p. 7. [17] Sec. 8 pp. 12-14 (six approaches). [20] p. 92. [22] 1 July 2025.</w:t>
            </w:r>
          </w:p>
        </w:tc>
      </w:tr>
      <w:tr>
        <w:tc>
          <w:tcPr>
            <w:tcW w:type="dxa" w:w="4759"/>
            <w:shd w:val="clear" w:fill="F2F2F2"/>
          </w:tcPr>
          <w:p>
            <w:pPr>
              <w:spacing w:after="40"/>
            </w:pPr>
            <w:r>
              <w:rPr>
                <w:b/>
                <w:sz w:val="18"/>
              </w:rPr>
              <w:t>Falsification — what would defeat it</w:t>
            </w:r>
          </w:p>
        </w:tc>
        <w:tc>
          <w:tcPr>
            <w:tcW w:type="dxa" w:w="4759"/>
            <w:shd w:val="clear" w:fill="FFF2CC"/>
          </w:tcPr>
          <w:p>
            <w:pPr>
              <w:spacing w:after="40"/>
            </w:pPr>
            <w:r>
              <w:rPr>
                <w:sz w:val="18"/>
              </w:rPr>
              <w:t>An arrangement fails R04 if the cash leg settles in a claim on a private issuer, or if a ledger-represented cash leg is not a direct claim on the central bank.</w:t>
            </w:r>
          </w:p>
        </w:tc>
      </w:tr>
    </w:tbl>
    <w:p>
      <w:pPr>
        <w:spacing w:before="120"/>
      </w:pPr>
      <w:r>
        <w:rPr>
          <w:b/>
          <w:sz w:val="19"/>
        </w:rPr>
        <w:t>How each variant discharges it</w:t>
      </w:r>
    </w:p>
    <w:tbl>
      <w:tblPr>
        <w:tblStyle w:val="TableGrid"/>
        <w:tblW w:type="auto" w:w="0"/>
        <w:tblLook w:firstColumn="1" w:firstRow="1" w:lastColumn="0" w:lastRow="0" w:noHBand="0" w:noVBand="1" w:val="04A0"/>
      </w:tblPr>
      <w:tblGrid>
        <w:gridCol w:w="3173"/>
        <w:gridCol w:w="3173"/>
        <w:gridCol w:w="3173"/>
      </w:tblGrid>
      <w:tr>
        <w:tc>
          <w:tcPr>
            <w:tcW w:type="dxa" w:w="3173"/>
            <w:shd w:val="clear" w:fill="DCE6F1"/>
          </w:tcPr>
          <w:p>
            <w:r>
              <w:rPr>
                <w:b/>
                <w:sz w:val="18"/>
              </w:rPr>
              <w:t>B1 — Synchronised trigger</w:t>
            </w:r>
          </w:p>
        </w:tc>
        <w:tc>
          <w:tcPr>
            <w:tcW w:type="dxa" w:w="3173"/>
            <w:shd w:val="clear" w:fill="DCE6F1"/>
          </w:tcPr>
          <w:p>
            <w:r>
              <w:rPr>
                <w:b/>
                <w:sz w:val="18"/>
              </w:rPr>
              <w:t>B2 — Integrated on-ledger</w:t>
            </w:r>
          </w:p>
        </w:tc>
        <w:tc>
          <w:tcPr>
            <w:tcW w:type="dxa" w:w="3173"/>
            <w:shd w:val="clear" w:fill="DCE6F1"/>
          </w:tcPr>
          <w:p>
            <w:r>
              <w:rPr>
                <w:b/>
                <w:sz w:val="18"/>
              </w:rPr>
              <w:t>B3 — Cross-ledger HTLC</w:t>
            </w:r>
          </w:p>
        </w:tc>
      </w:tr>
      <w:tr>
        <w:tc>
          <w:tcPr>
            <w:tcW w:type="dxa" w:w="3173"/>
          </w:tcPr>
          <w:p>
            <w:r>
              <w:rPr>
                <w:sz w:val="17"/>
              </w:rPr>
              <w:t>Cash never leaves the RTGS: central bank money by construction.</w:t>
            </w:r>
          </w:p>
        </w:tc>
        <w:tc>
          <w:tcPr>
            <w:tcW w:type="dxa" w:w="3173"/>
          </w:tcPr>
          <w:p>
            <w:r>
              <w:rPr>
                <w:sz w:val="17"/>
              </w:rPr>
              <w:t>Native wCBDC, issued and redeemed one-to-one against reserve balances.</w:t>
            </w:r>
          </w:p>
        </w:tc>
        <w:tc>
          <w:tcPr>
            <w:tcW w:type="dxa" w:w="3173"/>
          </w:tcPr>
          <w:p>
            <w:r>
              <w:rPr>
                <w:sz w:val="17"/>
              </w:rPr>
              <w:t>wCBDC on a distinct lock-capable register. Corroboration partial on D1.</w:t>
            </w:r>
          </w:p>
        </w:tc>
      </w:tr>
    </w:tbl>
    <w:p>
      <w:r>
        <w:rPr>
          <w:i/>
          <w:sz w:val="17"/>
        </w:rPr>
        <w:t>Full cell content — mechanism, interface trace, evidence, assumption and residual risk — is in the realisation matrix workbook, sheet 2.</w:t>
      </w:r>
    </w:p>
    <w:p>
      <w:r>
        <w:br w:type="page"/>
      </w:r>
    </w:p>
    <w:p>
      <w:pPr>
        <w:spacing w:before="360" w:after="120"/>
        <w:jc w:val="left"/>
      </w:pPr>
      <w:r>
        <w:rPr>
          <w:b/>
          <w:color w:val="1F3864"/>
          <w:sz w:val="30"/>
        </w:rPr>
        <w:t>R05 — Core</w:t>
      </w:r>
    </w:p>
    <w:p>
      <w:r>
        <w:rPr>
          <w:sz w:val="22"/>
        </w:rPr>
        <w:t>The securities leg shall settle if and only if the cash leg settles. The arrangement shall specify the mechanism that enforces this condition, the states it can occupy, and the exit from every state in which one leg is committed or reserved and the other is not. Every path shall terminate in joint completion or joint restoration.</w:t>
      </w:r>
    </w:p>
    <w:tbl>
      <w:tblPr>
        <w:tblStyle w:val="TableGrid"/>
        <w:tblW w:type="auto" w:w="0"/>
        <w:tblLook w:firstColumn="1" w:firstRow="1" w:lastColumn="0" w:lastRow="0" w:noHBand="0" w:noVBand="1" w:val="04A0"/>
      </w:tblPr>
      <w:tblGrid>
        <w:gridCol w:w="2494"/>
        <w:gridCol w:w="6917"/>
      </w:tblGrid>
      <w:tr>
        <w:tc>
          <w:tcPr>
            <w:tcW w:type="dxa" w:w="4759"/>
            <w:shd w:val="clear" w:fill="F2F2F2"/>
          </w:tcPr>
          <w:p>
            <w:pPr>
              <w:spacing w:after="40"/>
            </w:pPr>
            <w:r>
              <w:rPr>
                <w:b/>
                <w:sz w:val="18"/>
              </w:rPr>
              <w:t>Priority</w:t>
            </w:r>
          </w:p>
        </w:tc>
        <w:tc>
          <w:tcPr>
            <w:tcW w:type="dxa" w:w="4759"/>
          </w:tcPr>
          <w:p>
            <w:pPr>
              <w:spacing w:after="40"/>
            </w:pPr>
            <w:r>
              <w:rPr>
                <w:sz w:val="18"/>
              </w:rPr>
              <w:t>Core</w:t>
            </w:r>
          </w:p>
        </w:tc>
      </w:tr>
      <w:tr>
        <w:tc>
          <w:tcPr>
            <w:tcW w:type="dxa" w:w="4759"/>
            <w:shd w:val="clear" w:fill="F2F2F2"/>
          </w:tcPr>
          <w:p>
            <w:pPr>
              <w:spacing w:after="40"/>
            </w:pPr>
            <w:r>
              <w:rPr>
                <w:b/>
                <w:sz w:val="18"/>
              </w:rPr>
              <w:t>Primary layer</w:t>
            </w:r>
          </w:p>
        </w:tc>
        <w:tc>
          <w:tcPr>
            <w:tcW w:type="dxa" w:w="4759"/>
          </w:tcPr>
          <w:p>
            <w:pPr>
              <w:spacing w:after="40"/>
            </w:pPr>
            <w:r>
              <w:rPr>
                <w:sz w:val="18"/>
              </w:rPr>
              <w:t>L3 - Coordinated DvP engine</w:t>
            </w:r>
          </w:p>
        </w:tc>
      </w:tr>
      <w:tr>
        <w:tc>
          <w:tcPr>
            <w:tcW w:type="dxa" w:w="4759"/>
            <w:shd w:val="clear" w:fill="F2F2F2"/>
          </w:tcPr>
          <w:p>
            <w:pPr>
              <w:spacing w:after="40"/>
            </w:pPr>
            <w:r>
              <w:rPr>
                <w:b/>
                <w:sz w:val="18"/>
              </w:rPr>
              <w:t>Secondary layer</w:t>
            </w:r>
          </w:p>
        </w:tc>
        <w:tc>
          <w:tcPr>
            <w:tcW w:type="dxa" w:w="4759"/>
          </w:tcPr>
          <w:p>
            <w:pPr>
              <w:spacing w:after="40"/>
            </w:pPr>
            <w:r>
              <w:rPr>
                <w:sz w:val="18"/>
              </w:rPr>
              <w:t>-</w:t>
            </w:r>
          </w:p>
        </w:tc>
      </w:tr>
      <w:tr>
        <w:tc>
          <w:tcPr>
            <w:tcW w:type="dxa" w:w="4759"/>
            <w:shd w:val="clear" w:fill="F2F2F2"/>
          </w:tcPr>
          <w:p>
            <w:pPr>
              <w:spacing w:after="40"/>
            </w:pPr>
            <w:r>
              <w:rPr>
                <w:b/>
                <w:sz w:val="18"/>
              </w:rPr>
              <w:t>PFMI anchor</w:t>
            </w:r>
          </w:p>
        </w:tc>
        <w:tc>
          <w:tcPr>
            <w:tcW w:type="dxa" w:w="4759"/>
          </w:tcPr>
          <w:p>
            <w:pPr>
              <w:spacing w:after="40"/>
            </w:pPr>
            <w:r>
              <w:rPr>
                <w:sz w:val="18"/>
              </w:rPr>
              <w:t>P8 Settlement finality (p. 64); P12 Exchange-of-value settlement (p. 76, para. 3.12.2).</w:t>
            </w:r>
          </w:p>
        </w:tc>
      </w:tr>
      <w:tr>
        <w:tc>
          <w:tcPr>
            <w:tcW w:type="dxa" w:w="4759"/>
            <w:shd w:val="clear" w:fill="F2F2F2"/>
          </w:tcPr>
          <w:p>
            <w:pPr>
              <w:spacing w:after="40"/>
            </w:pPr>
            <w:r>
              <w:rPr>
                <w:b/>
                <w:sz w:val="18"/>
              </w:rPr>
              <w:t>Inductive theme</w:t>
            </w:r>
          </w:p>
        </w:tc>
        <w:tc>
          <w:tcPr>
            <w:tcW w:type="dxa" w:w="4759"/>
          </w:tcPr>
          <w:p>
            <w:pPr>
              <w:spacing w:after="40"/>
            </w:pPr>
            <w:r>
              <w:rPr>
                <w:sz w:val="18"/>
              </w:rPr>
              <w:t>T2 - atomic settlement and conditionality.</w:t>
            </w:r>
          </w:p>
        </w:tc>
      </w:tr>
      <w:tr>
        <w:tc>
          <w:tcPr>
            <w:tcW w:type="dxa" w:w="4759"/>
            <w:shd w:val="clear" w:fill="F2F2F2"/>
          </w:tcPr>
          <w:p>
            <w:pPr>
              <w:spacing w:after="40"/>
            </w:pPr>
            <w:r>
              <w:rPr>
                <w:b/>
                <w:sz w:val="18"/>
              </w:rPr>
              <w:t>Responsible component or interaction</w:t>
            </w:r>
          </w:p>
        </w:tc>
        <w:tc>
          <w:tcPr>
            <w:tcW w:type="dxa" w:w="4759"/>
          </w:tcPr>
          <w:p>
            <w:pPr>
              <w:spacing w:after="40"/>
            </w:pPr>
            <w:r>
              <w:rPr>
                <w:sz w:val="18"/>
              </w:rPr>
              <w:t>L3 coordination mechanism. This is the component in which the three architectures differ, and the only one that does.</w:t>
            </w:r>
          </w:p>
        </w:tc>
      </w:tr>
      <w:tr>
        <w:tc>
          <w:tcPr>
            <w:tcW w:type="dxa" w:w="4759"/>
            <w:shd w:val="clear" w:fill="F2F2F2"/>
          </w:tcPr>
          <w:p>
            <w:pPr>
              <w:spacing w:after="40"/>
            </w:pPr>
            <w:r>
              <w:rPr>
                <w:b/>
                <w:sz w:val="18"/>
              </w:rPr>
              <w:t>Left open (design parameter)</w:t>
            </w:r>
          </w:p>
        </w:tc>
        <w:tc>
          <w:tcPr>
            <w:tcW w:type="dxa" w:w="4759"/>
          </w:tcPr>
          <w:p>
            <w:pPr>
              <w:spacing w:after="40"/>
            </w:pPr>
            <w:r>
              <w:rPr>
                <w:sz w:val="18"/>
              </w:rPr>
              <w:t>Does not fix HOW the condition is enforced (D3). D3 is the parameter that decides structural distinctness: two architectures are distinct if and only if their D3 values differ.</w:t>
            </w:r>
          </w:p>
        </w:tc>
      </w:tr>
      <w:tr>
        <w:tc>
          <w:tcPr>
            <w:tcW w:type="dxa" w:w="4759"/>
            <w:shd w:val="clear" w:fill="F2F2F2"/>
          </w:tcPr>
          <w:p>
            <w:pPr>
              <w:spacing w:after="40"/>
            </w:pPr>
            <w:r>
              <w:rPr>
                <w:b/>
                <w:sz w:val="18"/>
              </w:rPr>
              <w:t>Sources and locators</w:t>
            </w:r>
          </w:p>
        </w:tc>
        <w:tc>
          <w:tcPr>
            <w:tcW w:type="dxa" w:w="4759"/>
            <w:shd w:val="clear" w:fill="F7F9FC"/>
          </w:tcPr>
          <w:p>
            <w:pPr>
              <w:spacing w:after="40"/>
            </w:pPr>
            <w:r>
              <w:rPr>
                <w:sz w:val="18"/>
              </w:rPr>
              <w:t>[11] P8 p. 64, P12 p. 76 para. 3.12.2. [20] p. 92 (atomic settlement: the transfer of each occurs only upon transfer of the others). [15] p. 13 (either both tokens are transferred or none are). [16] p. 8 n. 23 (hash-lock and time-lock, all-or-none settlement). [9] (HTLC late-signature failure and the premium remedy). [7] (failure paths and incentives belong inside the mechanism). [12] Sec. 3.4 PoC2 p. 20.</w:t>
            </w:r>
          </w:p>
        </w:tc>
      </w:tr>
      <w:tr>
        <w:tc>
          <w:tcPr>
            <w:tcW w:type="dxa" w:w="4759"/>
            <w:shd w:val="clear" w:fill="F2F2F2"/>
          </w:tcPr>
          <w:p>
            <w:pPr>
              <w:spacing w:after="40"/>
            </w:pPr>
            <w:r>
              <w:rPr>
                <w:b/>
                <w:sz w:val="18"/>
              </w:rPr>
              <w:t>Falsification — what would defeat it</w:t>
            </w:r>
          </w:p>
        </w:tc>
        <w:tc>
          <w:tcPr>
            <w:tcW w:type="dxa" w:w="4759"/>
            <w:shd w:val="clear" w:fill="FFF2CC"/>
          </w:tcPr>
          <w:p>
            <w:pPr>
              <w:spacing w:after="40"/>
            </w:pPr>
            <w:r>
              <w:rPr>
                <w:sz w:val="18"/>
              </w:rPr>
              <w:t>An arrangement fails R05 if it admits a committed state in which one leg has moved and the other has not, with no path back - or if it has such a path but no entity is obliged to take it.</w:t>
            </w:r>
          </w:p>
        </w:tc>
      </w:tr>
    </w:tbl>
    <w:p>
      <w:pPr>
        <w:spacing w:before="120"/>
      </w:pPr>
      <w:r>
        <w:rPr>
          <w:b/>
          <w:sz w:val="19"/>
        </w:rPr>
        <w:t>How each variant discharges it</w:t>
      </w:r>
    </w:p>
    <w:tbl>
      <w:tblPr>
        <w:tblStyle w:val="TableGrid"/>
        <w:tblW w:type="auto" w:w="0"/>
        <w:tblLook w:firstColumn="1" w:firstRow="1" w:lastColumn="0" w:lastRow="0" w:noHBand="0" w:noVBand="1" w:val="04A0"/>
      </w:tblPr>
      <w:tblGrid>
        <w:gridCol w:w="3173"/>
        <w:gridCol w:w="3173"/>
        <w:gridCol w:w="3173"/>
      </w:tblGrid>
      <w:tr>
        <w:tc>
          <w:tcPr>
            <w:tcW w:type="dxa" w:w="3173"/>
            <w:shd w:val="clear" w:fill="DCE6F1"/>
          </w:tcPr>
          <w:p>
            <w:r>
              <w:rPr>
                <w:b/>
                <w:sz w:val="18"/>
              </w:rPr>
              <w:t>B1 — Synchronised trigger</w:t>
            </w:r>
          </w:p>
        </w:tc>
        <w:tc>
          <w:tcPr>
            <w:tcW w:type="dxa" w:w="3173"/>
            <w:shd w:val="clear" w:fill="DCE6F1"/>
          </w:tcPr>
          <w:p>
            <w:r>
              <w:rPr>
                <w:b/>
                <w:sz w:val="18"/>
              </w:rPr>
              <w:t>B2 — Integrated on-ledger</w:t>
            </w:r>
          </w:p>
        </w:tc>
        <w:tc>
          <w:tcPr>
            <w:tcW w:type="dxa" w:w="3173"/>
            <w:shd w:val="clear" w:fill="DCE6F1"/>
          </w:tcPr>
          <w:p>
            <w:r>
              <w:rPr>
                <w:b/>
                <w:sz w:val="18"/>
              </w:rPr>
              <w:t>B3 — Cross-ledger HTLC</w:t>
            </w:r>
          </w:p>
        </w:tc>
      </w:tr>
      <w:tr>
        <w:tc>
          <w:tcPr>
            <w:tcW w:type="dxa" w:w="3173"/>
          </w:tcPr>
          <w:p>
            <w:r>
              <w:rPr>
                <w:sz w:val="17"/>
              </w:rPr>
              <w:t>Lock, trigger, confirm, then release or rollback; recovery on timeout, never release on expiry alone.</w:t>
            </w:r>
          </w:p>
        </w:tc>
        <w:tc>
          <w:tcPr>
            <w:tcW w:type="dxa" w:w="3173"/>
          </w:tcPr>
          <w:p>
            <w:r>
              <w:rPr>
                <w:sz w:val="17"/>
              </w:rPr>
              <w:t>One platform transaction: both legs or neither.</w:t>
            </w:r>
          </w:p>
        </w:tc>
        <w:tc>
          <w:tcPr>
            <w:tcW w:type="dxa" w:w="3173"/>
          </w:tcPr>
          <w:p>
            <w:r>
              <w:rPr>
                <w:sz w:val="17"/>
              </w:rPr>
              <w:t>Two locks on one secret, nested windows. Holds under a liveness assumption. Contested cell.</w:t>
            </w:r>
          </w:p>
        </w:tc>
      </w:tr>
    </w:tbl>
    <w:p>
      <w:r>
        <w:rPr>
          <w:i/>
          <w:sz w:val="17"/>
        </w:rPr>
        <w:t>Full cell content — mechanism, interface trace, evidence, assumption and residual risk — is in the realisation matrix workbook, sheet 2.</w:t>
      </w:r>
    </w:p>
    <w:p>
      <w:r>
        <w:br w:type="page"/>
      </w:r>
    </w:p>
    <w:p>
      <w:pPr>
        <w:spacing w:before="360" w:after="120"/>
        <w:jc w:val="left"/>
      </w:pPr>
      <w:r>
        <w:rPr>
          <w:b/>
          <w:color w:val="1F3864"/>
          <w:sz w:val="30"/>
        </w:rPr>
        <w:t>R06 — Core</w:t>
      </w:r>
    </w:p>
    <w:p>
      <w:r>
        <w:rPr>
          <w:sz w:val="22"/>
        </w:rPr>
        <w:t>One register shall be designated as authoritative for the securities leg, and the arrangement shall specify the issuance, transfer and lifecycle events that this register records. Where a second support mirrors the authoritative register, the direction of reconciliation shall be fixed in the rulebook and a divergence shall resolve in favour of the authoritative register.</w:t>
      </w:r>
    </w:p>
    <w:tbl>
      <w:tblPr>
        <w:tblStyle w:val="TableGrid"/>
        <w:tblW w:type="auto" w:w="0"/>
        <w:tblLook w:firstColumn="1" w:firstRow="1" w:lastColumn="0" w:lastRow="0" w:noHBand="0" w:noVBand="1" w:val="04A0"/>
      </w:tblPr>
      <w:tblGrid>
        <w:gridCol w:w="2494"/>
        <w:gridCol w:w="6917"/>
      </w:tblGrid>
      <w:tr>
        <w:tc>
          <w:tcPr>
            <w:tcW w:type="dxa" w:w="4759"/>
            <w:shd w:val="clear" w:fill="F2F2F2"/>
          </w:tcPr>
          <w:p>
            <w:pPr>
              <w:spacing w:after="40"/>
            </w:pPr>
            <w:r>
              <w:rPr>
                <w:b/>
                <w:sz w:val="18"/>
              </w:rPr>
              <w:t>Priority</w:t>
            </w:r>
          </w:p>
        </w:tc>
        <w:tc>
          <w:tcPr>
            <w:tcW w:type="dxa" w:w="4759"/>
          </w:tcPr>
          <w:p>
            <w:pPr>
              <w:spacing w:after="40"/>
            </w:pPr>
            <w:r>
              <w:rPr>
                <w:sz w:val="18"/>
              </w:rPr>
              <w:t>Core</w:t>
            </w:r>
          </w:p>
        </w:tc>
      </w:tr>
      <w:tr>
        <w:tc>
          <w:tcPr>
            <w:tcW w:type="dxa" w:w="4759"/>
            <w:shd w:val="clear" w:fill="F2F2F2"/>
          </w:tcPr>
          <w:p>
            <w:pPr>
              <w:spacing w:after="40"/>
            </w:pPr>
            <w:r>
              <w:rPr>
                <w:b/>
                <w:sz w:val="18"/>
              </w:rPr>
              <w:t>Primary layer</w:t>
            </w:r>
          </w:p>
        </w:tc>
        <w:tc>
          <w:tcPr>
            <w:tcW w:type="dxa" w:w="4759"/>
          </w:tcPr>
          <w:p>
            <w:pPr>
              <w:spacing w:after="40"/>
            </w:pPr>
            <w:r>
              <w:rPr>
                <w:sz w:val="18"/>
              </w:rPr>
              <w:t>L3 - Coordinated DvP engine</w:t>
            </w:r>
          </w:p>
        </w:tc>
      </w:tr>
      <w:tr>
        <w:tc>
          <w:tcPr>
            <w:tcW w:type="dxa" w:w="4759"/>
            <w:shd w:val="clear" w:fill="F2F2F2"/>
          </w:tcPr>
          <w:p>
            <w:pPr>
              <w:spacing w:after="40"/>
            </w:pPr>
            <w:r>
              <w:rPr>
                <w:b/>
                <w:sz w:val="18"/>
              </w:rPr>
              <w:t>Secondary layer</w:t>
            </w:r>
          </w:p>
        </w:tc>
        <w:tc>
          <w:tcPr>
            <w:tcW w:type="dxa" w:w="4759"/>
          </w:tcPr>
          <w:p>
            <w:pPr>
              <w:spacing w:after="40"/>
            </w:pPr>
            <w:r>
              <w:rPr>
                <w:sz w:val="18"/>
              </w:rPr>
              <w:t>-</w:t>
            </w:r>
          </w:p>
        </w:tc>
      </w:tr>
      <w:tr>
        <w:tc>
          <w:tcPr>
            <w:tcW w:type="dxa" w:w="4759"/>
            <w:shd w:val="clear" w:fill="F2F2F2"/>
          </w:tcPr>
          <w:p>
            <w:pPr>
              <w:spacing w:after="40"/>
            </w:pPr>
            <w:r>
              <w:rPr>
                <w:b/>
                <w:sz w:val="18"/>
              </w:rPr>
              <w:t>PFMI anchor</w:t>
            </w:r>
          </w:p>
        </w:tc>
        <w:tc>
          <w:tcPr>
            <w:tcW w:type="dxa" w:w="4759"/>
          </w:tcPr>
          <w:p>
            <w:pPr>
              <w:spacing w:after="40"/>
            </w:pPr>
            <w:r>
              <w:rPr>
                <w:sz w:val="18"/>
              </w:rPr>
              <w:t>P11 Central securities depositories (p. 72).</w:t>
            </w:r>
          </w:p>
        </w:tc>
      </w:tr>
      <w:tr>
        <w:tc>
          <w:tcPr>
            <w:tcW w:type="dxa" w:w="4759"/>
            <w:shd w:val="clear" w:fill="F2F2F2"/>
          </w:tcPr>
          <w:p>
            <w:pPr>
              <w:spacing w:after="40"/>
            </w:pPr>
            <w:r>
              <w:rPr>
                <w:b/>
                <w:sz w:val="18"/>
              </w:rPr>
              <w:t>Inductive theme</w:t>
            </w:r>
          </w:p>
        </w:tc>
        <w:tc>
          <w:tcPr>
            <w:tcW w:type="dxa" w:w="4759"/>
          </w:tcPr>
          <w:p>
            <w:pPr>
              <w:spacing w:after="40"/>
            </w:pPr>
            <w:r>
              <w:rPr>
                <w:sz w:val="18"/>
              </w:rPr>
              <w:t>None. The principle already names the authoritative record and default handling; the inductive pass found nothing further.</w:t>
            </w:r>
          </w:p>
        </w:tc>
      </w:tr>
      <w:tr>
        <w:tc>
          <w:tcPr>
            <w:tcW w:type="dxa" w:w="4759"/>
            <w:shd w:val="clear" w:fill="F2F2F2"/>
          </w:tcPr>
          <w:p>
            <w:pPr>
              <w:spacing w:after="40"/>
            </w:pPr>
            <w:r>
              <w:rPr>
                <w:b/>
                <w:sz w:val="18"/>
              </w:rPr>
              <w:t>Responsible component or interaction</w:t>
            </w:r>
          </w:p>
        </w:tc>
        <w:tc>
          <w:tcPr>
            <w:tcW w:type="dxa" w:w="4759"/>
          </w:tcPr>
          <w:p>
            <w:pPr>
              <w:spacing w:after="40"/>
            </w:pPr>
            <w:r>
              <w:rPr>
                <w:sz w:val="18"/>
              </w:rPr>
              <w:t>L3 authoritative record; the issuance and endorsement flows; the reconciliation service where two supports exist.</w:t>
            </w:r>
          </w:p>
        </w:tc>
      </w:tr>
      <w:tr>
        <w:tc>
          <w:tcPr>
            <w:tcW w:type="dxa" w:w="4759"/>
            <w:shd w:val="clear" w:fill="F2F2F2"/>
          </w:tcPr>
          <w:p>
            <w:pPr>
              <w:spacing w:after="40"/>
            </w:pPr>
            <w:r>
              <w:rPr>
                <w:b/>
                <w:sz w:val="18"/>
              </w:rPr>
              <w:t>Left open (design parameter)</w:t>
            </w:r>
          </w:p>
        </w:tc>
        <w:tc>
          <w:tcPr>
            <w:tcW w:type="dxa" w:w="4759"/>
          </w:tcPr>
          <w:p>
            <w:pPr>
              <w:spacing w:after="40"/>
            </w:pPr>
            <w:r>
              <w:rPr>
                <w:sz w:val="18"/>
              </w:rPr>
              <w:t>Does not fix which register is authoritative (D2) nor how finely the record is partitioned (D5).</w:t>
            </w:r>
          </w:p>
        </w:tc>
      </w:tr>
      <w:tr>
        <w:tc>
          <w:tcPr>
            <w:tcW w:type="dxa" w:w="4759"/>
            <w:shd w:val="clear" w:fill="F2F2F2"/>
          </w:tcPr>
          <w:p>
            <w:pPr>
              <w:spacing w:after="40"/>
            </w:pPr>
            <w:r>
              <w:rPr>
                <w:b/>
                <w:sz w:val="18"/>
              </w:rPr>
              <w:t>Sources and locators</w:t>
            </w:r>
          </w:p>
        </w:tc>
        <w:tc>
          <w:tcPr>
            <w:tcW w:type="dxa" w:w="4759"/>
            <w:shd w:val="clear" w:fill="F7F9FC"/>
          </w:tcPr>
          <w:p>
            <w:pPr>
              <w:spacing w:after="40"/>
            </w:pPr>
            <w:r>
              <w:rPr>
                <w:sz w:val="18"/>
              </w:rPr>
              <w:t>[11] P11 p. 72. [13] Sec. 2.4 p. 17 (non-validating notary signs and time-stamps all state changes). [21] Ch. 3 pp. 31-32 (CSDs could evolve to be a governor of DLT-based settlement systems); Box 2 pp. 24-25. [12] Sec. 3.4 p. 20. [20] p. 91.</w:t>
            </w:r>
          </w:p>
        </w:tc>
      </w:tr>
      <w:tr>
        <w:tc>
          <w:tcPr>
            <w:tcW w:type="dxa" w:w="4759"/>
            <w:shd w:val="clear" w:fill="F2F2F2"/>
          </w:tcPr>
          <w:p>
            <w:pPr>
              <w:spacing w:after="40"/>
            </w:pPr>
            <w:r>
              <w:rPr>
                <w:b/>
                <w:sz w:val="18"/>
              </w:rPr>
              <w:t>Falsification — what would defeat it</w:t>
            </w:r>
          </w:p>
        </w:tc>
        <w:tc>
          <w:tcPr>
            <w:tcW w:type="dxa" w:w="4759"/>
            <w:shd w:val="clear" w:fill="FFF2CC"/>
          </w:tcPr>
          <w:p>
            <w:pPr>
              <w:spacing w:after="40"/>
            </w:pPr>
            <w:r>
              <w:rPr>
                <w:sz w:val="18"/>
              </w:rPr>
              <w:t>An arrangement fails R06 if no register is designated, or if two registers are authoritative for the same holding with no rule of priority.</w:t>
            </w:r>
          </w:p>
        </w:tc>
      </w:tr>
    </w:tbl>
    <w:p>
      <w:pPr>
        <w:spacing w:before="120"/>
      </w:pPr>
      <w:r>
        <w:rPr>
          <w:b/>
          <w:sz w:val="19"/>
        </w:rPr>
        <w:t>How each variant discharges it</w:t>
      </w:r>
    </w:p>
    <w:tbl>
      <w:tblPr>
        <w:tblStyle w:val="TableGrid"/>
        <w:tblW w:type="auto" w:w="0"/>
        <w:tblLook w:firstColumn="1" w:firstRow="1" w:lastColumn="0" w:lastRow="0" w:noHBand="0" w:noVBand="1" w:val="04A0"/>
      </w:tblPr>
      <w:tblGrid>
        <w:gridCol w:w="3173"/>
        <w:gridCol w:w="3173"/>
        <w:gridCol w:w="3173"/>
      </w:tblGrid>
      <w:tr>
        <w:tc>
          <w:tcPr>
            <w:tcW w:type="dxa" w:w="3173"/>
            <w:shd w:val="clear" w:fill="DCE6F1"/>
          </w:tcPr>
          <w:p>
            <w:r>
              <w:rPr>
                <w:b/>
                <w:sz w:val="18"/>
              </w:rPr>
              <w:t>B1 — Synchronised trigger</w:t>
            </w:r>
          </w:p>
        </w:tc>
        <w:tc>
          <w:tcPr>
            <w:tcW w:type="dxa" w:w="3173"/>
            <w:shd w:val="clear" w:fill="DCE6F1"/>
          </w:tcPr>
          <w:p>
            <w:r>
              <w:rPr>
                <w:b/>
                <w:sz w:val="18"/>
              </w:rPr>
              <w:t>B2 — Integrated on-ledger</w:t>
            </w:r>
          </w:p>
        </w:tc>
        <w:tc>
          <w:tcPr>
            <w:tcW w:type="dxa" w:w="3173"/>
            <w:shd w:val="clear" w:fill="DCE6F1"/>
          </w:tcPr>
          <w:p>
            <w:r>
              <w:rPr>
                <w:b/>
                <w:sz w:val="18"/>
              </w:rPr>
              <w:t>B3 — Cross-ledger HTLC</w:t>
            </w:r>
          </w:p>
        </w:tc>
      </w:tr>
      <w:tr>
        <w:tc>
          <w:tcPr>
            <w:tcW w:type="dxa" w:w="3173"/>
          </w:tcPr>
          <w:p>
            <w:r>
              <w:rPr>
                <w:sz w:val="17"/>
              </w:rPr>
              <w:t>CSD golden record with a permanently reconciled DLT mirror.</w:t>
            </w:r>
          </w:p>
        </w:tc>
        <w:tc>
          <w:tcPr>
            <w:tcW w:type="dxa" w:w="3173"/>
          </w:tcPr>
          <w:p>
            <w:r>
              <w:rPr>
                <w:sz w:val="17"/>
              </w:rPr>
              <w:t>The ledger is the golden record; no reconciliation service.</w:t>
            </w:r>
          </w:p>
        </w:tc>
        <w:tc>
          <w:tcPr>
            <w:tcW w:type="dxa" w:w="3173"/>
          </w:tcPr>
          <w:p>
            <w:r>
              <w:rPr>
                <w:sz w:val="17"/>
              </w:rPr>
              <w:t>Native record on each register, correlated by transfer identifier.</w:t>
            </w:r>
          </w:p>
        </w:tc>
      </w:tr>
    </w:tbl>
    <w:p>
      <w:r>
        <w:rPr>
          <w:i/>
          <w:sz w:val="17"/>
        </w:rPr>
        <w:t>Full cell content — mechanism, interface trace, evidence, assumption and residual risk — is in the realisation matrix workbook, sheet 2.</w:t>
      </w:r>
    </w:p>
    <w:p>
      <w:r>
        <w:br w:type="page"/>
      </w:r>
    </w:p>
    <w:p>
      <w:pPr>
        <w:spacing w:before="360" w:after="120"/>
        <w:jc w:val="left"/>
      </w:pPr>
      <w:r>
        <w:rPr>
          <w:b/>
          <w:color w:val="1F3864"/>
          <w:sz w:val="30"/>
        </w:rPr>
        <w:t>R07 — Core</w:t>
      </w:r>
    </w:p>
    <w:p>
      <w:r>
        <w:rPr>
          <w:sz w:val="22"/>
        </w:rPr>
        <w:t>The arrangement shall connect to the infrastructures that hold each leg - the real-time gross settlement system, the central securities depository, and the messaging systems in use - and shall specify, for every link, its failure modes and its recovery procedure. Where a link sits on the critical settlement path, its failure shall be treated as settlement risk rather than as an operational incident.</w:t>
      </w:r>
    </w:p>
    <w:tbl>
      <w:tblPr>
        <w:tblStyle w:val="TableGrid"/>
        <w:tblW w:type="auto" w:w="0"/>
        <w:tblLook w:firstColumn="1" w:firstRow="1" w:lastColumn="0" w:lastRow="0" w:noHBand="0" w:noVBand="1" w:val="04A0"/>
      </w:tblPr>
      <w:tblGrid>
        <w:gridCol w:w="2494"/>
        <w:gridCol w:w="6917"/>
      </w:tblGrid>
      <w:tr>
        <w:tc>
          <w:tcPr>
            <w:tcW w:type="dxa" w:w="4759"/>
            <w:shd w:val="clear" w:fill="F2F2F2"/>
          </w:tcPr>
          <w:p>
            <w:pPr>
              <w:spacing w:after="40"/>
            </w:pPr>
            <w:r>
              <w:rPr>
                <w:b/>
                <w:sz w:val="18"/>
              </w:rPr>
              <w:t>Priority</w:t>
            </w:r>
          </w:p>
        </w:tc>
        <w:tc>
          <w:tcPr>
            <w:tcW w:type="dxa" w:w="4759"/>
          </w:tcPr>
          <w:p>
            <w:pPr>
              <w:spacing w:after="40"/>
            </w:pPr>
            <w:r>
              <w:rPr>
                <w:sz w:val="18"/>
              </w:rPr>
              <w:t>Core</w:t>
            </w:r>
          </w:p>
        </w:tc>
      </w:tr>
      <w:tr>
        <w:tc>
          <w:tcPr>
            <w:tcW w:type="dxa" w:w="4759"/>
            <w:shd w:val="clear" w:fill="F2F2F2"/>
          </w:tcPr>
          <w:p>
            <w:pPr>
              <w:spacing w:after="40"/>
            </w:pPr>
            <w:r>
              <w:rPr>
                <w:b/>
                <w:sz w:val="18"/>
              </w:rPr>
              <w:t>Primary layer</w:t>
            </w:r>
          </w:p>
        </w:tc>
        <w:tc>
          <w:tcPr>
            <w:tcW w:type="dxa" w:w="4759"/>
          </w:tcPr>
          <w:p>
            <w:pPr>
              <w:spacing w:after="40"/>
            </w:pPr>
            <w:r>
              <w:rPr>
                <w:sz w:val="18"/>
              </w:rPr>
              <w:t>L4 - Interoperability</w:t>
            </w:r>
          </w:p>
        </w:tc>
      </w:tr>
      <w:tr>
        <w:tc>
          <w:tcPr>
            <w:tcW w:type="dxa" w:w="4759"/>
            <w:shd w:val="clear" w:fill="F2F2F2"/>
          </w:tcPr>
          <w:p>
            <w:pPr>
              <w:spacing w:after="40"/>
            </w:pPr>
            <w:r>
              <w:rPr>
                <w:b/>
                <w:sz w:val="18"/>
              </w:rPr>
              <w:t>Secondary layer</w:t>
            </w:r>
          </w:p>
        </w:tc>
        <w:tc>
          <w:tcPr>
            <w:tcW w:type="dxa" w:w="4759"/>
          </w:tcPr>
          <w:p>
            <w:pPr>
              <w:spacing w:after="40"/>
            </w:pPr>
            <w:r>
              <w:rPr>
                <w:sz w:val="18"/>
              </w:rPr>
              <w:t>-</w:t>
            </w:r>
          </w:p>
        </w:tc>
      </w:tr>
      <w:tr>
        <w:tc>
          <w:tcPr>
            <w:tcW w:type="dxa" w:w="4759"/>
            <w:shd w:val="clear" w:fill="F2F2F2"/>
          </w:tcPr>
          <w:p>
            <w:pPr>
              <w:spacing w:after="40"/>
            </w:pPr>
            <w:r>
              <w:rPr>
                <w:b/>
                <w:sz w:val="18"/>
              </w:rPr>
              <w:t>PFMI anchor</w:t>
            </w:r>
          </w:p>
        </w:tc>
        <w:tc>
          <w:tcPr>
            <w:tcW w:type="dxa" w:w="4759"/>
          </w:tcPr>
          <w:p>
            <w:pPr>
              <w:spacing w:after="40"/>
            </w:pPr>
            <w:r>
              <w:rPr>
                <w:sz w:val="18"/>
              </w:rPr>
              <w:t>P20 FMI links (p. 109); P22 Communication procedures and standards.</w:t>
            </w:r>
          </w:p>
        </w:tc>
      </w:tr>
      <w:tr>
        <w:tc>
          <w:tcPr>
            <w:tcW w:type="dxa" w:w="4759"/>
            <w:shd w:val="clear" w:fill="F2F2F2"/>
          </w:tcPr>
          <w:p>
            <w:pPr>
              <w:spacing w:after="40"/>
            </w:pPr>
            <w:r>
              <w:rPr>
                <w:b/>
                <w:sz w:val="18"/>
              </w:rPr>
              <w:t>Inductive theme</w:t>
            </w:r>
          </w:p>
        </w:tc>
        <w:tc>
          <w:tcPr>
            <w:tcW w:type="dxa" w:w="4759"/>
          </w:tcPr>
          <w:p>
            <w:pPr>
              <w:spacing w:after="40"/>
            </w:pPr>
            <w:r>
              <w:rPr>
                <w:sz w:val="18"/>
              </w:rPr>
              <w:t>T3 - links between DLT and legacy systems.</w:t>
            </w:r>
          </w:p>
        </w:tc>
      </w:tr>
      <w:tr>
        <w:tc>
          <w:tcPr>
            <w:tcW w:type="dxa" w:w="4759"/>
            <w:shd w:val="clear" w:fill="F2F2F2"/>
          </w:tcPr>
          <w:p>
            <w:pPr>
              <w:spacing w:after="40"/>
            </w:pPr>
            <w:r>
              <w:rPr>
                <w:b/>
                <w:sz w:val="18"/>
              </w:rPr>
              <w:t>Responsible component or interaction</w:t>
            </w:r>
          </w:p>
        </w:tc>
        <w:tc>
          <w:tcPr>
            <w:tcW w:type="dxa" w:w="4759"/>
          </w:tcPr>
          <w:p>
            <w:pPr>
              <w:spacing w:after="40"/>
            </w:pPr>
            <w:r>
              <w:rPr>
                <w:sz w:val="18"/>
              </w:rPr>
              <w:t>L4 interfaces and links; the bridge or on-ramp; the status-enquiry and reconciliation procedures.</w:t>
            </w:r>
          </w:p>
        </w:tc>
      </w:tr>
      <w:tr>
        <w:tc>
          <w:tcPr>
            <w:tcW w:type="dxa" w:w="4759"/>
            <w:shd w:val="clear" w:fill="F2F2F2"/>
          </w:tcPr>
          <w:p>
            <w:pPr>
              <w:spacing w:after="40"/>
            </w:pPr>
            <w:r>
              <w:rPr>
                <w:b/>
                <w:sz w:val="18"/>
              </w:rPr>
              <w:t>Left open (design parameter)</w:t>
            </w:r>
          </w:p>
        </w:tc>
        <w:tc>
          <w:tcPr>
            <w:tcW w:type="dxa" w:w="4759"/>
          </w:tcPr>
          <w:p>
            <w:pPr>
              <w:spacing w:after="40"/>
            </w:pPr>
            <w:r>
              <w:rPr>
                <w:sz w:val="18"/>
              </w:rPr>
              <w:t>Does not fix where the boundary between new and legacy infrastructure is drawn. The boundary moves with D1, but it never disappears: in the integrated design it relocates from settlement to issuance and redemption.</w:t>
            </w:r>
          </w:p>
        </w:tc>
      </w:tr>
      <w:tr>
        <w:tc>
          <w:tcPr>
            <w:tcW w:type="dxa" w:w="4759"/>
            <w:shd w:val="clear" w:fill="F2F2F2"/>
          </w:tcPr>
          <w:p>
            <w:pPr>
              <w:spacing w:after="40"/>
            </w:pPr>
            <w:r>
              <w:rPr>
                <w:b/>
                <w:sz w:val="18"/>
              </w:rPr>
              <w:t>Sources and locators</w:t>
            </w:r>
          </w:p>
        </w:tc>
        <w:tc>
          <w:tcPr>
            <w:tcW w:type="dxa" w:w="4759"/>
            <w:shd w:val="clear" w:fill="F7F9FC"/>
          </w:tcPr>
          <w:p>
            <w:pPr>
              <w:spacing w:after="40"/>
            </w:pPr>
            <w:r>
              <w:rPr>
                <w:sz w:val="18"/>
              </w:rPr>
              <w:t>[11] P20 p. 109, P22. [12] Sec. 3.4 PoC2 p. 20 (an ISO message from the SIC system is sent to the SDX system). [8] Sec. 10 (legacy interoperability for a short to medium period). [4] (no universal interoperability model). [16] Sec. 3 Table 1 p. 7. [22].</w:t>
            </w:r>
          </w:p>
        </w:tc>
      </w:tr>
      <w:tr>
        <w:tc>
          <w:tcPr>
            <w:tcW w:type="dxa" w:w="4759"/>
            <w:shd w:val="clear" w:fill="F2F2F2"/>
          </w:tcPr>
          <w:p>
            <w:pPr>
              <w:spacing w:after="40"/>
            </w:pPr>
            <w:r>
              <w:rPr>
                <w:b/>
                <w:sz w:val="18"/>
              </w:rPr>
              <w:t>Falsification — what would defeat it</w:t>
            </w:r>
          </w:p>
        </w:tc>
        <w:tc>
          <w:tcPr>
            <w:tcW w:type="dxa" w:w="4759"/>
            <w:shd w:val="clear" w:fill="FFF2CC"/>
          </w:tcPr>
          <w:p>
            <w:pPr>
              <w:spacing w:after="40"/>
            </w:pPr>
            <w:r>
              <w:rPr>
                <w:sz w:val="18"/>
              </w:rPr>
              <w:t>An arrangement fails R07 if a leg is held on an infrastructure the arrangement cannot reach - in which case there is no second leg to make conditional on the first.</w:t>
            </w:r>
          </w:p>
        </w:tc>
      </w:tr>
    </w:tbl>
    <w:p>
      <w:pPr>
        <w:spacing w:before="120"/>
      </w:pPr>
      <w:r>
        <w:rPr>
          <w:b/>
          <w:sz w:val="19"/>
        </w:rPr>
        <w:t>How each variant discharges it</w:t>
      </w:r>
    </w:p>
    <w:tbl>
      <w:tblPr>
        <w:tblStyle w:val="TableGrid"/>
        <w:tblW w:type="auto" w:w="0"/>
        <w:tblLook w:firstColumn="1" w:firstRow="1" w:lastColumn="0" w:lastRow="0" w:noHBand="0" w:noVBand="1" w:val="04A0"/>
      </w:tblPr>
      <w:tblGrid>
        <w:gridCol w:w="3173"/>
        <w:gridCol w:w="3173"/>
        <w:gridCol w:w="3173"/>
      </w:tblGrid>
      <w:tr>
        <w:tc>
          <w:tcPr>
            <w:tcW w:type="dxa" w:w="3173"/>
            <w:shd w:val="clear" w:fill="DCE6F1"/>
          </w:tcPr>
          <w:p>
            <w:r>
              <w:rPr>
                <w:b/>
                <w:sz w:val="18"/>
              </w:rPr>
              <w:t>B1 — Synchronised trigger</w:t>
            </w:r>
          </w:p>
        </w:tc>
        <w:tc>
          <w:tcPr>
            <w:tcW w:type="dxa" w:w="3173"/>
            <w:shd w:val="clear" w:fill="DCE6F1"/>
          </w:tcPr>
          <w:p>
            <w:r>
              <w:rPr>
                <w:b/>
                <w:sz w:val="18"/>
              </w:rPr>
              <w:t>B2 — Integrated on-ledger</w:t>
            </w:r>
          </w:p>
        </w:tc>
        <w:tc>
          <w:tcPr>
            <w:tcW w:type="dxa" w:w="3173"/>
            <w:shd w:val="clear" w:fill="DCE6F1"/>
          </w:tcPr>
          <w:p>
            <w:r>
              <w:rPr>
                <w:b/>
                <w:sz w:val="18"/>
              </w:rPr>
              <w:t>B3 — Cross-ledger HTLC</w:t>
            </w:r>
          </w:p>
        </w:tc>
      </w:tr>
      <w:tr>
        <w:tc>
          <w:tcPr>
            <w:tcW w:type="dxa" w:w="3173"/>
          </w:tcPr>
          <w:p>
            <w:r>
              <w:rPr>
                <w:sz w:val="17"/>
              </w:rPr>
              <w:t>ISO 20022 bridge on the critical settlement path.</w:t>
            </w:r>
          </w:p>
        </w:tc>
        <w:tc>
          <w:tcPr>
            <w:tcW w:type="dxa" w:w="3173"/>
          </w:tcPr>
          <w:p>
            <w:r>
              <w:rPr>
                <w:sz w:val="17"/>
              </w:rPr>
              <w:t>Internal coordination; messaging at the edges only.</w:t>
            </w:r>
          </w:p>
        </w:tc>
        <w:tc>
          <w:tcPr>
            <w:tcW w:type="dxa" w:w="3173"/>
          </w:tcPr>
          <w:p>
            <w:r>
              <w:rPr>
                <w:sz w:val="17"/>
              </w:rPr>
              <w:t>On-register locks; no messaging bridge, but two time bases to align.</w:t>
            </w:r>
          </w:p>
        </w:tc>
      </w:tr>
    </w:tbl>
    <w:p>
      <w:r>
        <w:rPr>
          <w:i/>
          <w:sz w:val="17"/>
        </w:rPr>
        <w:t>Full cell content — mechanism, interface trace, evidence, assumption and residual risk — is in the realisation matrix workbook, sheet 2.</w:t>
      </w:r>
    </w:p>
    <w:p>
      <w:r>
        <w:br w:type="page"/>
      </w:r>
    </w:p>
    <w:p>
      <w:pPr>
        <w:spacing w:before="360" w:after="120"/>
        <w:jc w:val="left"/>
      </w:pPr>
      <w:r>
        <w:rPr>
          <w:b/>
          <w:color w:val="1F3864"/>
          <w:sz w:val="30"/>
        </w:rPr>
        <w:t>R08 — Structural</w:t>
      </w:r>
    </w:p>
    <w:p>
      <w:r>
        <w:rPr>
          <w:sz w:val="22"/>
        </w:rPr>
        <w:t>The arrangement shall maintain an operational control framework covering the assurance of executable code, cyber-risk, key management, change and release governance, and business continuity, across every infrastructure on which a leg or the coordination mechanism runs.</w:t>
      </w:r>
    </w:p>
    <w:tbl>
      <w:tblPr>
        <w:tblStyle w:val="TableGrid"/>
        <w:tblW w:type="auto" w:w="0"/>
        <w:tblLook w:firstColumn="1" w:firstRow="1" w:lastColumn="0" w:lastRow="0" w:noHBand="0" w:noVBand="1" w:val="04A0"/>
      </w:tblPr>
      <w:tblGrid>
        <w:gridCol w:w="2494"/>
        <w:gridCol w:w="6917"/>
      </w:tblGrid>
      <w:tr>
        <w:tc>
          <w:tcPr>
            <w:tcW w:type="dxa" w:w="4759"/>
            <w:shd w:val="clear" w:fill="F2F2F2"/>
          </w:tcPr>
          <w:p>
            <w:pPr>
              <w:spacing w:after="40"/>
            </w:pPr>
            <w:r>
              <w:rPr>
                <w:b/>
                <w:sz w:val="18"/>
              </w:rPr>
              <w:t>Priority</w:t>
            </w:r>
          </w:p>
        </w:tc>
        <w:tc>
          <w:tcPr>
            <w:tcW w:type="dxa" w:w="4759"/>
          </w:tcPr>
          <w:p>
            <w:pPr>
              <w:spacing w:after="40"/>
            </w:pPr>
            <w:r>
              <w:rPr>
                <w:sz w:val="18"/>
              </w:rPr>
              <w:t>Structural</w:t>
            </w:r>
          </w:p>
        </w:tc>
      </w:tr>
      <w:tr>
        <w:tc>
          <w:tcPr>
            <w:tcW w:type="dxa" w:w="4759"/>
            <w:shd w:val="clear" w:fill="F2F2F2"/>
          </w:tcPr>
          <w:p>
            <w:pPr>
              <w:spacing w:after="40"/>
            </w:pPr>
            <w:r>
              <w:rPr>
                <w:b/>
                <w:sz w:val="18"/>
              </w:rPr>
              <w:t>Primary layer</w:t>
            </w:r>
          </w:p>
        </w:tc>
        <w:tc>
          <w:tcPr>
            <w:tcW w:type="dxa" w:w="4759"/>
          </w:tcPr>
          <w:p>
            <w:pPr>
              <w:spacing w:after="40"/>
            </w:pPr>
            <w:r>
              <w:rPr>
                <w:sz w:val="18"/>
              </w:rPr>
              <w:t>L5 - Operations and resilience</w:t>
            </w:r>
          </w:p>
        </w:tc>
      </w:tr>
      <w:tr>
        <w:tc>
          <w:tcPr>
            <w:tcW w:type="dxa" w:w="4759"/>
            <w:shd w:val="clear" w:fill="F2F2F2"/>
          </w:tcPr>
          <w:p>
            <w:pPr>
              <w:spacing w:after="40"/>
            </w:pPr>
            <w:r>
              <w:rPr>
                <w:b/>
                <w:sz w:val="18"/>
              </w:rPr>
              <w:t>Secondary layer</w:t>
            </w:r>
          </w:p>
        </w:tc>
        <w:tc>
          <w:tcPr>
            <w:tcW w:type="dxa" w:w="4759"/>
          </w:tcPr>
          <w:p>
            <w:pPr>
              <w:spacing w:after="40"/>
            </w:pPr>
            <w:r>
              <w:rPr>
                <w:sz w:val="18"/>
              </w:rPr>
              <w:t>-</w:t>
            </w:r>
          </w:p>
        </w:tc>
      </w:tr>
      <w:tr>
        <w:tc>
          <w:tcPr>
            <w:tcW w:type="dxa" w:w="4759"/>
            <w:shd w:val="clear" w:fill="F2F2F2"/>
          </w:tcPr>
          <w:p>
            <w:pPr>
              <w:spacing w:after="40"/>
            </w:pPr>
            <w:r>
              <w:rPr>
                <w:b/>
                <w:sz w:val="18"/>
              </w:rPr>
              <w:t>PFMI anchor</w:t>
            </w:r>
          </w:p>
        </w:tc>
        <w:tc>
          <w:tcPr>
            <w:tcW w:type="dxa" w:w="4759"/>
          </w:tcPr>
          <w:p>
            <w:pPr>
              <w:spacing w:after="40"/>
            </w:pPr>
            <w:r>
              <w:rPr>
                <w:sz w:val="18"/>
              </w:rPr>
              <w:t>P3 Framework for the comprehensive management of risks (p. 32); P17 Operational risk (p. 94).</w:t>
            </w:r>
          </w:p>
        </w:tc>
      </w:tr>
      <w:tr>
        <w:tc>
          <w:tcPr>
            <w:tcW w:type="dxa" w:w="4759"/>
            <w:shd w:val="clear" w:fill="F2F2F2"/>
          </w:tcPr>
          <w:p>
            <w:pPr>
              <w:spacing w:after="40"/>
            </w:pPr>
            <w:r>
              <w:rPr>
                <w:b/>
                <w:sz w:val="18"/>
              </w:rPr>
              <w:t>Inductive theme</w:t>
            </w:r>
          </w:p>
        </w:tc>
        <w:tc>
          <w:tcPr>
            <w:tcW w:type="dxa" w:w="4759"/>
          </w:tcPr>
          <w:p>
            <w:pPr>
              <w:spacing w:after="40"/>
            </w:pPr>
            <w:r>
              <w:rPr>
                <w:sz w:val="18"/>
              </w:rPr>
              <w:t>T5 - scalability; T8 - system governance.</w:t>
            </w:r>
          </w:p>
        </w:tc>
      </w:tr>
      <w:tr>
        <w:tc>
          <w:tcPr>
            <w:tcW w:type="dxa" w:w="4759"/>
            <w:shd w:val="clear" w:fill="F2F2F2"/>
          </w:tcPr>
          <w:p>
            <w:pPr>
              <w:spacing w:after="40"/>
            </w:pPr>
            <w:r>
              <w:rPr>
                <w:b/>
                <w:sz w:val="18"/>
              </w:rPr>
              <w:t>Responsible component or interaction</w:t>
            </w:r>
          </w:p>
        </w:tc>
        <w:tc>
          <w:tcPr>
            <w:tcW w:type="dxa" w:w="4759"/>
          </w:tcPr>
          <w:p>
            <w:pPr>
              <w:spacing w:after="40"/>
            </w:pPr>
            <w:r>
              <w:rPr>
                <w:sz w:val="18"/>
              </w:rPr>
              <w:t>L5 operational controls; contract lifecycle governance; the key and membership model.</w:t>
            </w:r>
          </w:p>
        </w:tc>
      </w:tr>
      <w:tr>
        <w:tc>
          <w:tcPr>
            <w:tcW w:type="dxa" w:w="4759"/>
            <w:shd w:val="clear" w:fill="F2F2F2"/>
          </w:tcPr>
          <w:p>
            <w:pPr>
              <w:spacing w:after="40"/>
            </w:pPr>
            <w:r>
              <w:rPr>
                <w:b/>
                <w:sz w:val="18"/>
              </w:rPr>
              <w:t>Left open (design parameter)</w:t>
            </w:r>
          </w:p>
        </w:tc>
        <w:tc>
          <w:tcPr>
            <w:tcW w:type="dxa" w:w="4759"/>
          </w:tcPr>
          <w:p>
            <w:pPr>
              <w:spacing w:after="40"/>
            </w:pPr>
            <w:r>
              <w:rPr>
                <w:sz w:val="18"/>
              </w:rPr>
              <w:t>Does not fix how the operational burden is distributed across operators. This is one of the seven dimensions on which admissible architectures consistently differ.</w:t>
            </w:r>
          </w:p>
        </w:tc>
      </w:tr>
      <w:tr>
        <w:tc>
          <w:tcPr>
            <w:tcW w:type="dxa" w:w="4759"/>
            <w:shd w:val="clear" w:fill="F2F2F2"/>
          </w:tcPr>
          <w:p>
            <w:pPr>
              <w:spacing w:after="40"/>
            </w:pPr>
            <w:r>
              <w:rPr>
                <w:b/>
                <w:sz w:val="18"/>
              </w:rPr>
              <w:t>Sources and locators</w:t>
            </w:r>
          </w:p>
        </w:tc>
        <w:tc>
          <w:tcPr>
            <w:tcW w:type="dxa" w:w="4759"/>
            <w:shd w:val="clear" w:fill="F7F9FC"/>
          </w:tcPr>
          <w:p>
            <w:pPr>
              <w:spacing w:after="40"/>
            </w:pPr>
            <w:r>
              <w:rPr>
                <w:sz w:val="18"/>
              </w:rPr>
              <w:t>[11] P3 p. 32, P17 p. 94. [21] Ch. 4 (smart-contract bugs as a DLT-specific operational vulnerability). [13] Sec. 3 p. 24. [16] Sec. 3 Table 1 p. 7 (Trigger Chain as a separate operated infrastructure). [6]. [8].</w:t>
            </w:r>
          </w:p>
        </w:tc>
      </w:tr>
      <w:tr>
        <w:tc>
          <w:tcPr>
            <w:tcW w:type="dxa" w:w="4759"/>
            <w:shd w:val="clear" w:fill="F2F2F2"/>
          </w:tcPr>
          <w:p>
            <w:pPr>
              <w:spacing w:after="40"/>
            </w:pPr>
            <w:r>
              <w:rPr>
                <w:b/>
                <w:sz w:val="18"/>
              </w:rPr>
              <w:t>Falsification — what would defeat it</w:t>
            </w:r>
          </w:p>
        </w:tc>
        <w:tc>
          <w:tcPr>
            <w:tcW w:type="dxa" w:w="4759"/>
            <w:shd w:val="clear" w:fill="FFF2CC"/>
          </w:tcPr>
          <w:p>
            <w:pPr>
              <w:spacing w:after="40"/>
            </w:pPr>
            <w:r>
              <w:rPr>
                <w:sz w:val="18"/>
              </w:rPr>
              <w:t>R08 is Structural: it cannot disqualify an architecture. It records how much operational surface each design creates and who carries it.</w:t>
            </w:r>
          </w:p>
        </w:tc>
      </w:tr>
    </w:tbl>
    <w:p>
      <w:pPr>
        <w:spacing w:before="120"/>
      </w:pPr>
      <w:r>
        <w:rPr>
          <w:b/>
          <w:sz w:val="19"/>
        </w:rPr>
        <w:t>How each variant discharges it</w:t>
      </w:r>
    </w:p>
    <w:tbl>
      <w:tblPr>
        <w:tblStyle w:val="TableGrid"/>
        <w:tblW w:type="auto" w:w="0"/>
        <w:tblLook w:firstColumn="1" w:firstRow="1" w:lastColumn="0" w:lastRow="0" w:noHBand="0" w:noVBand="1" w:val="04A0"/>
      </w:tblPr>
      <w:tblGrid>
        <w:gridCol w:w="3173"/>
        <w:gridCol w:w="3173"/>
        <w:gridCol w:w="3173"/>
      </w:tblGrid>
      <w:tr>
        <w:tc>
          <w:tcPr>
            <w:tcW w:type="dxa" w:w="3173"/>
            <w:shd w:val="clear" w:fill="DCE6F1"/>
          </w:tcPr>
          <w:p>
            <w:r>
              <w:rPr>
                <w:b/>
                <w:sz w:val="18"/>
              </w:rPr>
              <w:t>B1 — Synchronised trigger</w:t>
            </w:r>
          </w:p>
        </w:tc>
        <w:tc>
          <w:tcPr>
            <w:tcW w:type="dxa" w:w="3173"/>
            <w:shd w:val="clear" w:fill="DCE6F1"/>
          </w:tcPr>
          <w:p>
            <w:r>
              <w:rPr>
                <w:b/>
                <w:sz w:val="18"/>
              </w:rPr>
              <w:t>B2 — Integrated on-ledger</w:t>
            </w:r>
          </w:p>
        </w:tc>
        <w:tc>
          <w:tcPr>
            <w:tcW w:type="dxa" w:w="3173"/>
            <w:shd w:val="clear" w:fill="DCE6F1"/>
          </w:tcPr>
          <w:p>
            <w:r>
              <w:rPr>
                <w:b/>
                <w:sz w:val="18"/>
              </w:rPr>
              <w:t>B3 — Cross-ledger HTLC</w:t>
            </w:r>
          </w:p>
        </w:tc>
      </w:tr>
      <w:tr>
        <w:tc>
          <w:tcPr>
            <w:tcW w:type="dxa" w:w="3173"/>
          </w:tcPr>
          <w:p>
            <w:r>
              <w:rPr>
                <w:sz w:val="17"/>
              </w:rPr>
              <w:t>Largest operational surface: two infrastructures plus a coordinator.</w:t>
            </w:r>
          </w:p>
        </w:tc>
        <w:tc>
          <w:tcPr>
            <w:tcW w:type="dxa" w:w="3173"/>
          </w:tcPr>
          <w:p>
            <w:r>
              <w:rPr>
                <w:sz w:val="17"/>
              </w:rPr>
              <w:t>Concentrated on one platform; the settlement contract carries the guarantee.</w:t>
            </w:r>
          </w:p>
        </w:tc>
        <w:tc>
          <w:tcPr>
            <w:tcW w:type="dxa" w:w="3173"/>
          </w:tcPr>
          <w:p>
            <w:r>
              <w:rPr>
                <w:sz w:val="17"/>
              </w:rPr>
              <w:t>No coordinator, but window parameters become a safety control.</w:t>
            </w:r>
          </w:p>
        </w:tc>
      </w:tr>
    </w:tbl>
    <w:p>
      <w:r>
        <w:rPr>
          <w:i/>
          <w:sz w:val="17"/>
        </w:rPr>
        <w:t>Full cell content — mechanism, interface trace, evidence, assumption and residual risk — is in the realisation matrix workbook, sheet 2.</w:t>
      </w:r>
    </w:p>
    <w:p>
      <w:r>
        <w:br w:type="page"/>
      </w:r>
    </w:p>
    <w:p>
      <w:pPr>
        <w:spacing w:before="360" w:after="120"/>
        <w:jc w:val="left"/>
      </w:pPr>
      <w:r>
        <w:rPr>
          <w:b/>
          <w:color w:val="1F3864"/>
          <w:sz w:val="30"/>
        </w:rPr>
        <w:t>R09 — Conditional</w:t>
      </w:r>
    </w:p>
    <w:p>
      <w:r>
        <w:rPr>
          <w:sz w:val="22"/>
        </w:rPr>
        <w:t>The arrangement shall settle without creating gridlock: liquidity required for the cash leg shall be available when settlement is attempted, and any value immobilised during settlement shall be released on a bounded, specified condition.</w:t>
      </w:r>
    </w:p>
    <w:tbl>
      <w:tblPr>
        <w:tblStyle w:val="TableGrid"/>
        <w:tblW w:type="auto" w:w="0"/>
        <w:tblLook w:firstColumn="1" w:firstRow="1" w:lastColumn="0" w:lastRow="0" w:noHBand="0" w:noVBand="1" w:val="04A0"/>
      </w:tblPr>
      <w:tblGrid>
        <w:gridCol w:w="2494"/>
        <w:gridCol w:w="6917"/>
      </w:tblGrid>
      <w:tr>
        <w:tc>
          <w:tcPr>
            <w:tcW w:type="dxa" w:w="4759"/>
            <w:shd w:val="clear" w:fill="F2F2F2"/>
          </w:tcPr>
          <w:p>
            <w:pPr>
              <w:spacing w:after="40"/>
            </w:pPr>
            <w:r>
              <w:rPr>
                <w:b/>
                <w:sz w:val="18"/>
              </w:rPr>
              <w:t>Priority</w:t>
            </w:r>
          </w:p>
        </w:tc>
        <w:tc>
          <w:tcPr>
            <w:tcW w:type="dxa" w:w="4759"/>
          </w:tcPr>
          <w:p>
            <w:pPr>
              <w:spacing w:after="40"/>
            </w:pPr>
            <w:r>
              <w:rPr>
                <w:sz w:val="18"/>
              </w:rPr>
              <w:t>Conditional</w:t>
            </w:r>
          </w:p>
        </w:tc>
      </w:tr>
      <w:tr>
        <w:tc>
          <w:tcPr>
            <w:tcW w:type="dxa" w:w="4759"/>
            <w:shd w:val="clear" w:fill="F2F2F2"/>
          </w:tcPr>
          <w:p>
            <w:pPr>
              <w:spacing w:after="40"/>
            </w:pPr>
            <w:r>
              <w:rPr>
                <w:b/>
                <w:sz w:val="18"/>
              </w:rPr>
              <w:t>Primary layer</w:t>
            </w:r>
          </w:p>
        </w:tc>
        <w:tc>
          <w:tcPr>
            <w:tcW w:type="dxa" w:w="4759"/>
          </w:tcPr>
          <w:p>
            <w:pPr>
              <w:spacing w:after="40"/>
            </w:pPr>
            <w:r>
              <w:rPr>
                <w:sz w:val="18"/>
              </w:rPr>
              <w:t>L3 - Coordinated DvP engine</w:t>
            </w:r>
          </w:p>
        </w:tc>
      </w:tr>
      <w:tr>
        <w:tc>
          <w:tcPr>
            <w:tcW w:type="dxa" w:w="4759"/>
            <w:shd w:val="clear" w:fill="F2F2F2"/>
          </w:tcPr>
          <w:p>
            <w:pPr>
              <w:spacing w:after="40"/>
            </w:pPr>
            <w:r>
              <w:rPr>
                <w:b/>
                <w:sz w:val="18"/>
              </w:rPr>
              <w:t>Secondary layer</w:t>
            </w:r>
          </w:p>
        </w:tc>
        <w:tc>
          <w:tcPr>
            <w:tcW w:type="dxa" w:w="4759"/>
          </w:tcPr>
          <w:p>
            <w:pPr>
              <w:spacing w:after="40"/>
            </w:pPr>
            <w:r>
              <w:rPr>
                <w:sz w:val="18"/>
              </w:rPr>
              <w:t>-</w:t>
            </w:r>
          </w:p>
        </w:tc>
      </w:tr>
      <w:tr>
        <w:tc>
          <w:tcPr>
            <w:tcW w:type="dxa" w:w="4759"/>
            <w:shd w:val="clear" w:fill="F2F2F2"/>
          </w:tcPr>
          <w:p>
            <w:pPr>
              <w:spacing w:after="40"/>
            </w:pPr>
            <w:r>
              <w:rPr>
                <w:b/>
                <w:sz w:val="18"/>
              </w:rPr>
              <w:t>PFMI anchor</w:t>
            </w:r>
          </w:p>
        </w:tc>
        <w:tc>
          <w:tcPr>
            <w:tcW w:type="dxa" w:w="4759"/>
          </w:tcPr>
          <w:p>
            <w:pPr>
              <w:spacing w:after="40"/>
            </w:pPr>
            <w:r>
              <w:rPr>
                <w:sz w:val="18"/>
              </w:rPr>
              <w:t>P7 Liquidity risk; P9 Money settlements (p. 67).</w:t>
            </w:r>
          </w:p>
        </w:tc>
      </w:tr>
      <w:tr>
        <w:tc>
          <w:tcPr>
            <w:tcW w:type="dxa" w:w="4759"/>
            <w:shd w:val="clear" w:fill="F2F2F2"/>
          </w:tcPr>
          <w:p>
            <w:pPr>
              <w:spacing w:after="40"/>
            </w:pPr>
            <w:r>
              <w:rPr>
                <w:b/>
                <w:sz w:val="18"/>
              </w:rPr>
              <w:t>Inductive theme</w:t>
            </w:r>
          </w:p>
        </w:tc>
        <w:tc>
          <w:tcPr>
            <w:tcW w:type="dxa" w:w="4759"/>
          </w:tcPr>
          <w:p>
            <w:pPr>
              <w:spacing w:after="40"/>
            </w:pPr>
            <w:r>
              <w:rPr>
                <w:sz w:val="18"/>
              </w:rPr>
              <w:t>T10 - liquidity constraints and escrow mechanics.</w:t>
            </w:r>
          </w:p>
        </w:tc>
      </w:tr>
      <w:tr>
        <w:tc>
          <w:tcPr>
            <w:tcW w:type="dxa" w:w="4759"/>
            <w:shd w:val="clear" w:fill="F2F2F2"/>
          </w:tcPr>
          <w:p>
            <w:pPr>
              <w:spacing w:after="40"/>
            </w:pPr>
            <w:r>
              <w:rPr>
                <w:b/>
                <w:sz w:val="18"/>
              </w:rPr>
              <w:t>Responsible component or interaction</w:t>
            </w:r>
          </w:p>
        </w:tc>
        <w:tc>
          <w:tcPr>
            <w:tcW w:type="dxa" w:w="4759"/>
          </w:tcPr>
          <w:p>
            <w:pPr>
              <w:spacing w:after="40"/>
            </w:pPr>
            <w:r>
              <w:rPr>
                <w:sz w:val="18"/>
              </w:rPr>
              <w:t>L3 liquidity model; the escrow or reservation state and its exits; the on-ramp where the cash leg is on-ledger.</w:t>
            </w:r>
          </w:p>
        </w:tc>
      </w:tr>
      <w:tr>
        <w:tc>
          <w:tcPr>
            <w:tcW w:type="dxa" w:w="4759"/>
            <w:shd w:val="clear" w:fill="F2F2F2"/>
          </w:tcPr>
          <w:p>
            <w:pPr>
              <w:spacing w:after="40"/>
            </w:pPr>
            <w:r>
              <w:rPr>
                <w:b/>
                <w:sz w:val="18"/>
              </w:rPr>
              <w:t>Left open (design parameter)</w:t>
            </w:r>
          </w:p>
        </w:tc>
        <w:tc>
          <w:tcPr>
            <w:tcW w:type="dxa" w:w="4759"/>
          </w:tcPr>
          <w:p>
            <w:pPr>
              <w:spacing w:after="40"/>
            </w:pPr>
            <w:r>
              <w:rPr>
                <w:sz w:val="18"/>
              </w:rPr>
              <w:t>Does not fix the liquidity model. Three are evidenced: a single RTGS pool, intraday issuance and redemption against RTGS balances, and pre-positioning under locks.</w:t>
            </w:r>
          </w:p>
        </w:tc>
      </w:tr>
      <w:tr>
        <w:tc>
          <w:tcPr>
            <w:tcW w:type="dxa" w:w="4759"/>
            <w:shd w:val="clear" w:fill="F2F2F2"/>
          </w:tcPr>
          <w:p>
            <w:pPr>
              <w:spacing w:after="40"/>
            </w:pPr>
            <w:r>
              <w:rPr>
                <w:b/>
                <w:sz w:val="18"/>
              </w:rPr>
              <w:t>Sources and locators</w:t>
            </w:r>
          </w:p>
        </w:tc>
        <w:tc>
          <w:tcPr>
            <w:tcW w:type="dxa" w:w="4759"/>
            <w:shd w:val="clear" w:fill="F7F9FC"/>
          </w:tcPr>
          <w:p>
            <w:pPr>
              <w:spacing w:after="40"/>
            </w:pPr>
            <w:r>
              <w:rPr>
                <w:sz w:val="18"/>
              </w:rPr>
              <w:t>[11] P7, P9 p. 67. [17] Appendix 1 pp. 23-24 (gross settlement raises the need for intraday liquidity unless a liquidity-saving mechanism is used); p. 16 (liquidity fragmentation). [13] Sec. 2.3 Req. 2 and Req. 3 p. 16. [16] Sec. 3 p. 7 (exploratory liquidity with an escrow mechanism).</w:t>
            </w:r>
          </w:p>
        </w:tc>
      </w:tr>
      <w:tr>
        <w:tc>
          <w:tcPr>
            <w:tcW w:type="dxa" w:w="4759"/>
            <w:shd w:val="clear" w:fill="F2F2F2"/>
          </w:tcPr>
          <w:p>
            <w:pPr>
              <w:spacing w:after="40"/>
            </w:pPr>
            <w:r>
              <w:rPr>
                <w:b/>
                <w:sz w:val="18"/>
              </w:rPr>
              <w:t>Falsification — what would defeat it</w:t>
            </w:r>
          </w:p>
        </w:tc>
        <w:tc>
          <w:tcPr>
            <w:tcW w:type="dxa" w:w="4759"/>
            <w:shd w:val="clear" w:fill="FFF2CC"/>
          </w:tcPr>
          <w:p>
            <w:pPr>
              <w:spacing w:after="40"/>
            </w:pPr>
            <w:r>
              <w:rPr>
                <w:sz w:val="18"/>
              </w:rPr>
              <w:t>R09 is Conditional: it bites where volumes or window lengths make immobilised value material. It does not condition admissibility.</w:t>
            </w:r>
          </w:p>
        </w:tc>
      </w:tr>
    </w:tbl>
    <w:p>
      <w:pPr>
        <w:spacing w:before="120"/>
      </w:pPr>
      <w:r>
        <w:rPr>
          <w:b/>
          <w:sz w:val="19"/>
        </w:rPr>
        <w:t>How each variant discharges it</w:t>
      </w:r>
    </w:p>
    <w:tbl>
      <w:tblPr>
        <w:tblStyle w:val="TableGrid"/>
        <w:tblW w:type="auto" w:w="0"/>
        <w:tblLook w:firstColumn="1" w:firstRow="1" w:lastColumn="0" w:lastRow="0" w:noHBand="0" w:noVBand="1" w:val="04A0"/>
      </w:tblPr>
      <w:tblGrid>
        <w:gridCol w:w="3173"/>
        <w:gridCol w:w="3173"/>
        <w:gridCol w:w="3173"/>
      </w:tblGrid>
      <w:tr>
        <w:tc>
          <w:tcPr>
            <w:tcW w:type="dxa" w:w="3173"/>
            <w:shd w:val="clear" w:fill="DCE6F1"/>
          </w:tcPr>
          <w:p>
            <w:r>
              <w:rPr>
                <w:b/>
                <w:sz w:val="18"/>
              </w:rPr>
              <w:t>B1 — Synchronised trigger</w:t>
            </w:r>
          </w:p>
        </w:tc>
        <w:tc>
          <w:tcPr>
            <w:tcW w:type="dxa" w:w="3173"/>
            <w:shd w:val="clear" w:fill="DCE6F1"/>
          </w:tcPr>
          <w:p>
            <w:r>
              <w:rPr>
                <w:b/>
                <w:sz w:val="18"/>
              </w:rPr>
              <w:t>B2 — Integrated on-ledger</w:t>
            </w:r>
          </w:p>
        </w:tc>
        <w:tc>
          <w:tcPr>
            <w:tcW w:type="dxa" w:w="3173"/>
            <w:shd w:val="clear" w:fill="DCE6F1"/>
          </w:tcPr>
          <w:p>
            <w:r>
              <w:rPr>
                <w:b/>
                <w:sz w:val="18"/>
              </w:rPr>
              <w:t>B3 — Cross-ledger HTLC</w:t>
            </w:r>
          </w:p>
        </w:tc>
      </w:tr>
      <w:tr>
        <w:tc>
          <w:tcPr>
            <w:tcW w:type="dxa" w:w="3173"/>
          </w:tcPr>
          <w:p>
            <w:r>
              <w:rPr>
                <w:sz w:val="17"/>
              </w:rPr>
              <w:t>One RTGS pool; nothing pre-positioned on the ledger.</w:t>
            </w:r>
          </w:p>
        </w:tc>
        <w:tc>
          <w:tcPr>
            <w:tcW w:type="dxa" w:w="3173"/>
          </w:tcPr>
          <w:p>
            <w:r>
              <w:rPr>
                <w:sz w:val="17"/>
              </w:rPr>
              <w:t>Intraday issuance and redemption against RTGS balances.</w:t>
            </w:r>
          </w:p>
        </w:tc>
        <w:tc>
          <w:tcPr>
            <w:tcW w:type="dxa" w:w="3173"/>
          </w:tcPr>
          <w:p>
            <w:r>
              <w:rPr>
                <w:sz w:val="17"/>
              </w:rPr>
              <w:t>Both legs escrowed at once for the length of the window.</w:t>
            </w:r>
          </w:p>
        </w:tc>
      </w:tr>
    </w:tbl>
    <w:p>
      <w:r>
        <w:rPr>
          <w:i/>
          <w:sz w:val="17"/>
        </w:rPr>
        <w:t>Full cell content — mechanism, interface trace, evidence, assumption and residual risk — is in the realisation matrix workbook, sheet 2.</w:t>
      </w:r>
    </w:p>
    <w:p>
      <w:r>
        <w:br w:type="page"/>
      </w:r>
    </w:p>
    <w:p>
      <w:pPr>
        <w:spacing w:before="360" w:after="120"/>
        <w:jc w:val="left"/>
      </w:pPr>
      <w:r>
        <w:rPr>
          <w:b/>
          <w:color w:val="1F3864"/>
          <w:sz w:val="30"/>
        </w:rPr>
        <w:t>R10 — Conditional</w:t>
      </w:r>
    </w:p>
    <w:p>
      <w:r>
        <w:rPr>
          <w:sz w:val="22"/>
        </w:rPr>
        <w:t>The arrangement shall specify what happens when a party fails, defaults, or acts strategically - including a party that delays action in order to void a settlement - and shall allocate the duty to act, or the compensation for inaction, to a named party.</w:t>
      </w:r>
    </w:p>
    <w:tbl>
      <w:tblPr>
        <w:tblStyle w:val="TableGrid"/>
        <w:tblW w:type="auto" w:w="0"/>
        <w:tblLook w:firstColumn="1" w:firstRow="1" w:lastColumn="0" w:lastRow="0" w:noHBand="0" w:noVBand="1" w:val="04A0"/>
      </w:tblPr>
      <w:tblGrid>
        <w:gridCol w:w="2494"/>
        <w:gridCol w:w="6917"/>
      </w:tblGrid>
      <w:tr>
        <w:tc>
          <w:tcPr>
            <w:tcW w:type="dxa" w:w="4759"/>
            <w:shd w:val="clear" w:fill="F2F2F2"/>
          </w:tcPr>
          <w:p>
            <w:pPr>
              <w:spacing w:after="40"/>
            </w:pPr>
            <w:r>
              <w:rPr>
                <w:b/>
                <w:sz w:val="18"/>
              </w:rPr>
              <w:t>Priority</w:t>
            </w:r>
          </w:p>
        </w:tc>
        <w:tc>
          <w:tcPr>
            <w:tcW w:type="dxa" w:w="4759"/>
          </w:tcPr>
          <w:p>
            <w:pPr>
              <w:spacing w:after="40"/>
            </w:pPr>
            <w:r>
              <w:rPr>
                <w:sz w:val="18"/>
              </w:rPr>
              <w:t>Conditional</w:t>
            </w:r>
          </w:p>
        </w:tc>
      </w:tr>
      <w:tr>
        <w:tc>
          <w:tcPr>
            <w:tcW w:type="dxa" w:w="4759"/>
            <w:shd w:val="clear" w:fill="F2F2F2"/>
          </w:tcPr>
          <w:p>
            <w:pPr>
              <w:spacing w:after="40"/>
            </w:pPr>
            <w:r>
              <w:rPr>
                <w:b/>
                <w:sz w:val="18"/>
              </w:rPr>
              <w:t>Primary layer</w:t>
            </w:r>
          </w:p>
        </w:tc>
        <w:tc>
          <w:tcPr>
            <w:tcW w:type="dxa" w:w="4759"/>
          </w:tcPr>
          <w:p>
            <w:pPr>
              <w:spacing w:after="40"/>
            </w:pPr>
            <w:r>
              <w:rPr>
                <w:sz w:val="18"/>
              </w:rPr>
              <w:t>L3 - Coordinated DvP engine</w:t>
            </w:r>
          </w:p>
        </w:tc>
      </w:tr>
      <w:tr>
        <w:tc>
          <w:tcPr>
            <w:tcW w:type="dxa" w:w="4759"/>
            <w:shd w:val="clear" w:fill="F2F2F2"/>
          </w:tcPr>
          <w:p>
            <w:pPr>
              <w:spacing w:after="40"/>
            </w:pPr>
            <w:r>
              <w:rPr>
                <w:b/>
                <w:sz w:val="18"/>
              </w:rPr>
              <w:t>Secondary layer</w:t>
            </w:r>
          </w:p>
        </w:tc>
        <w:tc>
          <w:tcPr>
            <w:tcW w:type="dxa" w:w="4759"/>
          </w:tcPr>
          <w:p>
            <w:pPr>
              <w:spacing w:after="40"/>
            </w:pPr>
            <w:r>
              <w:rPr>
                <w:sz w:val="18"/>
              </w:rPr>
              <w:t>-</w:t>
            </w:r>
          </w:p>
        </w:tc>
      </w:tr>
      <w:tr>
        <w:tc>
          <w:tcPr>
            <w:tcW w:type="dxa" w:w="4759"/>
            <w:shd w:val="clear" w:fill="F2F2F2"/>
          </w:tcPr>
          <w:p>
            <w:pPr>
              <w:spacing w:after="40"/>
            </w:pPr>
            <w:r>
              <w:rPr>
                <w:b/>
                <w:sz w:val="18"/>
              </w:rPr>
              <w:t>PFMI anchor</w:t>
            </w:r>
          </w:p>
        </w:tc>
        <w:tc>
          <w:tcPr>
            <w:tcW w:type="dxa" w:w="4759"/>
          </w:tcPr>
          <w:p>
            <w:pPr>
              <w:spacing w:after="40"/>
            </w:pPr>
            <w:r>
              <w:rPr>
                <w:sz w:val="18"/>
              </w:rPr>
              <w:t>P8 Settlement finality (p. 64); P13 Participant-default rules.</w:t>
            </w:r>
          </w:p>
        </w:tc>
      </w:tr>
      <w:tr>
        <w:tc>
          <w:tcPr>
            <w:tcW w:type="dxa" w:w="4759"/>
            <w:shd w:val="clear" w:fill="F2F2F2"/>
          </w:tcPr>
          <w:p>
            <w:pPr>
              <w:spacing w:after="40"/>
            </w:pPr>
            <w:r>
              <w:rPr>
                <w:b/>
                <w:sz w:val="18"/>
              </w:rPr>
              <w:t>Inductive theme</w:t>
            </w:r>
          </w:p>
        </w:tc>
        <w:tc>
          <w:tcPr>
            <w:tcW w:type="dxa" w:w="4759"/>
          </w:tcPr>
          <w:p>
            <w:pPr>
              <w:spacing w:after="40"/>
            </w:pPr>
            <w:r>
              <w:rPr>
                <w:sz w:val="18"/>
              </w:rPr>
              <w:t>None from the academic strand beyond T2; the failure content comes from the formal models rather than from an emergent theme.</w:t>
            </w:r>
          </w:p>
        </w:tc>
      </w:tr>
      <w:tr>
        <w:tc>
          <w:tcPr>
            <w:tcW w:type="dxa" w:w="4759"/>
            <w:shd w:val="clear" w:fill="F2F2F2"/>
          </w:tcPr>
          <w:p>
            <w:pPr>
              <w:spacing w:after="40"/>
            </w:pPr>
            <w:r>
              <w:rPr>
                <w:b/>
                <w:sz w:val="18"/>
              </w:rPr>
              <w:t>Responsible component or interaction</w:t>
            </w:r>
          </w:p>
        </w:tc>
        <w:tc>
          <w:tcPr>
            <w:tcW w:type="dxa" w:w="4759"/>
          </w:tcPr>
          <w:p>
            <w:pPr>
              <w:spacing w:after="40"/>
            </w:pPr>
            <w:r>
              <w:rPr>
                <w:sz w:val="18"/>
              </w:rPr>
              <w:t>L3 failure handling: timeouts, rollback, recovery, refund, and the rulebook obligation that closes a window.</w:t>
            </w:r>
          </w:p>
        </w:tc>
      </w:tr>
      <w:tr>
        <w:tc>
          <w:tcPr>
            <w:tcW w:type="dxa" w:w="4759"/>
            <w:shd w:val="clear" w:fill="F2F2F2"/>
          </w:tcPr>
          <w:p>
            <w:pPr>
              <w:spacing w:after="40"/>
            </w:pPr>
            <w:r>
              <w:rPr>
                <w:b/>
                <w:sz w:val="18"/>
              </w:rPr>
              <w:t>Left open (design parameter)</w:t>
            </w:r>
          </w:p>
        </w:tc>
        <w:tc>
          <w:tcPr>
            <w:tcW w:type="dxa" w:w="4759"/>
          </w:tcPr>
          <w:p>
            <w:pPr>
              <w:spacing w:after="40"/>
            </w:pPr>
            <w:r>
              <w:rPr>
                <w:sz w:val="18"/>
              </w:rPr>
              <w:t>Does not fix the failure semantics. Three are evidenced: rollback on confirmed rejection with recovery on timeout, no-partial-state, and refund on expiry.</w:t>
            </w:r>
          </w:p>
        </w:tc>
      </w:tr>
      <w:tr>
        <w:tc>
          <w:tcPr>
            <w:tcW w:type="dxa" w:w="4759"/>
            <w:shd w:val="clear" w:fill="F2F2F2"/>
          </w:tcPr>
          <w:p>
            <w:pPr>
              <w:spacing w:after="40"/>
            </w:pPr>
            <w:r>
              <w:rPr>
                <w:b/>
                <w:sz w:val="18"/>
              </w:rPr>
              <w:t>Sources and locators</w:t>
            </w:r>
          </w:p>
        </w:tc>
        <w:tc>
          <w:tcPr>
            <w:tcW w:type="dxa" w:w="4759"/>
            <w:shd w:val="clear" w:fill="F7F9FC"/>
          </w:tcPr>
          <w:p>
            <w:pPr>
              <w:spacing w:after="40"/>
            </w:pPr>
            <w:r>
              <w:rPr>
                <w:sz w:val="18"/>
              </w:rPr>
              <w:t>[11] P8 p. 64, P13. [9] (failure by late signature; premium paid by the structurally favoured participant, on KRX bond data). [7] (faster settlement improves welfare only if a party cannot gain by failing to settle). [16]. [12] Sec. 3.4 p. 20.</w:t>
            </w:r>
          </w:p>
        </w:tc>
      </w:tr>
      <w:tr>
        <w:tc>
          <w:tcPr>
            <w:tcW w:type="dxa" w:w="4759"/>
            <w:shd w:val="clear" w:fill="F2F2F2"/>
          </w:tcPr>
          <w:p>
            <w:pPr>
              <w:spacing w:after="40"/>
            </w:pPr>
            <w:r>
              <w:rPr>
                <w:b/>
                <w:sz w:val="18"/>
              </w:rPr>
              <w:t>Falsification — what would defeat it</w:t>
            </w:r>
          </w:p>
        </w:tc>
        <w:tc>
          <w:tcPr>
            <w:tcW w:type="dxa" w:w="4759"/>
            <w:shd w:val="clear" w:fill="FFF2CC"/>
          </w:tcPr>
          <w:p>
            <w:pPr>
              <w:spacing w:after="40"/>
            </w:pPr>
            <w:r>
              <w:rPr>
                <w:sz w:val="18"/>
              </w:rPr>
              <w:t>R10 is Conditional. Its sharpest application is to a mechanism whose failure mode is behavioural rather than technical, where the documented remedy is a price rather than a control.</w:t>
            </w:r>
          </w:p>
        </w:tc>
      </w:tr>
    </w:tbl>
    <w:p>
      <w:pPr>
        <w:spacing w:before="120"/>
      </w:pPr>
      <w:r>
        <w:rPr>
          <w:b/>
          <w:sz w:val="19"/>
        </w:rPr>
        <w:t>How each variant discharges it</w:t>
      </w:r>
    </w:p>
    <w:tbl>
      <w:tblPr>
        <w:tblStyle w:val="TableGrid"/>
        <w:tblW w:type="auto" w:w="0"/>
        <w:tblLook w:firstColumn="1" w:firstRow="1" w:lastColumn="0" w:lastRow="0" w:noHBand="0" w:noVBand="1" w:val="04A0"/>
      </w:tblPr>
      <w:tblGrid>
        <w:gridCol w:w="3173"/>
        <w:gridCol w:w="3173"/>
        <w:gridCol w:w="3173"/>
      </w:tblGrid>
      <w:tr>
        <w:tc>
          <w:tcPr>
            <w:tcW w:type="dxa" w:w="3173"/>
            <w:shd w:val="clear" w:fill="DCE6F1"/>
          </w:tcPr>
          <w:p>
            <w:r>
              <w:rPr>
                <w:b/>
                <w:sz w:val="18"/>
              </w:rPr>
              <w:t>B1 — Synchronised trigger</w:t>
            </w:r>
          </w:p>
        </w:tc>
        <w:tc>
          <w:tcPr>
            <w:tcW w:type="dxa" w:w="3173"/>
            <w:shd w:val="clear" w:fill="DCE6F1"/>
          </w:tcPr>
          <w:p>
            <w:r>
              <w:rPr>
                <w:b/>
                <w:sz w:val="18"/>
              </w:rPr>
              <w:t>B2 — Integrated on-ledger</w:t>
            </w:r>
          </w:p>
        </w:tc>
        <w:tc>
          <w:tcPr>
            <w:tcW w:type="dxa" w:w="3173"/>
            <w:shd w:val="clear" w:fill="DCE6F1"/>
          </w:tcPr>
          <w:p>
            <w:r>
              <w:rPr>
                <w:b/>
                <w:sz w:val="18"/>
              </w:rPr>
              <w:t>B3 — Cross-ledger HTLC</w:t>
            </w:r>
          </w:p>
        </w:tc>
      </w:tr>
      <w:tr>
        <w:tc>
          <w:tcPr>
            <w:tcW w:type="dxa" w:w="3173"/>
          </w:tcPr>
          <w:p>
            <w:r>
              <w:rPr>
                <w:sz w:val="17"/>
              </w:rPr>
              <w:t>Timeout pair with rollback on confirmed rejection and recovery by enquiry.</w:t>
            </w:r>
          </w:p>
        </w:tc>
        <w:tc>
          <w:tcPr>
            <w:tcW w:type="dxa" w:w="3173"/>
          </w:tcPr>
          <w:p>
            <w:r>
              <w:rPr>
                <w:sz w:val="17"/>
              </w:rPr>
              <w:t>No intermediate state to unwind; failure moves to funding.</w:t>
            </w:r>
          </w:p>
        </w:tc>
        <w:tc>
          <w:tcPr>
            <w:tcW w:type="dxa" w:w="3173"/>
          </w:tcPr>
          <w:p>
            <w:r>
              <w:rPr>
                <w:sz w:val="17"/>
              </w:rPr>
              <w:t>Refund on expiry; the residual failure is behavioural, remedied by a premium.</w:t>
            </w:r>
          </w:p>
        </w:tc>
      </w:tr>
    </w:tbl>
    <w:p>
      <w:r>
        <w:rPr>
          <w:i/>
          <w:sz w:val="17"/>
        </w:rPr>
        <w:t>Full cell content — mechanism, interface trace, evidence, assumption and residual risk — is in the realisation matrix workbook, sheet 2.</w:t>
      </w:r>
    </w:p>
    <w:p>
      <w:r>
        <w:br w:type="page"/>
      </w:r>
    </w:p>
    <w:p>
      <w:pPr>
        <w:spacing w:before="360" w:after="120"/>
        <w:jc w:val="left"/>
      </w:pPr>
      <w:r>
        <w:rPr>
          <w:b/>
          <w:color w:val="1F3864"/>
          <w:sz w:val="30"/>
        </w:rPr>
        <w:t>R11 — Conditional</w:t>
      </w:r>
    </w:p>
    <w:p>
      <w:r>
        <w:rPr>
          <w:sz w:val="22"/>
        </w:rPr>
        <w:t>The arrangement shall give supervisory authorities read-only access to settlement events, structurally separated from any capability to write, while limiting the exposure of trade terms to parties with no need to see them.</w:t>
      </w:r>
    </w:p>
    <w:tbl>
      <w:tblPr>
        <w:tblStyle w:val="TableGrid"/>
        <w:tblW w:type="auto" w:w="0"/>
        <w:tblLook w:firstColumn="1" w:firstRow="1" w:lastColumn="0" w:lastRow="0" w:noHBand="0" w:noVBand="1" w:val="04A0"/>
      </w:tblPr>
      <w:tblGrid>
        <w:gridCol w:w="2494"/>
        <w:gridCol w:w="6917"/>
      </w:tblGrid>
      <w:tr>
        <w:tc>
          <w:tcPr>
            <w:tcW w:type="dxa" w:w="4759"/>
            <w:shd w:val="clear" w:fill="F2F2F2"/>
          </w:tcPr>
          <w:p>
            <w:pPr>
              <w:spacing w:after="40"/>
            </w:pPr>
            <w:r>
              <w:rPr>
                <w:b/>
                <w:sz w:val="18"/>
              </w:rPr>
              <w:t>Priority</w:t>
            </w:r>
          </w:p>
        </w:tc>
        <w:tc>
          <w:tcPr>
            <w:tcW w:type="dxa" w:w="4759"/>
          </w:tcPr>
          <w:p>
            <w:pPr>
              <w:spacing w:after="40"/>
            </w:pPr>
            <w:r>
              <w:rPr>
                <w:sz w:val="18"/>
              </w:rPr>
              <w:t>Conditional</w:t>
            </w:r>
          </w:p>
        </w:tc>
      </w:tr>
      <w:tr>
        <w:tc>
          <w:tcPr>
            <w:tcW w:type="dxa" w:w="4759"/>
            <w:shd w:val="clear" w:fill="F2F2F2"/>
          </w:tcPr>
          <w:p>
            <w:pPr>
              <w:spacing w:after="40"/>
            </w:pPr>
            <w:r>
              <w:rPr>
                <w:b/>
                <w:sz w:val="18"/>
              </w:rPr>
              <w:t>Primary layer</w:t>
            </w:r>
          </w:p>
        </w:tc>
        <w:tc>
          <w:tcPr>
            <w:tcW w:type="dxa" w:w="4759"/>
          </w:tcPr>
          <w:p>
            <w:pPr>
              <w:spacing w:after="40"/>
            </w:pPr>
            <w:r>
              <w:rPr>
                <w:sz w:val="18"/>
              </w:rPr>
              <w:t>L5 - Operations and resilience</w:t>
            </w:r>
          </w:p>
        </w:tc>
      </w:tr>
      <w:tr>
        <w:tc>
          <w:tcPr>
            <w:tcW w:type="dxa" w:w="4759"/>
            <w:shd w:val="clear" w:fill="F2F2F2"/>
          </w:tcPr>
          <w:p>
            <w:pPr>
              <w:spacing w:after="40"/>
            </w:pPr>
            <w:r>
              <w:rPr>
                <w:b/>
                <w:sz w:val="18"/>
              </w:rPr>
              <w:t>Secondary layer</w:t>
            </w:r>
          </w:p>
        </w:tc>
        <w:tc>
          <w:tcPr>
            <w:tcW w:type="dxa" w:w="4759"/>
          </w:tcPr>
          <w:p>
            <w:pPr>
              <w:spacing w:after="40"/>
            </w:pPr>
            <w:r>
              <w:rPr>
                <w:sz w:val="18"/>
              </w:rPr>
              <w:t>-</w:t>
            </w:r>
          </w:p>
        </w:tc>
      </w:tr>
      <w:tr>
        <w:tc>
          <w:tcPr>
            <w:tcW w:type="dxa" w:w="4759"/>
            <w:shd w:val="clear" w:fill="F2F2F2"/>
          </w:tcPr>
          <w:p>
            <w:pPr>
              <w:spacing w:after="40"/>
            </w:pPr>
            <w:r>
              <w:rPr>
                <w:b/>
                <w:sz w:val="18"/>
              </w:rPr>
              <w:t>PFMI anchor</w:t>
            </w:r>
          </w:p>
        </w:tc>
        <w:tc>
          <w:tcPr>
            <w:tcW w:type="dxa" w:w="4759"/>
          </w:tcPr>
          <w:p>
            <w:pPr>
              <w:spacing w:after="40"/>
            </w:pPr>
            <w:r>
              <w:rPr>
                <w:sz w:val="18"/>
              </w:rPr>
              <w:t>P3 (p. 32); P17 Operational risk (p. 94); P18 Access and participation (p. 101).</w:t>
            </w:r>
          </w:p>
        </w:tc>
      </w:tr>
      <w:tr>
        <w:tc>
          <w:tcPr>
            <w:tcW w:type="dxa" w:w="4759"/>
            <w:shd w:val="clear" w:fill="F2F2F2"/>
          </w:tcPr>
          <w:p>
            <w:pPr>
              <w:spacing w:after="40"/>
            </w:pPr>
            <w:r>
              <w:rPr>
                <w:b/>
                <w:sz w:val="18"/>
              </w:rPr>
              <w:t>Inductive theme</w:t>
            </w:r>
          </w:p>
        </w:tc>
        <w:tc>
          <w:tcPr>
            <w:tcW w:type="dxa" w:w="4759"/>
          </w:tcPr>
          <w:p>
            <w:pPr>
              <w:spacing w:after="40"/>
            </w:pPr>
            <w:r>
              <w:rPr>
                <w:sz w:val="18"/>
              </w:rPr>
              <w:t>T4 - privacy versus supervision.</w:t>
            </w:r>
          </w:p>
        </w:tc>
      </w:tr>
      <w:tr>
        <w:tc>
          <w:tcPr>
            <w:tcW w:type="dxa" w:w="4759"/>
            <w:shd w:val="clear" w:fill="F2F2F2"/>
          </w:tcPr>
          <w:p>
            <w:pPr>
              <w:spacing w:after="40"/>
            </w:pPr>
            <w:r>
              <w:rPr>
                <w:b/>
                <w:sz w:val="18"/>
              </w:rPr>
              <w:t>Responsible component or interaction</w:t>
            </w:r>
          </w:p>
        </w:tc>
        <w:tc>
          <w:tcPr>
            <w:tcW w:type="dxa" w:w="4759"/>
          </w:tcPr>
          <w:p>
            <w:pPr>
              <w:spacing w:after="40"/>
            </w:pPr>
            <w:r>
              <w:rPr>
                <w:sz w:val="18"/>
              </w:rPr>
              <w:t>L5 observation surfaces; the event stream or streams; the read-only membership model.</w:t>
            </w:r>
          </w:p>
        </w:tc>
      </w:tr>
      <w:tr>
        <w:tc>
          <w:tcPr>
            <w:tcW w:type="dxa" w:w="4759"/>
            <w:shd w:val="clear" w:fill="F2F2F2"/>
          </w:tcPr>
          <w:p>
            <w:pPr>
              <w:spacing w:after="40"/>
            </w:pPr>
            <w:r>
              <w:rPr>
                <w:b/>
                <w:sz w:val="18"/>
              </w:rPr>
              <w:t>Left open (design parameter)</w:t>
            </w:r>
          </w:p>
        </w:tc>
        <w:tc>
          <w:tcPr>
            <w:tcW w:type="dxa" w:w="4759"/>
          </w:tcPr>
          <w:p>
            <w:pPr>
              <w:spacing w:after="40"/>
            </w:pPr>
            <w:r>
              <w:rPr>
                <w:sz w:val="18"/>
              </w:rPr>
              <w:t>Does not fix the supervisory geometry: one unified surface, or two surfaces to be correlated. That follows from D5 and from the choice at D3.</w:t>
            </w:r>
          </w:p>
        </w:tc>
      </w:tr>
      <w:tr>
        <w:tc>
          <w:tcPr>
            <w:tcW w:type="dxa" w:w="4759"/>
            <w:shd w:val="clear" w:fill="F2F2F2"/>
          </w:tcPr>
          <w:p>
            <w:pPr>
              <w:spacing w:after="40"/>
            </w:pPr>
            <w:r>
              <w:rPr>
                <w:b/>
                <w:sz w:val="18"/>
              </w:rPr>
              <w:t>Sources and locators</w:t>
            </w:r>
          </w:p>
        </w:tc>
        <w:tc>
          <w:tcPr>
            <w:tcW w:type="dxa" w:w="4759"/>
            <w:shd w:val="clear" w:fill="F7F9FC"/>
          </w:tcPr>
          <w:p>
            <w:pPr>
              <w:spacing w:after="40"/>
            </w:pPr>
            <w:r>
              <w:rPr>
                <w:sz w:val="18"/>
              </w:rPr>
              <w:t>[11] P3 p. 32, P17 p. 94, P18 p. 101. [13] Sec. 2.4 p. 17 (the non-validating notary does not see the business content of transactions). [16] p. 8 n. 23 (locks and revelations are natively public on each register). [20] p. 96.</w:t>
            </w:r>
          </w:p>
        </w:tc>
      </w:tr>
      <w:tr>
        <w:tc>
          <w:tcPr>
            <w:tcW w:type="dxa" w:w="4759"/>
            <w:shd w:val="clear" w:fill="F2F2F2"/>
          </w:tcPr>
          <w:p>
            <w:pPr>
              <w:spacing w:after="40"/>
            </w:pPr>
            <w:r>
              <w:rPr>
                <w:b/>
                <w:sz w:val="18"/>
              </w:rPr>
              <w:t>Falsification — what would defeat it</w:t>
            </w:r>
          </w:p>
        </w:tc>
        <w:tc>
          <w:tcPr>
            <w:tcW w:type="dxa" w:w="4759"/>
            <w:shd w:val="clear" w:fill="FFF2CC"/>
          </w:tcPr>
          <w:p>
            <w:pPr>
              <w:spacing w:after="40"/>
            </w:pPr>
            <w:r>
              <w:rPr>
                <w:sz w:val="18"/>
              </w:rPr>
              <w:t>R11 is Conditional. Note the tension it records: the design with the best traceability of locks is also the one that exposes trade terms during the settlement window.</w:t>
            </w:r>
          </w:p>
        </w:tc>
      </w:tr>
    </w:tbl>
    <w:p>
      <w:pPr>
        <w:spacing w:before="120"/>
      </w:pPr>
      <w:r>
        <w:rPr>
          <w:b/>
          <w:sz w:val="19"/>
        </w:rPr>
        <w:t>How each variant discharges it</w:t>
      </w:r>
    </w:p>
    <w:tbl>
      <w:tblPr>
        <w:tblStyle w:val="TableGrid"/>
        <w:tblW w:type="auto" w:w="0"/>
        <w:tblLook w:firstColumn="1" w:firstRow="1" w:lastColumn="0" w:lastRow="0" w:noHBand="0" w:noVBand="1" w:val="04A0"/>
      </w:tblPr>
      <w:tblGrid>
        <w:gridCol w:w="3173"/>
        <w:gridCol w:w="3173"/>
        <w:gridCol w:w="3173"/>
      </w:tblGrid>
      <w:tr>
        <w:tc>
          <w:tcPr>
            <w:tcW w:type="dxa" w:w="3173"/>
            <w:shd w:val="clear" w:fill="DCE6F1"/>
          </w:tcPr>
          <w:p>
            <w:r>
              <w:rPr>
                <w:b/>
                <w:sz w:val="18"/>
              </w:rPr>
              <w:t>B1 — Synchronised trigger</w:t>
            </w:r>
          </w:p>
        </w:tc>
        <w:tc>
          <w:tcPr>
            <w:tcW w:type="dxa" w:w="3173"/>
            <w:shd w:val="clear" w:fill="DCE6F1"/>
          </w:tcPr>
          <w:p>
            <w:r>
              <w:rPr>
                <w:b/>
                <w:sz w:val="18"/>
              </w:rPr>
              <w:t>B2 — Integrated on-ledger</w:t>
            </w:r>
          </w:p>
        </w:tc>
        <w:tc>
          <w:tcPr>
            <w:tcW w:type="dxa" w:w="3173"/>
            <w:shd w:val="clear" w:fill="DCE6F1"/>
          </w:tcPr>
          <w:p>
            <w:r>
              <w:rPr>
                <w:b/>
                <w:sz w:val="18"/>
              </w:rPr>
              <w:t>B3 — Cross-ledger HTLC</w:t>
            </w:r>
          </w:p>
        </w:tc>
      </w:tr>
      <w:tr>
        <w:tc>
          <w:tcPr>
            <w:tcW w:type="dxa" w:w="3173"/>
          </w:tcPr>
          <w:p>
            <w:r>
              <w:rPr>
                <w:sz w:val="17"/>
              </w:rPr>
              <w:t>Two read-only surfaces, to be correlated by the supervisor.</w:t>
            </w:r>
          </w:p>
        </w:tc>
        <w:tc>
          <w:tcPr>
            <w:tcW w:type="dxa" w:w="3173"/>
          </w:tcPr>
          <w:p>
            <w:r>
              <w:rPr>
                <w:sz w:val="17"/>
              </w:rPr>
              <w:t>One unified read-only surface over a single event bus.</w:t>
            </w:r>
          </w:p>
        </w:tc>
        <w:tc>
          <w:tcPr>
            <w:tcW w:type="dxa" w:w="3173"/>
          </w:tcPr>
          <w:p>
            <w:r>
              <w:rPr>
                <w:sz w:val="17"/>
              </w:rPr>
              <w:t>Two surfaces; locks and revelations are natively public.</w:t>
            </w:r>
          </w:p>
        </w:tc>
      </w:tr>
    </w:tbl>
    <w:p>
      <w:r>
        <w:rPr>
          <w:i/>
          <w:sz w:val="17"/>
        </w:rPr>
        <w:t>Full cell content — mechanism, interface trace, evidence, assumption and residual risk — is in the realisation matrix workbook, sheet 2.</w:t>
      </w:r>
    </w:p>
    <w:p>
      <w:r>
        <w:br w:type="page"/>
      </w:r>
    </w:p>
    <w:p>
      <w:pPr>
        <w:spacing w:before="360" w:after="120"/>
        <w:jc w:val="left"/>
      </w:pPr>
      <w:r>
        <w:rPr>
          <w:b/>
          <w:color w:val="1F3864"/>
          <w:sz w:val="30"/>
        </w:rPr>
        <w:t>R12 — Secondary</w:t>
      </w:r>
    </w:p>
    <w:p>
      <w:r>
        <w:rPr>
          <w:sz w:val="22"/>
        </w:rPr>
        <w:t>The arrangement shall use recognised international communication procedures and data standards for the interfaces it exposes, and shall specify the identifiers by which one economic transaction can be reconstructed across every support involved.</w:t>
      </w:r>
    </w:p>
    <w:tbl>
      <w:tblPr>
        <w:tblStyle w:val="TableGrid"/>
        <w:tblW w:type="auto" w:w="0"/>
        <w:tblLook w:firstColumn="1" w:firstRow="1" w:lastColumn="0" w:lastRow="0" w:noHBand="0" w:noVBand="1" w:val="04A0"/>
      </w:tblPr>
      <w:tblGrid>
        <w:gridCol w:w="2494"/>
        <w:gridCol w:w="6917"/>
      </w:tblGrid>
      <w:tr>
        <w:tc>
          <w:tcPr>
            <w:tcW w:type="dxa" w:w="4759"/>
            <w:shd w:val="clear" w:fill="F2F2F2"/>
          </w:tcPr>
          <w:p>
            <w:pPr>
              <w:spacing w:after="40"/>
            </w:pPr>
            <w:r>
              <w:rPr>
                <w:b/>
                <w:sz w:val="18"/>
              </w:rPr>
              <w:t>Priority</w:t>
            </w:r>
          </w:p>
        </w:tc>
        <w:tc>
          <w:tcPr>
            <w:tcW w:type="dxa" w:w="4759"/>
          </w:tcPr>
          <w:p>
            <w:pPr>
              <w:spacing w:after="40"/>
            </w:pPr>
            <w:r>
              <w:rPr>
                <w:sz w:val="18"/>
              </w:rPr>
              <w:t>Secondary</w:t>
            </w:r>
          </w:p>
        </w:tc>
      </w:tr>
      <w:tr>
        <w:tc>
          <w:tcPr>
            <w:tcW w:type="dxa" w:w="4759"/>
            <w:shd w:val="clear" w:fill="F2F2F2"/>
          </w:tcPr>
          <w:p>
            <w:pPr>
              <w:spacing w:after="40"/>
            </w:pPr>
            <w:r>
              <w:rPr>
                <w:b/>
                <w:sz w:val="18"/>
              </w:rPr>
              <w:t>Primary layer</w:t>
            </w:r>
          </w:p>
        </w:tc>
        <w:tc>
          <w:tcPr>
            <w:tcW w:type="dxa" w:w="4759"/>
          </w:tcPr>
          <w:p>
            <w:pPr>
              <w:spacing w:after="40"/>
            </w:pPr>
            <w:r>
              <w:rPr>
                <w:sz w:val="18"/>
              </w:rPr>
              <w:t>L4 - Interoperability</w:t>
            </w:r>
          </w:p>
        </w:tc>
      </w:tr>
      <w:tr>
        <w:tc>
          <w:tcPr>
            <w:tcW w:type="dxa" w:w="4759"/>
            <w:shd w:val="clear" w:fill="F2F2F2"/>
          </w:tcPr>
          <w:p>
            <w:pPr>
              <w:spacing w:after="40"/>
            </w:pPr>
            <w:r>
              <w:rPr>
                <w:b/>
                <w:sz w:val="18"/>
              </w:rPr>
              <w:t>Secondary layer</w:t>
            </w:r>
          </w:p>
        </w:tc>
        <w:tc>
          <w:tcPr>
            <w:tcW w:type="dxa" w:w="4759"/>
          </w:tcPr>
          <w:p>
            <w:pPr>
              <w:spacing w:after="40"/>
            </w:pPr>
            <w:r>
              <w:rPr>
                <w:sz w:val="18"/>
              </w:rPr>
              <w:t>-</w:t>
            </w:r>
          </w:p>
        </w:tc>
      </w:tr>
      <w:tr>
        <w:tc>
          <w:tcPr>
            <w:tcW w:type="dxa" w:w="4759"/>
            <w:shd w:val="clear" w:fill="F2F2F2"/>
          </w:tcPr>
          <w:p>
            <w:pPr>
              <w:spacing w:after="40"/>
            </w:pPr>
            <w:r>
              <w:rPr>
                <w:b/>
                <w:sz w:val="18"/>
              </w:rPr>
              <w:t>PFMI anchor</w:t>
            </w:r>
          </w:p>
        </w:tc>
        <w:tc>
          <w:tcPr>
            <w:tcW w:type="dxa" w:w="4759"/>
          </w:tcPr>
          <w:p>
            <w:pPr>
              <w:spacing w:after="40"/>
            </w:pPr>
            <w:r>
              <w:rPr>
                <w:sz w:val="18"/>
              </w:rPr>
              <w:t>P20 FMI links (p. 109); P22 Communication procedures and standards.</w:t>
            </w:r>
          </w:p>
        </w:tc>
      </w:tr>
      <w:tr>
        <w:tc>
          <w:tcPr>
            <w:tcW w:type="dxa" w:w="4759"/>
            <w:shd w:val="clear" w:fill="F2F2F2"/>
          </w:tcPr>
          <w:p>
            <w:pPr>
              <w:spacing w:after="40"/>
            </w:pPr>
            <w:r>
              <w:rPr>
                <w:b/>
                <w:sz w:val="18"/>
              </w:rPr>
              <w:t>Inductive theme</w:t>
            </w:r>
          </w:p>
        </w:tc>
        <w:tc>
          <w:tcPr>
            <w:tcW w:type="dxa" w:w="4759"/>
          </w:tcPr>
          <w:p>
            <w:pPr>
              <w:spacing w:after="40"/>
            </w:pPr>
            <w:r>
              <w:rPr>
                <w:sz w:val="18"/>
              </w:rPr>
              <w:t>T3 - links between DLT and legacy systems.</w:t>
            </w:r>
          </w:p>
        </w:tc>
      </w:tr>
      <w:tr>
        <w:tc>
          <w:tcPr>
            <w:tcW w:type="dxa" w:w="4759"/>
            <w:shd w:val="clear" w:fill="F2F2F2"/>
          </w:tcPr>
          <w:p>
            <w:pPr>
              <w:spacing w:after="40"/>
            </w:pPr>
            <w:r>
              <w:rPr>
                <w:b/>
                <w:sz w:val="18"/>
              </w:rPr>
              <w:t>Responsible component or interaction</w:t>
            </w:r>
          </w:p>
        </w:tc>
        <w:tc>
          <w:tcPr>
            <w:tcW w:type="dxa" w:w="4759"/>
          </w:tcPr>
          <w:p>
            <w:pPr>
              <w:spacing w:after="40"/>
            </w:pPr>
            <w:r>
              <w:rPr>
                <w:sz w:val="18"/>
              </w:rPr>
              <w:t>L4 message and identifier conventions at every interface.</w:t>
            </w:r>
          </w:p>
        </w:tc>
      </w:tr>
      <w:tr>
        <w:tc>
          <w:tcPr>
            <w:tcW w:type="dxa" w:w="4759"/>
            <w:shd w:val="clear" w:fill="F2F2F2"/>
          </w:tcPr>
          <w:p>
            <w:pPr>
              <w:spacing w:after="40"/>
            </w:pPr>
            <w:r>
              <w:rPr>
                <w:b/>
                <w:sz w:val="18"/>
              </w:rPr>
              <w:t>Left open (design parameter)</w:t>
            </w:r>
          </w:p>
        </w:tc>
        <w:tc>
          <w:tcPr>
            <w:tcW w:type="dxa" w:w="4759"/>
          </w:tcPr>
          <w:p>
            <w:pPr>
              <w:spacing w:after="40"/>
            </w:pPr>
            <w:r>
              <w:rPr>
                <w:sz w:val="18"/>
              </w:rPr>
              <w:t>Does not fix whether standards sit on the critical settlement path or at the edges. That position follows from D3.</w:t>
            </w:r>
          </w:p>
        </w:tc>
      </w:tr>
      <w:tr>
        <w:tc>
          <w:tcPr>
            <w:tcW w:type="dxa" w:w="4759"/>
            <w:shd w:val="clear" w:fill="F2F2F2"/>
          </w:tcPr>
          <w:p>
            <w:pPr>
              <w:spacing w:after="40"/>
            </w:pPr>
            <w:r>
              <w:rPr>
                <w:b/>
                <w:sz w:val="18"/>
              </w:rPr>
              <w:t>Sources and locators</w:t>
            </w:r>
          </w:p>
        </w:tc>
        <w:tc>
          <w:tcPr>
            <w:tcW w:type="dxa" w:w="4759"/>
            <w:shd w:val="clear" w:fill="F7F9FC"/>
          </w:tcPr>
          <w:p>
            <w:pPr>
              <w:spacing w:after="40"/>
            </w:pPr>
            <w:r>
              <w:rPr>
                <w:sz w:val="18"/>
              </w:rPr>
              <w:t>[11] P20 p. 109, P22. [12] Sec. 3.4 PoC2 p. 20. [18] pp. 3-4. [4]. [22].</w:t>
            </w:r>
          </w:p>
        </w:tc>
      </w:tr>
      <w:tr>
        <w:tc>
          <w:tcPr>
            <w:tcW w:type="dxa" w:w="4759"/>
            <w:shd w:val="clear" w:fill="F2F2F2"/>
          </w:tcPr>
          <w:p>
            <w:pPr>
              <w:spacing w:after="40"/>
            </w:pPr>
            <w:r>
              <w:rPr>
                <w:b/>
                <w:sz w:val="18"/>
              </w:rPr>
              <w:t>Falsification — what would defeat it</w:t>
            </w:r>
          </w:p>
        </w:tc>
        <w:tc>
          <w:tcPr>
            <w:tcW w:type="dxa" w:w="4759"/>
            <w:shd w:val="clear" w:fill="FFF2CC"/>
          </w:tcPr>
          <w:p>
            <w:pPr>
              <w:spacing w:after="40"/>
            </w:pPr>
            <w:r>
              <w:rPr>
                <w:sz w:val="18"/>
              </w:rPr>
              <w:t>R12 is Secondary: it concerns the quality of an arrangement that already delivers DvP. It differentiates WHERE standards sit, not whether the arrangement is admissible.</w:t>
            </w:r>
          </w:p>
        </w:tc>
      </w:tr>
    </w:tbl>
    <w:p>
      <w:pPr>
        <w:spacing w:before="120"/>
      </w:pPr>
      <w:r>
        <w:rPr>
          <w:b/>
          <w:sz w:val="19"/>
        </w:rPr>
        <w:t>How each variant discharges it</w:t>
      </w:r>
    </w:p>
    <w:tbl>
      <w:tblPr>
        <w:tblStyle w:val="TableGrid"/>
        <w:tblW w:type="auto" w:w="0"/>
        <w:tblLook w:firstColumn="1" w:firstRow="1" w:lastColumn="0" w:lastRow="0" w:noHBand="0" w:noVBand="1" w:val="04A0"/>
      </w:tblPr>
      <w:tblGrid>
        <w:gridCol w:w="3173"/>
        <w:gridCol w:w="3173"/>
        <w:gridCol w:w="3173"/>
      </w:tblGrid>
      <w:tr>
        <w:tc>
          <w:tcPr>
            <w:tcW w:type="dxa" w:w="3173"/>
            <w:shd w:val="clear" w:fill="DCE6F1"/>
          </w:tcPr>
          <w:p>
            <w:r>
              <w:rPr>
                <w:b/>
                <w:sz w:val="18"/>
              </w:rPr>
              <w:t>B1 — Synchronised trigger</w:t>
            </w:r>
          </w:p>
        </w:tc>
        <w:tc>
          <w:tcPr>
            <w:tcW w:type="dxa" w:w="3173"/>
            <w:shd w:val="clear" w:fill="DCE6F1"/>
          </w:tcPr>
          <w:p>
            <w:r>
              <w:rPr>
                <w:b/>
                <w:sz w:val="18"/>
              </w:rPr>
              <w:t>B2 — Integrated on-ledger</w:t>
            </w:r>
          </w:p>
        </w:tc>
        <w:tc>
          <w:tcPr>
            <w:tcW w:type="dxa" w:w="3173"/>
            <w:shd w:val="clear" w:fill="DCE6F1"/>
          </w:tcPr>
          <w:p>
            <w:r>
              <w:rPr>
                <w:b/>
                <w:sz w:val="18"/>
              </w:rPr>
              <w:t>B3 — Cross-ledger HTLC</w:t>
            </w:r>
          </w:p>
        </w:tc>
      </w:tr>
      <w:tr>
        <w:tc>
          <w:tcPr>
            <w:tcW w:type="dxa" w:w="3173"/>
          </w:tcPr>
          <w:p>
            <w:r>
              <w:rPr>
                <w:sz w:val="17"/>
              </w:rPr>
              <w:t>Standards on the critical path (pacs.009, pacs.002, pacs.028).</w:t>
            </w:r>
          </w:p>
        </w:tc>
        <w:tc>
          <w:tcPr>
            <w:tcW w:type="dxa" w:w="3173"/>
          </w:tcPr>
          <w:p>
            <w:r>
              <w:rPr>
                <w:sz w:val="17"/>
              </w:rPr>
              <w:t>Platform calls internally; standards at the edges.</w:t>
            </w:r>
          </w:p>
        </w:tc>
        <w:tc>
          <w:tcPr>
            <w:tcW w:type="dxa" w:w="3173"/>
          </w:tcPr>
          <w:p>
            <w:r>
              <w:rPr>
                <w:sz w:val="17"/>
              </w:rPr>
              <w:t>No messaging bridge; correlation by identifier convention.</w:t>
            </w:r>
          </w:p>
        </w:tc>
      </w:tr>
    </w:tbl>
    <w:p>
      <w:r>
        <w:rPr>
          <w:i/>
          <w:sz w:val="17"/>
        </w:rPr>
        <w:t>Full cell content — mechanism, interface trace, evidence, assumption and residual risk — is in the realisation matrix workbook, sheet 2.</w:t>
      </w:r>
    </w:p>
    <w:p>
      <w:r>
        <w:br w:type="page"/>
      </w:r>
    </w:p>
    <w:p>
      <w:pPr>
        <w:spacing w:before="360" w:after="120"/>
        <w:jc w:val="left"/>
      </w:pPr>
      <w:r>
        <w:rPr>
          <w:b/>
          <w:color w:val="1F3864"/>
          <w:sz w:val="30"/>
        </w:rPr>
        <w:t>R13 — Structural</w:t>
      </w:r>
    </w:p>
    <w:p>
      <w:r>
        <w:rPr>
          <w:sz w:val="22"/>
        </w:rPr>
        <w:t>The arrangement shall state, and justify, its choice between a synchronised design that coordinates across an infrastructure boundary and an integrated design that commits both legs within one validation domain. The justification shall name the contextual factors behind the choice and the trade-offs it accepts.</w:t>
      </w:r>
    </w:p>
    <w:tbl>
      <w:tblPr>
        <w:tblStyle w:val="TableGrid"/>
        <w:tblW w:type="auto" w:w="0"/>
        <w:tblLook w:firstColumn="1" w:firstRow="1" w:lastColumn="0" w:lastRow="0" w:noHBand="0" w:noVBand="1" w:val="04A0"/>
      </w:tblPr>
      <w:tblGrid>
        <w:gridCol w:w="2494"/>
        <w:gridCol w:w="6917"/>
      </w:tblGrid>
      <w:tr>
        <w:tc>
          <w:tcPr>
            <w:tcW w:type="dxa" w:w="4759"/>
            <w:shd w:val="clear" w:fill="F2F2F2"/>
          </w:tcPr>
          <w:p>
            <w:pPr>
              <w:spacing w:after="40"/>
            </w:pPr>
            <w:r>
              <w:rPr>
                <w:b/>
                <w:sz w:val="18"/>
              </w:rPr>
              <w:t>Priority</w:t>
            </w:r>
          </w:p>
        </w:tc>
        <w:tc>
          <w:tcPr>
            <w:tcW w:type="dxa" w:w="4759"/>
          </w:tcPr>
          <w:p>
            <w:pPr>
              <w:spacing w:after="40"/>
            </w:pPr>
            <w:r>
              <w:rPr>
                <w:sz w:val="18"/>
              </w:rPr>
              <w:t>Structural</w:t>
            </w:r>
          </w:p>
        </w:tc>
      </w:tr>
      <w:tr>
        <w:tc>
          <w:tcPr>
            <w:tcW w:type="dxa" w:w="4759"/>
            <w:shd w:val="clear" w:fill="F2F2F2"/>
          </w:tcPr>
          <w:p>
            <w:pPr>
              <w:spacing w:after="40"/>
            </w:pPr>
            <w:r>
              <w:rPr>
                <w:b/>
                <w:sz w:val="18"/>
              </w:rPr>
              <w:t>Primary layer</w:t>
            </w:r>
          </w:p>
        </w:tc>
        <w:tc>
          <w:tcPr>
            <w:tcW w:type="dxa" w:w="4759"/>
          </w:tcPr>
          <w:p>
            <w:pPr>
              <w:spacing w:after="40"/>
            </w:pPr>
            <w:r>
              <w:rPr>
                <w:sz w:val="18"/>
              </w:rPr>
              <w:t>L3 - Coordinated DvP engine</w:t>
            </w:r>
          </w:p>
        </w:tc>
      </w:tr>
      <w:tr>
        <w:tc>
          <w:tcPr>
            <w:tcW w:type="dxa" w:w="4759"/>
            <w:shd w:val="clear" w:fill="F2F2F2"/>
          </w:tcPr>
          <w:p>
            <w:pPr>
              <w:spacing w:after="40"/>
            </w:pPr>
            <w:r>
              <w:rPr>
                <w:b/>
                <w:sz w:val="18"/>
              </w:rPr>
              <w:t>Secondary layer</w:t>
            </w:r>
          </w:p>
        </w:tc>
        <w:tc>
          <w:tcPr>
            <w:tcW w:type="dxa" w:w="4759"/>
          </w:tcPr>
          <w:p>
            <w:pPr>
              <w:spacing w:after="40"/>
            </w:pPr>
            <w:r>
              <w:rPr>
                <w:sz w:val="18"/>
              </w:rPr>
              <w:t>L4 - Interoperability (arbitration)</w:t>
            </w:r>
          </w:p>
        </w:tc>
      </w:tr>
      <w:tr>
        <w:tc>
          <w:tcPr>
            <w:tcW w:type="dxa" w:w="4759"/>
            <w:shd w:val="clear" w:fill="F2F2F2"/>
          </w:tcPr>
          <w:p>
            <w:pPr>
              <w:spacing w:after="40"/>
            </w:pPr>
            <w:r>
              <w:rPr>
                <w:b/>
                <w:sz w:val="18"/>
              </w:rPr>
              <w:t>PFMI anchor</w:t>
            </w:r>
          </w:p>
        </w:tc>
        <w:tc>
          <w:tcPr>
            <w:tcW w:type="dxa" w:w="4759"/>
          </w:tcPr>
          <w:p>
            <w:pPr>
              <w:spacing w:after="40"/>
            </w:pPr>
            <w:r>
              <w:rPr>
                <w:sz w:val="18"/>
              </w:rPr>
              <w:t>P8, P9 (p. 67), P12 (p. 76), P20 (p. 109), with P21 Efficiency and effectiveness (p. 116) as the arbitration criterion.</w:t>
            </w:r>
          </w:p>
        </w:tc>
      </w:tr>
      <w:tr>
        <w:tc>
          <w:tcPr>
            <w:tcW w:type="dxa" w:w="4759"/>
            <w:shd w:val="clear" w:fill="F2F2F2"/>
          </w:tcPr>
          <w:p>
            <w:pPr>
              <w:spacing w:after="40"/>
            </w:pPr>
            <w:r>
              <w:rPr>
                <w:b/>
                <w:sz w:val="18"/>
              </w:rPr>
              <w:t>Inductive theme</w:t>
            </w:r>
          </w:p>
        </w:tc>
        <w:tc>
          <w:tcPr>
            <w:tcW w:type="dxa" w:w="4759"/>
          </w:tcPr>
          <w:p>
            <w:pPr>
              <w:spacing w:after="40"/>
            </w:pPr>
            <w:r>
              <w:rPr>
                <w:sz w:val="18"/>
              </w:rPr>
              <w:t>T5 - scalability; T3 - links between DLT and legacy systems.</w:t>
            </w:r>
          </w:p>
        </w:tc>
      </w:tr>
      <w:tr>
        <w:tc>
          <w:tcPr>
            <w:tcW w:type="dxa" w:w="4759"/>
            <w:shd w:val="clear" w:fill="F2F2F2"/>
          </w:tcPr>
          <w:p>
            <w:pPr>
              <w:spacing w:after="40"/>
            </w:pPr>
            <w:r>
              <w:rPr>
                <w:b/>
                <w:sz w:val="18"/>
              </w:rPr>
              <w:t>Responsible component or interaction</w:t>
            </w:r>
          </w:p>
        </w:tc>
        <w:tc>
          <w:tcPr>
            <w:tcW w:type="dxa" w:w="4759"/>
          </w:tcPr>
          <w:p>
            <w:pPr>
              <w:spacing w:after="40"/>
            </w:pPr>
            <w:r>
              <w:rPr>
                <w:sz w:val="18"/>
              </w:rPr>
              <w:t>L3 pattern choice; the decision record itself, not a component of the settlement path.</w:t>
            </w:r>
          </w:p>
        </w:tc>
      </w:tr>
      <w:tr>
        <w:tc>
          <w:tcPr>
            <w:tcW w:type="dxa" w:w="4759"/>
            <w:shd w:val="clear" w:fill="F2F2F2"/>
          </w:tcPr>
          <w:p>
            <w:pPr>
              <w:spacing w:after="40"/>
            </w:pPr>
            <w:r>
              <w:rPr>
                <w:b/>
                <w:sz w:val="18"/>
              </w:rPr>
              <w:t>Left open (design parameter)</w:t>
            </w:r>
          </w:p>
        </w:tc>
        <w:tc>
          <w:tcPr>
            <w:tcW w:type="dxa" w:w="4759"/>
          </w:tcPr>
          <w:p>
            <w:pPr>
              <w:spacing w:after="40"/>
            </w:pPr>
            <w:r>
              <w:rPr>
                <w:sz w:val="18"/>
              </w:rPr>
              <w:t>R13 does not leave a parameter open - it RECORDS the choice at D3. This is why it is Structural and not Core: every admissible architecture already embodies a choice at D3, so a requirement to make that choice explicit cannot disqualify any of them.</w:t>
            </w:r>
          </w:p>
        </w:tc>
      </w:tr>
      <w:tr>
        <w:tc>
          <w:tcPr>
            <w:tcW w:type="dxa" w:w="4759"/>
            <w:shd w:val="clear" w:fill="F2F2F2"/>
          </w:tcPr>
          <w:p>
            <w:pPr>
              <w:spacing w:after="40"/>
            </w:pPr>
            <w:r>
              <w:rPr>
                <w:b/>
                <w:sz w:val="18"/>
              </w:rPr>
              <w:t>Sources and locators</w:t>
            </w:r>
          </w:p>
        </w:tc>
        <w:tc>
          <w:tcPr>
            <w:tcW w:type="dxa" w:w="4759"/>
            <w:shd w:val="clear" w:fill="F7F9FC"/>
          </w:tcPr>
          <w:p>
            <w:pPr>
              <w:spacing w:after="40"/>
            </w:pPr>
            <w:r>
              <w:rPr>
                <w:sz w:val="18"/>
              </w:rPr>
              <w:t>[11] P21 p. 116 (retained as an arbitration criterion, not coded as a requirement). [16] Sec. 3 Table 1 p. 7. [22] 1 July 2025 (Pontes as the short-term track, Appia as the long-term one). [17] Sec. 7.4 p. 11. [6].</w:t>
            </w:r>
          </w:p>
        </w:tc>
      </w:tr>
      <w:tr>
        <w:tc>
          <w:tcPr>
            <w:tcW w:type="dxa" w:w="4759"/>
            <w:shd w:val="clear" w:fill="F2F2F2"/>
          </w:tcPr>
          <w:p>
            <w:pPr>
              <w:spacing w:after="40"/>
            </w:pPr>
            <w:r>
              <w:rPr>
                <w:b/>
                <w:sz w:val="18"/>
              </w:rPr>
              <w:t>Falsification — what would defeat it</w:t>
            </w:r>
          </w:p>
        </w:tc>
        <w:tc>
          <w:tcPr>
            <w:tcW w:type="dxa" w:w="4759"/>
            <w:shd w:val="clear" w:fill="FFF2CC"/>
          </w:tcPr>
          <w:p>
            <w:pPr>
              <w:spacing w:after="40"/>
            </w:pPr>
            <w:r>
              <w:rPr>
                <w:sz w:val="18"/>
              </w:rPr>
              <w:t>R13 cannot be failed by an architecture, only by a DEPLOYMENT that presents its architecture as a consequence of compliance rather than as a choice. That is precisely the practice the thesis argues against in Chapter 6.</w:t>
            </w:r>
          </w:p>
        </w:tc>
      </w:tr>
    </w:tbl>
    <w:p>
      <w:pPr>
        <w:spacing w:before="120"/>
      </w:pPr>
      <w:r>
        <w:rPr>
          <w:b/>
          <w:sz w:val="19"/>
        </w:rPr>
        <w:t>How each variant discharges it</w:t>
      </w:r>
    </w:p>
    <w:tbl>
      <w:tblPr>
        <w:tblStyle w:val="TableGrid"/>
        <w:tblW w:type="auto" w:w="0"/>
        <w:tblLook w:firstColumn="1" w:firstRow="1" w:lastColumn="0" w:lastRow="0" w:noHBand="0" w:noVBand="1" w:val="04A0"/>
      </w:tblPr>
      <w:tblGrid>
        <w:gridCol w:w="3173"/>
        <w:gridCol w:w="3173"/>
        <w:gridCol w:w="3173"/>
      </w:tblGrid>
      <w:tr>
        <w:tc>
          <w:tcPr>
            <w:tcW w:type="dxa" w:w="3173"/>
            <w:shd w:val="clear" w:fill="DCE6F1"/>
          </w:tcPr>
          <w:p>
            <w:r>
              <w:rPr>
                <w:b/>
                <w:sz w:val="18"/>
              </w:rPr>
              <w:t>B1 — Synchronised trigger</w:t>
            </w:r>
          </w:p>
        </w:tc>
        <w:tc>
          <w:tcPr>
            <w:tcW w:type="dxa" w:w="3173"/>
            <w:shd w:val="clear" w:fill="DCE6F1"/>
          </w:tcPr>
          <w:p>
            <w:r>
              <w:rPr>
                <w:b/>
                <w:sz w:val="18"/>
              </w:rPr>
              <w:t>B2 — Integrated on-ledger</w:t>
            </w:r>
          </w:p>
        </w:tc>
        <w:tc>
          <w:tcPr>
            <w:tcW w:type="dxa" w:w="3173"/>
            <w:shd w:val="clear" w:fill="DCE6F1"/>
          </w:tcPr>
          <w:p>
            <w:r>
              <w:rPr>
                <w:b/>
                <w:sz w:val="18"/>
              </w:rPr>
              <w:t>B3 — Cross-ledger HTLC</w:t>
            </w:r>
          </w:p>
        </w:tc>
      </w:tr>
      <w:tr>
        <w:tc>
          <w:tcPr>
            <w:tcW w:type="dxa" w:w="3173"/>
          </w:tcPr>
          <w:p>
            <w:r>
              <w:rPr>
                <w:sz w:val="17"/>
              </w:rPr>
              <w:t>Choice = synchronised, stated and justified.</w:t>
            </w:r>
          </w:p>
        </w:tc>
        <w:tc>
          <w:tcPr>
            <w:tcW w:type="dxa" w:w="3173"/>
          </w:tcPr>
          <w:p>
            <w:r>
              <w:rPr>
                <w:sz w:val="17"/>
              </w:rPr>
              <w:t>Choice = integrated, stated with its legal precondition.</w:t>
            </w:r>
          </w:p>
        </w:tc>
        <w:tc>
          <w:tcPr>
            <w:tcW w:type="dxa" w:w="3173"/>
          </w:tcPr>
          <w:p>
            <w:r>
              <w:rPr>
                <w:sz w:val="17"/>
              </w:rPr>
              <w:t>Choice = cross-ledger without a coordinator.</w:t>
            </w:r>
          </w:p>
        </w:tc>
      </w:tr>
    </w:tbl>
    <w:p>
      <w:r>
        <w:rPr>
          <w:i/>
          <w:sz w:val="17"/>
        </w:rPr>
        <w:t>Full cell content — mechanism, interface trace, evidence, assumption and residual risk — is in the realisation matrix workbook, sheet 2.</w:t>
      </w:r>
    </w:p>
    <w:p>
      <w:r>
        <w:br w:type="page"/>
      </w:r>
    </w:p>
    <w:p>
      <w:pPr>
        <w:spacing w:before="360" w:after="120"/>
        <w:jc w:val="left"/>
      </w:pPr>
      <w:r>
        <w:rPr>
          <w:b/>
          <w:color w:val="1F3864"/>
          <w:sz w:val="30"/>
        </w:rPr>
        <w:t>R14 — Core</w:t>
      </w:r>
    </w:p>
    <w:p>
      <w:r>
        <w:rPr>
          <w:sz w:val="22"/>
        </w:rPr>
        <w:t>The central bank shall retain enforceable control over any critical function it delegates, through instruments of four kinds: legal (rulebook and designation), contractual (audit, intervention and exit rights over the operator), technical (operations reserved to the monetary authority, such as issuance, redemption, a scoped stop-settlement and an eligibility freeze), and observational (read-only access separated from write capability). Delegating technical operation is admissible; delegating institutional control is not.</w:t>
      </w:r>
    </w:p>
    <w:tbl>
      <w:tblPr>
        <w:tblStyle w:val="TableGrid"/>
        <w:tblW w:type="auto" w:w="0"/>
        <w:tblLook w:firstColumn="1" w:firstRow="1" w:lastColumn="0" w:lastRow="0" w:noHBand="0" w:noVBand="1" w:val="04A0"/>
      </w:tblPr>
      <w:tblGrid>
        <w:gridCol w:w="2494"/>
        <w:gridCol w:w="6917"/>
      </w:tblGrid>
      <w:tr>
        <w:tc>
          <w:tcPr>
            <w:tcW w:type="dxa" w:w="4759"/>
            <w:shd w:val="clear" w:fill="F2F2F2"/>
          </w:tcPr>
          <w:p>
            <w:pPr>
              <w:spacing w:after="40"/>
            </w:pPr>
            <w:r>
              <w:rPr>
                <w:b/>
                <w:sz w:val="18"/>
              </w:rPr>
              <w:t>Priority</w:t>
            </w:r>
          </w:p>
        </w:tc>
        <w:tc>
          <w:tcPr>
            <w:tcW w:type="dxa" w:w="4759"/>
          </w:tcPr>
          <w:p>
            <w:pPr>
              <w:spacing w:after="40"/>
            </w:pPr>
            <w:r>
              <w:rPr>
                <w:sz w:val="18"/>
              </w:rPr>
              <w:t>Core</w:t>
            </w:r>
          </w:p>
        </w:tc>
      </w:tr>
      <w:tr>
        <w:tc>
          <w:tcPr>
            <w:tcW w:type="dxa" w:w="4759"/>
            <w:shd w:val="clear" w:fill="F2F2F2"/>
          </w:tcPr>
          <w:p>
            <w:pPr>
              <w:spacing w:after="40"/>
            </w:pPr>
            <w:r>
              <w:rPr>
                <w:b/>
                <w:sz w:val="18"/>
              </w:rPr>
              <w:t>Primary layer</w:t>
            </w:r>
          </w:p>
        </w:tc>
        <w:tc>
          <w:tcPr>
            <w:tcW w:type="dxa" w:w="4759"/>
          </w:tcPr>
          <w:p>
            <w:pPr>
              <w:spacing w:after="40"/>
            </w:pPr>
            <w:r>
              <w:rPr>
                <w:sz w:val="18"/>
              </w:rPr>
              <w:t>L1 - Legal and governance</w:t>
            </w:r>
          </w:p>
        </w:tc>
      </w:tr>
      <w:tr>
        <w:tc>
          <w:tcPr>
            <w:tcW w:type="dxa" w:w="4759"/>
            <w:shd w:val="clear" w:fill="F2F2F2"/>
          </w:tcPr>
          <w:p>
            <w:pPr>
              <w:spacing w:after="40"/>
            </w:pPr>
            <w:r>
              <w:rPr>
                <w:b/>
                <w:sz w:val="18"/>
              </w:rPr>
              <w:t>Secondary layer</w:t>
            </w:r>
          </w:p>
        </w:tc>
        <w:tc>
          <w:tcPr>
            <w:tcW w:type="dxa" w:w="4759"/>
          </w:tcPr>
          <w:p>
            <w:pPr>
              <w:spacing w:after="40"/>
            </w:pPr>
            <w:r>
              <w:rPr>
                <w:sz w:val="18"/>
              </w:rPr>
              <w:t>-</w:t>
            </w:r>
          </w:p>
        </w:tc>
      </w:tr>
      <w:tr>
        <w:tc>
          <w:tcPr>
            <w:tcW w:type="dxa" w:w="4759"/>
            <w:shd w:val="clear" w:fill="F2F2F2"/>
          </w:tcPr>
          <w:p>
            <w:pPr>
              <w:spacing w:after="40"/>
            </w:pPr>
            <w:r>
              <w:rPr>
                <w:b/>
                <w:sz w:val="18"/>
              </w:rPr>
              <w:t>PFMI anchor</w:t>
            </w:r>
          </w:p>
        </w:tc>
        <w:tc>
          <w:tcPr>
            <w:tcW w:type="dxa" w:w="4759"/>
          </w:tcPr>
          <w:p>
            <w:pPr>
              <w:spacing w:after="40"/>
            </w:pPr>
            <w:r>
              <w:rPr>
                <w:sz w:val="18"/>
              </w:rPr>
              <w:t>P2 Governance (p. 26); P17 Operational risk (p. 94); P18 Access and participation (p. 101).</w:t>
            </w:r>
          </w:p>
        </w:tc>
      </w:tr>
      <w:tr>
        <w:tc>
          <w:tcPr>
            <w:tcW w:type="dxa" w:w="4759"/>
            <w:shd w:val="clear" w:fill="F2F2F2"/>
          </w:tcPr>
          <w:p>
            <w:pPr>
              <w:spacing w:after="40"/>
            </w:pPr>
            <w:r>
              <w:rPr>
                <w:b/>
                <w:sz w:val="18"/>
              </w:rPr>
              <w:t>Inductive theme</w:t>
            </w:r>
          </w:p>
        </w:tc>
        <w:tc>
          <w:tcPr>
            <w:tcW w:type="dxa" w:w="4759"/>
          </w:tcPr>
          <w:p>
            <w:pPr>
              <w:spacing w:after="40"/>
            </w:pPr>
            <w:r>
              <w:rPr>
                <w:sz w:val="18"/>
              </w:rPr>
              <w:t>T7 - market structure; T8 - system governance.</w:t>
            </w:r>
          </w:p>
        </w:tc>
      </w:tr>
      <w:tr>
        <w:tc>
          <w:tcPr>
            <w:tcW w:type="dxa" w:w="4759"/>
            <w:shd w:val="clear" w:fill="F2F2F2"/>
          </w:tcPr>
          <w:p>
            <w:pPr>
              <w:spacing w:after="40"/>
            </w:pPr>
            <w:r>
              <w:rPr>
                <w:b/>
                <w:sz w:val="18"/>
              </w:rPr>
              <w:t>Responsible component or interaction</w:t>
            </w:r>
          </w:p>
        </w:tc>
        <w:tc>
          <w:tcPr>
            <w:tcW w:type="dxa" w:w="4759"/>
          </w:tcPr>
          <w:p>
            <w:pPr>
              <w:spacing w:after="40"/>
            </w:pPr>
            <w:r>
              <w:rPr>
                <w:sz w:val="18"/>
              </w:rPr>
              <w:t>L1 control instruments; the reserved operations at L3; the observation surfaces at L5. Table 4.6 of the manuscript reports the geometry of the four families across B1, B2 and B3.</w:t>
            </w:r>
          </w:p>
        </w:tc>
      </w:tr>
      <w:tr>
        <w:tc>
          <w:tcPr>
            <w:tcW w:type="dxa" w:w="4759"/>
            <w:shd w:val="clear" w:fill="F2F2F2"/>
          </w:tcPr>
          <w:p>
            <w:pPr>
              <w:spacing w:after="40"/>
            </w:pPr>
            <w:r>
              <w:rPr>
                <w:b/>
                <w:sz w:val="18"/>
              </w:rPr>
              <w:t>Left open (design parameter)</w:t>
            </w:r>
          </w:p>
        </w:tc>
        <w:tc>
          <w:tcPr>
            <w:tcW w:type="dxa" w:w="4759"/>
          </w:tcPr>
          <w:p>
            <w:pPr>
              <w:spacing w:after="40"/>
            </w:pPr>
            <w:r>
              <w:rPr>
                <w:sz w:val="18"/>
              </w:rPr>
              <w:t>Does not fix the number of surfaces through which control is exercised, nor whether control is exercised during settlement or only in advance. The latter is what the strict reading of this requirement contests for B3.</w:t>
            </w:r>
          </w:p>
        </w:tc>
      </w:tr>
      <w:tr>
        <w:tc>
          <w:tcPr>
            <w:tcW w:type="dxa" w:w="4759"/>
            <w:shd w:val="clear" w:fill="F2F2F2"/>
          </w:tcPr>
          <w:p>
            <w:pPr>
              <w:spacing w:after="40"/>
            </w:pPr>
            <w:r>
              <w:rPr>
                <w:b/>
                <w:sz w:val="18"/>
              </w:rPr>
              <w:t>Sources and locators</w:t>
            </w:r>
          </w:p>
        </w:tc>
        <w:tc>
          <w:tcPr>
            <w:tcW w:type="dxa" w:w="4759"/>
            <w:shd w:val="clear" w:fill="F7F9FC"/>
          </w:tcPr>
          <w:p>
            <w:pPr>
              <w:spacing w:after="40"/>
            </w:pPr>
            <w:r>
              <w:rPr>
                <w:sz w:val="18"/>
              </w:rPr>
              <w:t>[11] P2 p. 26, P17 p. 94, P18 p. 101. [20] p. 96 (central banks must retain final say over access to their payment balances, and hence over the use of their currency). [13] Sec. 2.3 Req. 6 p. 16; Sec. 4 pp. 28-29 (control and monitoring equivalent to that over traditional reserve balances). [15] p. 13 and pp. 25-26 (dual-notary; subnetworks preserve each central bank's control). [23] para. 3.2.5 p. 13. [17].</w:t>
            </w:r>
          </w:p>
        </w:tc>
      </w:tr>
      <w:tr>
        <w:tc>
          <w:tcPr>
            <w:tcW w:type="dxa" w:w="4759"/>
            <w:shd w:val="clear" w:fill="F2F2F2"/>
          </w:tcPr>
          <w:p>
            <w:pPr>
              <w:spacing w:after="40"/>
            </w:pPr>
            <w:r>
              <w:rPr>
                <w:b/>
                <w:sz w:val="18"/>
              </w:rPr>
              <w:t>Falsification — what would defeat it</w:t>
            </w:r>
          </w:p>
        </w:tc>
        <w:tc>
          <w:tcPr>
            <w:tcW w:type="dxa" w:w="4759"/>
            <w:shd w:val="clear" w:fill="FFF2CC"/>
          </w:tcPr>
          <w:p>
            <w:pPr>
              <w:spacing w:after="40"/>
            </w:pPr>
            <w:r>
              <w:rPr>
                <w:sz w:val="18"/>
              </w:rPr>
              <w:t>An arrangement fails R14 if institutional control - not merely technical operation - has passed to an entity other than the monetary authority. Under the stricter reading in the sensitivity analysis, it also fails if no intervention point exists during an exchange in progress.</w:t>
            </w:r>
          </w:p>
        </w:tc>
      </w:tr>
    </w:tbl>
    <w:p>
      <w:pPr>
        <w:spacing w:before="120"/>
      </w:pPr>
      <w:r>
        <w:rPr>
          <w:b/>
          <w:sz w:val="19"/>
        </w:rPr>
        <w:t>How each variant discharges it</w:t>
      </w:r>
    </w:p>
    <w:tbl>
      <w:tblPr>
        <w:tblStyle w:val="TableGrid"/>
        <w:tblW w:type="auto" w:w="0"/>
        <w:tblLook w:firstColumn="1" w:firstRow="1" w:lastColumn="0" w:lastRow="0" w:noHBand="0" w:noVBand="1" w:val="04A0"/>
      </w:tblPr>
      <w:tblGrid>
        <w:gridCol w:w="3173"/>
        <w:gridCol w:w="3173"/>
        <w:gridCol w:w="3173"/>
      </w:tblGrid>
      <w:tr>
        <w:tc>
          <w:tcPr>
            <w:tcW w:type="dxa" w:w="3173"/>
            <w:shd w:val="clear" w:fill="DCE6F1"/>
          </w:tcPr>
          <w:p>
            <w:r>
              <w:rPr>
                <w:b/>
                <w:sz w:val="18"/>
              </w:rPr>
              <w:t>B1 — Synchronised trigger</w:t>
            </w:r>
          </w:p>
        </w:tc>
        <w:tc>
          <w:tcPr>
            <w:tcW w:type="dxa" w:w="3173"/>
            <w:shd w:val="clear" w:fill="DCE6F1"/>
          </w:tcPr>
          <w:p>
            <w:r>
              <w:rPr>
                <w:b/>
                <w:sz w:val="18"/>
              </w:rPr>
              <w:t>B2 — Integrated on-ledger</w:t>
            </w:r>
          </w:p>
        </w:tc>
        <w:tc>
          <w:tcPr>
            <w:tcW w:type="dxa" w:w="3173"/>
            <w:shd w:val="clear" w:fill="DCE6F1"/>
          </w:tcPr>
          <w:p>
            <w:r>
              <w:rPr>
                <w:b/>
                <w:sz w:val="18"/>
              </w:rPr>
              <w:t>B3 — Cross-ledger HTLC</w:t>
            </w:r>
          </w:p>
        </w:tc>
      </w:tr>
      <w:tr>
        <w:tc>
          <w:tcPr>
            <w:tcW w:type="dxa" w:w="3173"/>
          </w:tcPr>
          <w:p>
            <w:r>
              <w:rPr>
                <w:sz w:val="17"/>
              </w:rPr>
              <w:t>Two control surfaces: scoped stop-settlement plus direct RTGS operation.</w:t>
            </w:r>
          </w:p>
        </w:tc>
        <w:tc>
          <w:tcPr>
            <w:tcW w:type="dxa" w:w="3173"/>
          </w:tcPr>
          <w:p>
            <w:r>
              <w:rPr>
                <w:sz w:val="17"/>
              </w:rPr>
              <w:t>One on-ledger surface: reserved pause, mint and burn.</w:t>
            </w:r>
          </w:p>
        </w:tc>
        <w:tc>
          <w:tcPr>
            <w:tcW w:type="dxa" w:w="3173"/>
          </w:tcPr>
          <w:p>
            <w:r>
              <w:rPr>
                <w:sz w:val="17"/>
              </w:rPr>
              <w:t>Cash register only, ex ante; no mid-protocol intervention point. Contested cell.</w:t>
            </w:r>
          </w:p>
        </w:tc>
      </w:tr>
    </w:tbl>
    <w:p>
      <w:r>
        <w:rPr>
          <w:i/>
          <w:sz w:val="17"/>
        </w:rPr>
        <w:t>Full cell content — mechanism, interface trace, evidence, assumption and residual risk — is in the realisation matrix workbook, sheet 2.</w:t>
      </w:r>
    </w:p>
    <w:p>
      <w:r>
        <w:br w:type="page"/>
      </w:r>
    </w:p>
    <w:p>
      <w:pPr>
        <w:spacing w:before="360" w:after="120"/>
        <w:jc w:val="left"/>
      </w:pPr>
      <w:r>
        <w:rPr>
          <w:b/>
          <w:color w:val="1F3864"/>
          <w:sz w:val="30"/>
        </w:rPr>
        <w:t>R15 — Structural</w:t>
      </w:r>
    </w:p>
    <w:p>
      <w:r>
        <w:rPr>
          <w:sz w:val="22"/>
        </w:rPr>
        <w:t>The arrangement shall limit fragmentation of liquidity and of the authoritative record between the new and the existing settlement rails, and shall specify a migration path with the conditions under which it would be taken.</w:t>
      </w:r>
    </w:p>
    <w:tbl>
      <w:tblPr>
        <w:tblStyle w:val="TableGrid"/>
        <w:tblW w:type="auto" w:w="0"/>
        <w:tblLook w:firstColumn="1" w:firstRow="1" w:lastColumn="0" w:lastRow="0" w:noHBand="0" w:noVBand="1" w:val="04A0"/>
      </w:tblPr>
      <w:tblGrid>
        <w:gridCol w:w="2494"/>
        <w:gridCol w:w="6917"/>
      </w:tblGrid>
      <w:tr>
        <w:tc>
          <w:tcPr>
            <w:tcW w:type="dxa" w:w="4759"/>
            <w:shd w:val="clear" w:fill="F2F2F2"/>
          </w:tcPr>
          <w:p>
            <w:pPr>
              <w:spacing w:after="40"/>
            </w:pPr>
            <w:r>
              <w:rPr>
                <w:b/>
                <w:sz w:val="18"/>
              </w:rPr>
              <w:t>Priority</w:t>
            </w:r>
          </w:p>
        </w:tc>
        <w:tc>
          <w:tcPr>
            <w:tcW w:type="dxa" w:w="4759"/>
          </w:tcPr>
          <w:p>
            <w:pPr>
              <w:spacing w:after="40"/>
            </w:pPr>
            <w:r>
              <w:rPr>
                <w:sz w:val="18"/>
              </w:rPr>
              <w:t>Structural</w:t>
            </w:r>
          </w:p>
        </w:tc>
      </w:tr>
      <w:tr>
        <w:tc>
          <w:tcPr>
            <w:tcW w:type="dxa" w:w="4759"/>
            <w:shd w:val="clear" w:fill="F2F2F2"/>
          </w:tcPr>
          <w:p>
            <w:pPr>
              <w:spacing w:after="40"/>
            </w:pPr>
            <w:r>
              <w:rPr>
                <w:b/>
                <w:sz w:val="18"/>
              </w:rPr>
              <w:t>Primary layer</w:t>
            </w:r>
          </w:p>
        </w:tc>
        <w:tc>
          <w:tcPr>
            <w:tcW w:type="dxa" w:w="4759"/>
          </w:tcPr>
          <w:p>
            <w:pPr>
              <w:spacing w:after="40"/>
            </w:pPr>
            <w:r>
              <w:rPr>
                <w:sz w:val="18"/>
              </w:rPr>
              <w:t>L6 - Transition and coexistence</w:t>
            </w:r>
          </w:p>
        </w:tc>
      </w:tr>
      <w:tr>
        <w:tc>
          <w:tcPr>
            <w:tcW w:type="dxa" w:w="4759"/>
            <w:shd w:val="clear" w:fill="F2F2F2"/>
          </w:tcPr>
          <w:p>
            <w:pPr>
              <w:spacing w:after="40"/>
            </w:pPr>
            <w:r>
              <w:rPr>
                <w:b/>
                <w:sz w:val="18"/>
              </w:rPr>
              <w:t>Secondary layer</w:t>
            </w:r>
          </w:p>
        </w:tc>
        <w:tc>
          <w:tcPr>
            <w:tcW w:type="dxa" w:w="4759"/>
          </w:tcPr>
          <w:p>
            <w:pPr>
              <w:spacing w:after="40"/>
            </w:pPr>
            <w:r>
              <w:rPr>
                <w:sz w:val="18"/>
              </w:rPr>
              <w:t>-</w:t>
            </w:r>
          </w:p>
        </w:tc>
      </w:tr>
      <w:tr>
        <w:tc>
          <w:tcPr>
            <w:tcW w:type="dxa" w:w="4759"/>
            <w:shd w:val="clear" w:fill="F2F2F2"/>
          </w:tcPr>
          <w:p>
            <w:pPr>
              <w:spacing w:after="40"/>
            </w:pPr>
            <w:r>
              <w:rPr>
                <w:b/>
                <w:sz w:val="18"/>
              </w:rPr>
              <w:t>PFMI anchor</w:t>
            </w:r>
          </w:p>
        </w:tc>
        <w:tc>
          <w:tcPr>
            <w:tcW w:type="dxa" w:w="4759"/>
          </w:tcPr>
          <w:p>
            <w:pPr>
              <w:spacing w:after="40"/>
            </w:pPr>
            <w:r>
              <w:rPr>
                <w:sz w:val="18"/>
              </w:rPr>
              <w:t>P7 Liquidity risk; P9 Money settlements (p. 67); P15 General business risk; P20 FMI links (p. 109).</w:t>
            </w:r>
          </w:p>
        </w:tc>
      </w:tr>
      <w:tr>
        <w:tc>
          <w:tcPr>
            <w:tcW w:type="dxa" w:w="4759"/>
            <w:shd w:val="clear" w:fill="F2F2F2"/>
          </w:tcPr>
          <w:p>
            <w:pPr>
              <w:spacing w:after="40"/>
            </w:pPr>
            <w:r>
              <w:rPr>
                <w:b/>
                <w:sz w:val="18"/>
              </w:rPr>
              <w:t>Inductive theme</w:t>
            </w:r>
          </w:p>
        </w:tc>
        <w:tc>
          <w:tcPr>
            <w:tcW w:type="dxa" w:w="4759"/>
          </w:tcPr>
          <w:p>
            <w:pPr>
              <w:spacing w:after="40"/>
            </w:pPr>
            <w:r>
              <w:rPr>
                <w:sz w:val="18"/>
              </w:rPr>
              <w:t>T9 - regulatory and jurisdictional fragmentation; T10 - liquidity constraints and escrow mechanics.</w:t>
            </w:r>
          </w:p>
        </w:tc>
      </w:tr>
      <w:tr>
        <w:tc>
          <w:tcPr>
            <w:tcW w:type="dxa" w:w="4759"/>
            <w:shd w:val="clear" w:fill="F2F2F2"/>
          </w:tcPr>
          <w:p>
            <w:pPr>
              <w:spacing w:after="40"/>
            </w:pPr>
            <w:r>
              <w:rPr>
                <w:b/>
                <w:sz w:val="18"/>
              </w:rPr>
              <w:t>Responsible component or interaction</w:t>
            </w:r>
          </w:p>
        </w:tc>
        <w:tc>
          <w:tcPr>
            <w:tcW w:type="dxa" w:w="4759"/>
          </w:tcPr>
          <w:p>
            <w:pPr>
              <w:spacing w:after="40"/>
            </w:pPr>
            <w:r>
              <w:rPr>
                <w:sz w:val="18"/>
              </w:rPr>
              <w:t>L6 coexistence rules; the on-ramp or convertibility mechanism; the migration trigger recorded in the rulebook.</w:t>
            </w:r>
          </w:p>
        </w:tc>
      </w:tr>
      <w:tr>
        <w:tc>
          <w:tcPr>
            <w:tcW w:type="dxa" w:w="4759"/>
            <w:shd w:val="clear" w:fill="F2F2F2"/>
          </w:tcPr>
          <w:p>
            <w:pPr>
              <w:spacing w:after="40"/>
            </w:pPr>
            <w:r>
              <w:rPr>
                <w:b/>
                <w:sz w:val="18"/>
              </w:rPr>
              <w:t>Left open (design parameter)</w:t>
            </w:r>
          </w:p>
        </w:tc>
        <w:tc>
          <w:tcPr>
            <w:tcW w:type="dxa" w:w="4759"/>
          </w:tcPr>
          <w:p>
            <w:pPr>
              <w:spacing w:after="40"/>
            </w:pPr>
            <w:r>
              <w:rPr>
                <w:sz w:val="18"/>
              </w:rPr>
              <w:t>Does not fix the migration trigger, nor whether the design is a target state or a transitional one.</w:t>
            </w:r>
          </w:p>
        </w:tc>
      </w:tr>
      <w:tr>
        <w:tc>
          <w:tcPr>
            <w:tcW w:type="dxa" w:w="4759"/>
            <w:shd w:val="clear" w:fill="F2F2F2"/>
          </w:tcPr>
          <w:p>
            <w:pPr>
              <w:spacing w:after="40"/>
            </w:pPr>
            <w:r>
              <w:rPr>
                <w:b/>
                <w:sz w:val="18"/>
              </w:rPr>
              <w:t>Sources and locators</w:t>
            </w:r>
          </w:p>
        </w:tc>
        <w:tc>
          <w:tcPr>
            <w:tcW w:type="dxa" w:w="4759"/>
            <w:shd w:val="clear" w:fill="F7F9FC"/>
          </w:tcPr>
          <w:p>
            <w:pPr>
              <w:spacing w:after="40"/>
            </w:pPr>
            <w:r>
              <w:rPr>
                <w:sz w:val="18"/>
              </w:rPr>
              <w:t>[17] Key Message 5 p. 3; Sec. 9.5 pp. 17-18 (migration from a short-term to a long-term solution must be designed for); p. 16 and p. 18 (liquidity fragmentation when transactions split between new and old systems). [22] 1 July 2025 (dual-track: Pontes then Appia). [20] pp. 100-101. [13] Sec. 2.3 Req. 3 p. 16. [16].</w:t>
            </w:r>
          </w:p>
        </w:tc>
      </w:tr>
      <w:tr>
        <w:tc>
          <w:tcPr>
            <w:tcW w:type="dxa" w:w="4759"/>
            <w:shd w:val="clear" w:fill="F2F2F2"/>
          </w:tcPr>
          <w:p>
            <w:pPr>
              <w:spacing w:after="40"/>
            </w:pPr>
            <w:r>
              <w:rPr>
                <w:b/>
                <w:sz w:val="18"/>
              </w:rPr>
              <w:t>Falsification — what would defeat it</w:t>
            </w:r>
          </w:p>
        </w:tc>
        <w:tc>
          <w:tcPr>
            <w:tcW w:type="dxa" w:w="4759"/>
            <w:shd w:val="clear" w:fill="FFF2CC"/>
          </w:tcPr>
          <w:p>
            <w:pPr>
              <w:spacing w:after="40"/>
            </w:pPr>
            <w:r>
              <w:rPr>
                <w:sz w:val="18"/>
              </w:rPr>
              <w:t>R15 is Structural. It records migration posture, which is a governance commitment rather than an admissibility condition.</w:t>
            </w:r>
          </w:p>
        </w:tc>
      </w:tr>
    </w:tbl>
    <w:p>
      <w:pPr>
        <w:spacing w:before="120"/>
      </w:pPr>
      <w:r>
        <w:rPr>
          <w:b/>
          <w:sz w:val="19"/>
        </w:rPr>
        <w:t>How each variant discharges it</w:t>
      </w:r>
    </w:p>
    <w:tbl>
      <w:tblPr>
        <w:tblStyle w:val="TableGrid"/>
        <w:tblW w:type="auto" w:w="0"/>
        <w:tblLook w:firstColumn="1" w:firstRow="1" w:lastColumn="0" w:lastRow="0" w:noHBand="0" w:noVBand="1" w:val="04A0"/>
      </w:tblPr>
      <w:tblGrid>
        <w:gridCol w:w="3173"/>
        <w:gridCol w:w="3173"/>
        <w:gridCol w:w="3173"/>
      </w:tblGrid>
      <w:tr>
        <w:tc>
          <w:tcPr>
            <w:tcW w:type="dxa" w:w="3173"/>
            <w:shd w:val="clear" w:fill="DCE6F1"/>
          </w:tcPr>
          <w:p>
            <w:r>
              <w:rPr>
                <w:b/>
                <w:sz w:val="18"/>
              </w:rPr>
              <w:t>B1 — Synchronised trigger</w:t>
            </w:r>
          </w:p>
        </w:tc>
        <w:tc>
          <w:tcPr>
            <w:tcW w:type="dxa" w:w="3173"/>
            <w:shd w:val="clear" w:fill="DCE6F1"/>
          </w:tcPr>
          <w:p>
            <w:r>
              <w:rPr>
                <w:b/>
                <w:sz w:val="18"/>
              </w:rPr>
              <w:t>B2 — Integrated on-ledger</w:t>
            </w:r>
          </w:p>
        </w:tc>
        <w:tc>
          <w:tcPr>
            <w:tcW w:type="dxa" w:w="3173"/>
            <w:shd w:val="clear" w:fill="DCE6F1"/>
          </w:tcPr>
          <w:p>
            <w:r>
              <w:rPr>
                <w:b/>
                <w:sz w:val="18"/>
              </w:rPr>
              <w:t>B3 — Cross-ledger HTLC</w:t>
            </w:r>
          </w:p>
        </w:tc>
      </w:tr>
      <w:tr>
        <w:tc>
          <w:tcPr>
            <w:tcW w:type="dxa" w:w="3173"/>
          </w:tcPr>
          <w:p>
            <w:r>
              <w:rPr>
                <w:sz w:val="17"/>
              </w:rPr>
              <w:t>Coexistence by construction; but a design flagged as short-term.</w:t>
            </w:r>
          </w:p>
        </w:tc>
        <w:tc>
          <w:tcPr>
            <w:tcW w:type="dxa" w:w="3173"/>
          </w:tcPr>
          <w:p>
            <w:r>
              <w:rPr>
                <w:sz w:val="17"/>
              </w:rPr>
              <w:t>Target state; coexistence secured by the on-ramp.</w:t>
            </w:r>
          </w:p>
        </w:tc>
        <w:tc>
          <w:tcPr>
            <w:tcW w:type="dxa" w:w="3173"/>
          </w:tcPr>
          <w:p>
            <w:r>
              <w:rPr>
                <w:sz w:val="17"/>
              </w:rPr>
              <w:t>Preserves both registers; highest structural fragmentation.</w:t>
            </w:r>
          </w:p>
        </w:tc>
      </w:tr>
    </w:tbl>
    <w:p>
      <w:r>
        <w:rPr>
          <w:i/>
          <w:sz w:val="17"/>
        </w:rPr>
        <w:t>Full cell content — mechanism, interface trace, evidence, assumption and residual risk — is in the realisation matrix workbook, sheet 2.</w:t>
      </w:r>
    </w:p>
    <w:p>
      <w:r>
        <w:br w:type="page"/>
      </w:r>
    </w:p>
    <w:p>
      <w:pPr>
        <w:spacing w:before="360" w:after="120"/>
        <w:jc w:val="left"/>
      </w:pPr>
      <w:r>
        <w:rPr>
          <w:b/>
          <w:color w:val="1F3864"/>
          <w:sz w:val="30"/>
        </w:rPr>
        <w:t>R16 — Structural</w:t>
      </w:r>
    </w:p>
    <w:p>
      <w:r>
        <w:rPr>
          <w:sz w:val="22"/>
        </w:rPr>
        <w:t>Compliance rules that condition settlement shall be encoded so that they are enforced before value moves, and the governance of that code shall allow timely human intervention as and when needed. The encoded rule shall sit under a legally framed override, not above it.</w:t>
      </w:r>
    </w:p>
    <w:tbl>
      <w:tblPr>
        <w:tblStyle w:val="TableGrid"/>
        <w:tblW w:type="auto" w:w="0"/>
        <w:tblLook w:firstColumn="1" w:firstRow="1" w:lastColumn="0" w:lastRow="0" w:noHBand="0" w:noVBand="1" w:val="04A0"/>
      </w:tblPr>
      <w:tblGrid>
        <w:gridCol w:w="2494"/>
        <w:gridCol w:w="6917"/>
      </w:tblGrid>
      <w:tr>
        <w:tc>
          <w:tcPr>
            <w:tcW w:type="dxa" w:w="4759"/>
            <w:shd w:val="clear" w:fill="F2F2F2"/>
          </w:tcPr>
          <w:p>
            <w:pPr>
              <w:spacing w:after="40"/>
            </w:pPr>
            <w:r>
              <w:rPr>
                <w:b/>
                <w:sz w:val="18"/>
              </w:rPr>
              <w:t>Priority</w:t>
            </w:r>
          </w:p>
        </w:tc>
        <w:tc>
          <w:tcPr>
            <w:tcW w:type="dxa" w:w="4759"/>
          </w:tcPr>
          <w:p>
            <w:pPr>
              <w:spacing w:after="40"/>
            </w:pPr>
            <w:r>
              <w:rPr>
                <w:sz w:val="18"/>
              </w:rPr>
              <w:t>Structural</w:t>
            </w:r>
          </w:p>
        </w:tc>
      </w:tr>
      <w:tr>
        <w:tc>
          <w:tcPr>
            <w:tcW w:type="dxa" w:w="4759"/>
            <w:shd w:val="clear" w:fill="F2F2F2"/>
          </w:tcPr>
          <w:p>
            <w:pPr>
              <w:spacing w:after="40"/>
            </w:pPr>
            <w:r>
              <w:rPr>
                <w:b/>
                <w:sz w:val="18"/>
              </w:rPr>
              <w:t>Primary layer</w:t>
            </w:r>
          </w:p>
        </w:tc>
        <w:tc>
          <w:tcPr>
            <w:tcW w:type="dxa" w:w="4759"/>
          </w:tcPr>
          <w:p>
            <w:pPr>
              <w:spacing w:after="40"/>
            </w:pPr>
            <w:r>
              <w:rPr>
                <w:sz w:val="18"/>
              </w:rPr>
              <w:t>L2 - Participation and access</w:t>
            </w:r>
          </w:p>
        </w:tc>
      </w:tr>
      <w:tr>
        <w:tc>
          <w:tcPr>
            <w:tcW w:type="dxa" w:w="4759"/>
            <w:shd w:val="clear" w:fill="F2F2F2"/>
          </w:tcPr>
          <w:p>
            <w:pPr>
              <w:spacing w:after="40"/>
            </w:pPr>
            <w:r>
              <w:rPr>
                <w:b/>
                <w:sz w:val="18"/>
              </w:rPr>
              <w:t>Secondary layer</w:t>
            </w:r>
          </w:p>
        </w:tc>
        <w:tc>
          <w:tcPr>
            <w:tcW w:type="dxa" w:w="4759"/>
          </w:tcPr>
          <w:p>
            <w:pPr>
              <w:spacing w:after="40"/>
            </w:pPr>
            <w:r>
              <w:rPr>
                <w:sz w:val="18"/>
              </w:rPr>
              <w:t>L5 - Operations and resilience (code governance)</w:t>
            </w:r>
          </w:p>
        </w:tc>
      </w:tr>
      <w:tr>
        <w:tc>
          <w:tcPr>
            <w:tcW w:type="dxa" w:w="4759"/>
            <w:shd w:val="clear" w:fill="F2F2F2"/>
          </w:tcPr>
          <w:p>
            <w:pPr>
              <w:spacing w:after="40"/>
            </w:pPr>
            <w:r>
              <w:rPr>
                <w:b/>
                <w:sz w:val="18"/>
              </w:rPr>
              <w:t>PFMI anchor</w:t>
            </w:r>
          </w:p>
        </w:tc>
        <w:tc>
          <w:tcPr>
            <w:tcW w:type="dxa" w:w="4759"/>
          </w:tcPr>
          <w:p>
            <w:pPr>
              <w:spacing w:after="40"/>
            </w:pPr>
            <w:r>
              <w:rPr>
                <w:sz w:val="18"/>
              </w:rPr>
              <w:t>P2 Governance (p. 26); P3 (p. 32); P17 Operational risk (p. 94); P18 Access and participation (p. 101).</w:t>
            </w:r>
          </w:p>
        </w:tc>
      </w:tr>
      <w:tr>
        <w:tc>
          <w:tcPr>
            <w:tcW w:type="dxa" w:w="4759"/>
            <w:shd w:val="clear" w:fill="F2F2F2"/>
          </w:tcPr>
          <w:p>
            <w:pPr>
              <w:spacing w:after="40"/>
            </w:pPr>
            <w:r>
              <w:rPr>
                <w:b/>
                <w:sz w:val="18"/>
              </w:rPr>
              <w:t>Inductive theme</w:t>
            </w:r>
          </w:p>
        </w:tc>
        <w:tc>
          <w:tcPr>
            <w:tcW w:type="dxa" w:w="4759"/>
          </w:tcPr>
          <w:p>
            <w:pPr>
              <w:spacing w:after="40"/>
            </w:pPr>
            <w:r>
              <w:rPr>
                <w:sz w:val="18"/>
              </w:rPr>
              <w:t>T1 - smart-contract programmability; T2 - atomic settlement and conditionality.</w:t>
            </w:r>
          </w:p>
        </w:tc>
      </w:tr>
      <w:tr>
        <w:tc>
          <w:tcPr>
            <w:tcW w:type="dxa" w:w="4759"/>
            <w:shd w:val="clear" w:fill="F2F2F2"/>
          </w:tcPr>
          <w:p>
            <w:pPr>
              <w:spacing w:after="40"/>
            </w:pPr>
            <w:r>
              <w:rPr>
                <w:b/>
                <w:sz w:val="18"/>
              </w:rPr>
              <w:t>Responsible component or interaction</w:t>
            </w:r>
          </w:p>
        </w:tc>
        <w:tc>
          <w:tcPr>
            <w:tcW w:type="dxa" w:w="4759"/>
          </w:tcPr>
          <w:p>
            <w:pPr>
              <w:spacing w:after="40"/>
            </w:pPr>
            <w:r>
              <w:rPr>
                <w:sz w:val="18"/>
              </w:rPr>
              <w:t>L2 compliance checks as a precondition of settlement; L5 governance of the executable code; the override procedure.</w:t>
            </w:r>
          </w:p>
        </w:tc>
      </w:tr>
      <w:tr>
        <w:tc>
          <w:tcPr>
            <w:tcW w:type="dxa" w:w="4759"/>
            <w:shd w:val="clear" w:fill="F2F2F2"/>
          </w:tcPr>
          <w:p>
            <w:pPr>
              <w:spacing w:after="40"/>
            </w:pPr>
            <w:r>
              <w:rPr>
                <w:b/>
                <w:sz w:val="18"/>
              </w:rPr>
              <w:t>Left open (design parameter)</w:t>
            </w:r>
          </w:p>
        </w:tc>
        <w:tc>
          <w:tcPr>
            <w:tcW w:type="dxa" w:w="4759"/>
          </w:tcPr>
          <w:p>
            <w:pPr>
              <w:spacing w:after="40"/>
            </w:pPr>
            <w:r>
              <w:rPr>
                <w:sz w:val="18"/>
              </w:rPr>
              <w:t>Does not fix how deeply compliance is encoded, nor where the override sits. The depth of encoding is one of the seven dimensions on which admissible architectures differ.</w:t>
            </w:r>
          </w:p>
        </w:tc>
      </w:tr>
      <w:tr>
        <w:tc>
          <w:tcPr>
            <w:tcW w:type="dxa" w:w="4759"/>
            <w:shd w:val="clear" w:fill="F2F2F2"/>
          </w:tcPr>
          <w:p>
            <w:pPr>
              <w:spacing w:after="40"/>
            </w:pPr>
            <w:r>
              <w:rPr>
                <w:b/>
                <w:sz w:val="18"/>
              </w:rPr>
              <w:t>Sources and locators</w:t>
            </w:r>
          </w:p>
        </w:tc>
        <w:tc>
          <w:tcPr>
            <w:tcW w:type="dxa" w:w="4759"/>
            <w:shd w:val="clear" w:fill="F7F9FC"/>
          </w:tcPr>
          <w:p>
            <w:pPr>
              <w:spacing w:after="40"/>
            </w:pPr>
            <w:r>
              <w:rPr>
                <w:sz w:val="18"/>
              </w:rPr>
              <w:t>[23] para. 3.2.8 p. 14 - the strongest available anchor: "the SA's governance allows for timely human intervention, as and when needed, in order to observe Principle 2 and the other relevant principles of the PFMI on a continuous basis". [21] Ch. 3 p. 32 (smart contracts automate generation, notification and validation of settlement instructions); Ch. 4 (smart-contract bugs). [11] P2 p. 26, P17 p. 94. [5]. [20].</w:t>
            </w:r>
          </w:p>
        </w:tc>
      </w:tr>
      <w:tr>
        <w:tc>
          <w:tcPr>
            <w:tcW w:type="dxa" w:w="4759"/>
            <w:shd w:val="clear" w:fill="F2F2F2"/>
          </w:tcPr>
          <w:p>
            <w:pPr>
              <w:spacing w:after="40"/>
            </w:pPr>
            <w:r>
              <w:rPr>
                <w:b/>
                <w:sz w:val="18"/>
              </w:rPr>
              <w:t>Falsification — what would defeat it</w:t>
            </w:r>
          </w:p>
        </w:tc>
        <w:tc>
          <w:tcPr>
            <w:tcW w:type="dxa" w:w="4759"/>
            <w:shd w:val="clear" w:fill="FFF2CC"/>
          </w:tcPr>
          <w:p>
            <w:pPr>
              <w:spacing w:after="40"/>
            </w:pPr>
            <w:r>
              <w:rPr>
                <w:sz w:val="18"/>
              </w:rPr>
              <w:t>R16 is Structural. An arrangement that encodes a compliance rule with no route to timely human intervention does not thereby fail to produce DvP; it fails a governance expectation, which is a different class of defect.</w:t>
            </w:r>
          </w:p>
        </w:tc>
      </w:tr>
    </w:tbl>
    <w:p>
      <w:pPr>
        <w:spacing w:before="120"/>
      </w:pPr>
      <w:r>
        <w:rPr>
          <w:b/>
          <w:sz w:val="19"/>
        </w:rPr>
        <w:t>How each variant discharges it</w:t>
      </w:r>
    </w:p>
    <w:tbl>
      <w:tblPr>
        <w:tblStyle w:val="TableGrid"/>
        <w:tblW w:type="auto" w:w="0"/>
        <w:tblLook w:firstColumn="1" w:firstRow="1" w:lastColumn="0" w:lastRow="0" w:noHBand="0" w:noVBand="1" w:val="04A0"/>
      </w:tblPr>
      <w:tblGrid>
        <w:gridCol w:w="3173"/>
        <w:gridCol w:w="3173"/>
        <w:gridCol w:w="3173"/>
      </w:tblGrid>
      <w:tr>
        <w:tc>
          <w:tcPr>
            <w:tcW w:type="dxa" w:w="3173"/>
            <w:shd w:val="clear" w:fill="DCE6F1"/>
          </w:tcPr>
          <w:p>
            <w:r>
              <w:rPr>
                <w:b/>
                <w:sz w:val="18"/>
              </w:rPr>
              <w:t>B1 — Synchronised trigger</w:t>
            </w:r>
          </w:p>
        </w:tc>
        <w:tc>
          <w:tcPr>
            <w:tcW w:type="dxa" w:w="3173"/>
            <w:shd w:val="clear" w:fill="DCE6F1"/>
          </w:tcPr>
          <w:p>
            <w:r>
              <w:rPr>
                <w:b/>
                <w:sz w:val="18"/>
              </w:rPr>
              <w:t>B2 — Integrated on-ledger</w:t>
            </w:r>
          </w:p>
        </w:tc>
        <w:tc>
          <w:tcPr>
            <w:tcW w:type="dxa" w:w="3173"/>
            <w:shd w:val="clear" w:fill="DCE6F1"/>
          </w:tcPr>
          <w:p>
            <w:r>
              <w:rPr>
                <w:b/>
                <w:sz w:val="18"/>
              </w:rPr>
              <w:t>B3 — Cross-ledger HTLC</w:t>
            </w:r>
          </w:p>
        </w:tc>
      </w:tr>
      <w:tr>
        <w:tc>
          <w:tcPr>
            <w:tcW w:type="dxa" w:w="3173"/>
          </w:tcPr>
          <w:p>
            <w:r>
              <w:rPr>
                <w:sz w:val="17"/>
              </w:rPr>
              <w:t>Compliance split across two supports and two regimes.</w:t>
            </w:r>
          </w:p>
        </w:tc>
        <w:tc>
          <w:tcPr>
            <w:tcW w:type="dxa" w:w="3173"/>
          </w:tcPr>
          <w:p>
            <w:r>
              <w:rPr>
                <w:sz w:val="17"/>
              </w:rPr>
              <w:t>Compliance is an explicit precondition of the atomic swap.</w:t>
            </w:r>
          </w:p>
        </w:tc>
        <w:tc>
          <w:tcPr>
            <w:tcW w:type="dxa" w:w="3173"/>
          </w:tcPr>
          <w:p>
            <w:r>
              <w:rPr>
                <w:sz w:val="17"/>
              </w:rPr>
              <w:t>Encoding limited to each register; no hook during the protocol.</w:t>
            </w:r>
          </w:p>
        </w:tc>
      </w:tr>
    </w:tbl>
    <w:p>
      <w:r>
        <w:rPr>
          <w:i/>
          <w:sz w:val="17"/>
        </w:rPr>
        <w:t>Full cell content — mechanism, interface trace, evidence, assumption and residual risk — is in the realisation matrix workbook, sheet 2.</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