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b/>
          <w:color w:val="1F3864"/>
          <w:sz w:val="36"/>
        </w:rPr>
        <w:t>Interface contracts</w:t>
      </w:r>
    </w:p>
    <w:p>
      <w:r>
        <w:rPr>
          <w:i/>
          <w:sz w:val="20"/>
        </w:rPr>
        <w:t>Companion material to: RASOLOSOA, J. — A Reference Framework for DvP Settlement Architectures in Central Bank Money. Master 2 MIAGE IKSEM, Université Paris 1 Panthéon-Sorbonne, 2025–2026.</w:t>
      </w:r>
    </w:p>
    <w:p>
      <w:pPr>
        <w:spacing w:before="280" w:after="120"/>
        <w:jc w:val="left"/>
      </w:pPr>
      <w:r>
        <w:rPr>
          <w:b/>
          <w:color w:val="1F3864"/>
          <w:sz w:val="26"/>
        </w:rPr>
        <w:t>Purpose</w:t>
      </w:r>
    </w:p>
    <w:p>
      <w:r>
        <w:t>Section 4.5 of the manuscript fixes a notation for the flows of the three architecture specifications and states that the full interface contracts accompany the thesis as companion material. This document is that material. It gives, for every flow, the semantics the specification relies on: who acts, what must hold before, what changes, what holds after, and what happens when the flow fails.</w:t>
      </w:r>
    </w:p>
    <w:p>
      <w:r>
        <w:t>The contracts are semantic, not technical. They are stated so that another permissioned platform could implement them if it offered equivalent validation and authority guarantees. Nothing here depends on Hyperledger Fabric; the proof of concept in Chapter 5 is one instantiation of the B2 contracts, not their definition.</w:t>
      </w:r>
    </w:p>
    <w:p>
      <w:r>
        <w:t>The failure column carries most of the analytical weight. Two architectures can look alike in their success path and differ entirely in what they do when a leg does not arrive — and that difference is what the non-equivalence test (H2) turns on.</w:t>
      </w:r>
    </w:p>
    <w:p>
      <w:pPr>
        <w:spacing w:before="280" w:after="120"/>
        <w:jc w:val="left"/>
      </w:pPr>
      <w:r>
        <w:rPr>
          <w:b/>
          <w:color w:val="1F3864"/>
          <w:sz w:val="26"/>
        </w:rPr>
        <w:t>Notation</w:t>
      </w:r>
    </w:p>
    <w:tbl>
      <w:tblPr>
        <w:tblStyle w:val="TableGrid"/>
        <w:tblW w:type="auto" w:w="0"/>
        <w:tblLook w:firstColumn="1" w:firstRow="1" w:lastColumn="0" w:lastRow="0" w:noHBand="0" w:noVBand="1" w:val="04A0"/>
      </w:tblPr>
      <w:tblGrid>
        <w:gridCol w:w="1134"/>
        <w:gridCol w:w="8277"/>
      </w:tblGrid>
      <w:tr>
        <w:tc>
          <w:tcPr>
            <w:tcW w:type="dxa" w:w="4759"/>
            <w:shd w:val="clear" w:fill="F2F2F2"/>
          </w:tcPr>
          <w:p>
            <w:r>
              <w:rPr>
                <w:b/>
                <w:sz w:val="19"/>
              </w:rPr>
              <w:t>I</w:t>
            </w:r>
          </w:p>
        </w:tc>
        <w:tc>
          <w:tcPr>
            <w:tcW w:type="dxa" w:w="4759"/>
          </w:tcPr>
          <w:p>
            <w:r>
              <w:rPr>
                <w:sz w:val="19"/>
              </w:rPr>
              <w:t>Issuance and instruction. Common to all three variants.</w:t>
            </w:r>
          </w:p>
        </w:tc>
      </w:tr>
      <w:tr>
        <w:tc>
          <w:tcPr>
            <w:tcW w:type="dxa" w:w="4759"/>
            <w:shd w:val="clear" w:fill="F2F2F2"/>
          </w:tcPr>
          <w:p>
            <w:r>
              <w:rPr>
                <w:b/>
                <w:sz w:val="19"/>
              </w:rPr>
              <w:t>T</w:t>
            </w:r>
          </w:p>
        </w:tc>
        <w:tc>
          <w:tcPr>
            <w:tcW w:type="dxa" w:w="4759"/>
          </w:tcPr>
          <w:p>
            <w:r>
              <w:rPr>
                <w:sz w:val="19"/>
              </w:rPr>
              <w:t>Trigger. B1 only: the flows that cross the infrastructure boundary.</w:t>
            </w:r>
          </w:p>
        </w:tc>
      </w:tr>
      <w:tr>
        <w:tc>
          <w:tcPr>
            <w:tcW w:type="dxa" w:w="4759"/>
            <w:shd w:val="clear" w:fill="F2F2F2"/>
          </w:tcPr>
          <w:p>
            <w:r>
              <w:rPr>
                <w:b/>
                <w:sz w:val="19"/>
              </w:rPr>
              <w:t>O</w:t>
            </w:r>
          </w:p>
        </w:tc>
        <w:tc>
          <w:tcPr>
            <w:tcW w:type="dxa" w:w="4759"/>
          </w:tcPr>
          <w:p>
            <w:r>
              <w:rPr>
                <w:sz w:val="19"/>
              </w:rPr>
              <w:t>On-ledger. B2 only: the invocations grouped in one platform transaction.</w:t>
            </w:r>
          </w:p>
        </w:tc>
      </w:tr>
      <w:tr>
        <w:tc>
          <w:tcPr>
            <w:tcW w:type="dxa" w:w="4759"/>
            <w:shd w:val="clear" w:fill="F2F2F2"/>
          </w:tcPr>
          <w:p>
            <w:r>
              <w:rPr>
                <w:b/>
                <w:sz w:val="19"/>
              </w:rPr>
              <w:t>H</w:t>
            </w:r>
          </w:p>
        </w:tc>
        <w:tc>
          <w:tcPr>
            <w:tcW w:type="dxa" w:w="4759"/>
          </w:tcPr>
          <w:p>
            <w:r>
              <w:rPr>
                <w:sz w:val="19"/>
              </w:rPr>
              <w:t>Hashed time-lock. B3 only: the locks, the revelation and the refunds.</w:t>
            </w:r>
          </w:p>
        </w:tc>
      </w:tr>
      <w:tr>
        <w:tc>
          <w:tcPr>
            <w:tcW w:type="dxa" w:w="4759"/>
            <w:shd w:val="clear" w:fill="F2F2F2"/>
          </w:tcPr>
          <w:p>
            <w:r>
              <w:rPr>
                <w:b/>
                <w:sz w:val="19"/>
              </w:rPr>
              <w:t>C</w:t>
            </w:r>
          </w:p>
        </w:tc>
        <w:tc>
          <w:tcPr>
            <w:tcW w:type="dxa" w:w="4759"/>
          </w:tcPr>
          <w:p>
            <w:r>
              <w:rPr>
                <w:sz w:val="19"/>
              </w:rPr>
              <w:t>Central-bank control. All variants, with a different geometry in each.</w:t>
            </w:r>
          </w:p>
        </w:tc>
      </w:tr>
      <w:tr>
        <w:tc>
          <w:tcPr>
            <w:tcW w:type="dxa" w:w="4759"/>
            <w:shd w:val="clear" w:fill="F2F2F2"/>
          </w:tcPr>
          <w:p>
            <w:r>
              <w:rPr>
                <w:b/>
                <w:sz w:val="19"/>
              </w:rPr>
              <w:t>S</w:t>
            </w:r>
          </w:p>
        </w:tc>
        <w:tc>
          <w:tcPr>
            <w:tcW w:type="dxa" w:w="4759"/>
          </w:tcPr>
          <w:p>
            <w:r>
              <w:rPr>
                <w:sz w:val="19"/>
              </w:rPr>
              <w:t>Supervisory observation. All variants, read-only by construction.</w:t>
            </w:r>
          </w:p>
        </w:tc>
      </w:tr>
    </w:tbl>
    <w:p>
      <w:r>
        <w:br w:type="page"/>
      </w:r>
    </w:p>
    <w:p>
      <w:pPr>
        <w:spacing w:before="0" w:after="120"/>
        <w:jc w:val="left"/>
      </w:pPr>
      <w:r>
        <w:rPr>
          <w:b/>
          <w:color w:val="1F3864"/>
          <w:sz w:val="30"/>
        </w:rPr>
        <w:t>I — Issuance and instruction flows</w:t>
      </w:r>
    </w:p>
    <w:p>
      <w:r>
        <w:rPr>
          <w:i/>
          <w:color w:val="1F3864"/>
          <w:sz w:val="20"/>
        </w:rPr>
        <w:t>Common to B1, B2 and B3</w:t>
      </w:r>
    </w:p>
    <w:p>
      <w:r>
        <w:t>The I-flows carry an asset into the arrangement and carry an instruction to settle it. They are identical in structure across the three variants because none of them touches the coordination mechanism: what differs between the architectures begins at I3, when the instruction reaches the component that enforces the DvP condition.</w:t>
      </w:r>
    </w:p>
    <w:p>
      <w:pPr>
        <w:spacing w:before="240" w:after="120"/>
        <w:jc w:val="left"/>
      </w:pPr>
      <w:r>
        <w:rPr>
          <w:b/>
          <w:color w:val="000000"/>
          <w:sz w:val="24"/>
        </w:rPr>
        <w:t>I1 — Issuance registration</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 B2, B3</w:t>
            </w:r>
          </w:p>
        </w:tc>
      </w:tr>
      <w:tr>
        <w:tc>
          <w:tcPr>
            <w:tcW w:type="dxa" w:w="4759"/>
            <w:shd w:val="clear" w:fill="F2F2F2"/>
          </w:tcPr>
          <w:p>
            <w:pPr>
              <w:spacing w:after="40"/>
            </w:pPr>
            <w:r>
              <w:rPr>
                <w:b/>
                <w:sz w:val="18"/>
              </w:rPr>
              <w:t>Actors</w:t>
            </w:r>
          </w:p>
        </w:tc>
        <w:tc>
          <w:tcPr>
            <w:tcW w:type="dxa" w:w="4759"/>
          </w:tcPr>
          <w:p>
            <w:pPr>
              <w:spacing w:after="40"/>
            </w:pPr>
            <w:r>
              <w:rPr>
                <w:sz w:val="18"/>
              </w:rPr>
              <w:t>Issuer → registry (CSD in B1; CSD-authorised ledger in B2; securities register in B3).</w:t>
            </w:r>
          </w:p>
        </w:tc>
      </w:tr>
      <w:tr>
        <w:tc>
          <w:tcPr>
            <w:tcW w:type="dxa" w:w="4759"/>
            <w:shd w:val="clear" w:fill="F2F2F2"/>
          </w:tcPr>
          <w:p>
            <w:pPr>
              <w:spacing w:after="40"/>
            </w:pPr>
            <w:r>
              <w:rPr>
                <w:b/>
                <w:sz w:val="18"/>
              </w:rPr>
              <w:t>Trigger</w:t>
            </w:r>
          </w:p>
        </w:tc>
        <w:tc>
          <w:tcPr>
            <w:tcW w:type="dxa" w:w="4759"/>
          </w:tcPr>
          <w:p>
            <w:pPr>
              <w:spacing w:after="40"/>
            </w:pPr>
            <w:r>
              <w:rPr>
                <w:sz w:val="18"/>
              </w:rPr>
              <w:t>An issuer registers a bond against its prospectus.</w:t>
            </w:r>
          </w:p>
        </w:tc>
      </w:tr>
      <w:tr>
        <w:tc>
          <w:tcPr>
            <w:tcW w:type="dxa" w:w="4759"/>
            <w:shd w:val="clear" w:fill="F2F2F2"/>
          </w:tcPr>
          <w:p>
            <w:pPr>
              <w:spacing w:after="40"/>
            </w:pPr>
            <w:r>
              <w:rPr>
                <w:b/>
                <w:sz w:val="18"/>
              </w:rPr>
              <w:t>Preconditions</w:t>
            </w:r>
          </w:p>
        </w:tc>
        <w:tc>
          <w:tcPr>
            <w:tcW w:type="dxa" w:w="4759"/>
          </w:tcPr>
          <w:p>
            <w:pPr>
              <w:spacing w:after="40"/>
            </w:pPr>
            <w:r>
              <w:rPr>
                <w:sz w:val="18"/>
              </w:rPr>
              <w:t>The issuer is admitted (R03). The instrument identifier is unique in the register.</w:t>
            </w:r>
          </w:p>
        </w:tc>
      </w:tr>
      <w:tr>
        <w:tc>
          <w:tcPr>
            <w:tcW w:type="dxa" w:w="4759"/>
            <w:shd w:val="clear" w:fill="F2F2F2"/>
          </w:tcPr>
          <w:p>
            <w:pPr>
              <w:spacing w:after="40"/>
            </w:pPr>
            <w:r>
              <w:rPr>
                <w:b/>
                <w:sz w:val="18"/>
              </w:rPr>
              <w:t>Effect</w:t>
            </w:r>
          </w:p>
        </w:tc>
        <w:tc>
          <w:tcPr>
            <w:tcW w:type="dxa" w:w="4759"/>
          </w:tcPr>
          <w:p>
            <w:pPr>
              <w:spacing w:after="40"/>
            </w:pPr>
            <w:r>
              <w:rPr>
                <w:sz w:val="18"/>
              </w:rPr>
              <w:t>The issue is recorded in the register designated as authoritative under D2.</w:t>
            </w:r>
          </w:p>
        </w:tc>
      </w:tr>
      <w:tr>
        <w:tc>
          <w:tcPr>
            <w:tcW w:type="dxa" w:w="4759"/>
            <w:shd w:val="clear" w:fill="F2F2F2"/>
          </w:tcPr>
          <w:p>
            <w:pPr>
              <w:spacing w:after="40"/>
            </w:pPr>
            <w:r>
              <w:rPr>
                <w:b/>
                <w:sz w:val="18"/>
              </w:rPr>
              <w:t>Post-condition</w:t>
            </w:r>
          </w:p>
        </w:tc>
        <w:tc>
          <w:tcPr>
            <w:tcW w:type="dxa" w:w="4759"/>
          </w:tcPr>
          <w:p>
            <w:pPr>
              <w:spacing w:after="40"/>
            </w:pPr>
            <w:r>
              <w:rPr>
                <w:sz w:val="18"/>
              </w:rPr>
              <w:t>The register holds an issue record against which tokens may be created.</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Rejected registration leaves no record. There is no partial issue.</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R06, R03, R02</w:t>
            </w:r>
          </w:p>
        </w:tc>
      </w:tr>
    </w:tbl>
    <w:p>
      <w:pPr>
        <w:spacing w:before="240" w:after="120"/>
        <w:jc w:val="left"/>
      </w:pPr>
      <w:r>
        <w:rPr>
          <w:b/>
          <w:color w:val="000000"/>
          <w:sz w:val="24"/>
        </w:rPr>
        <w:t>I2 — Token creation under registry endorsement</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 B2, B3</w:t>
            </w:r>
          </w:p>
        </w:tc>
      </w:tr>
      <w:tr>
        <w:tc>
          <w:tcPr>
            <w:tcW w:type="dxa" w:w="4759"/>
            <w:shd w:val="clear" w:fill="F2F2F2"/>
          </w:tcPr>
          <w:p>
            <w:pPr>
              <w:spacing w:after="40"/>
            </w:pPr>
            <w:r>
              <w:rPr>
                <w:b/>
                <w:sz w:val="18"/>
              </w:rPr>
              <w:t>Actors</w:t>
            </w:r>
          </w:p>
        </w:tc>
        <w:tc>
          <w:tcPr>
            <w:tcW w:type="dxa" w:w="4759"/>
          </w:tcPr>
          <w:p>
            <w:pPr>
              <w:spacing w:after="40"/>
            </w:pPr>
            <w:r>
              <w:rPr>
                <w:sz w:val="18"/>
              </w:rPr>
              <w:t>Registry / notary → securities token contract.</w:t>
            </w:r>
          </w:p>
        </w:tc>
      </w:tr>
      <w:tr>
        <w:tc>
          <w:tcPr>
            <w:tcW w:type="dxa" w:w="4759"/>
            <w:shd w:val="clear" w:fill="F2F2F2"/>
          </w:tcPr>
          <w:p>
            <w:pPr>
              <w:spacing w:after="40"/>
            </w:pPr>
            <w:r>
              <w:rPr>
                <w:b/>
                <w:sz w:val="18"/>
              </w:rPr>
              <w:t>Trigger</w:t>
            </w:r>
          </w:p>
        </w:tc>
        <w:tc>
          <w:tcPr>
            <w:tcW w:type="dxa" w:w="4759"/>
          </w:tcPr>
          <w:p>
            <w:pPr>
              <w:spacing w:after="40"/>
            </w:pPr>
            <w:r>
              <w:rPr>
                <w:sz w:val="18"/>
              </w:rPr>
              <w:t>An accepted I1.</w:t>
            </w:r>
          </w:p>
        </w:tc>
      </w:tr>
      <w:tr>
        <w:tc>
          <w:tcPr>
            <w:tcW w:type="dxa" w:w="4759"/>
            <w:shd w:val="clear" w:fill="F2F2F2"/>
          </w:tcPr>
          <w:p>
            <w:pPr>
              <w:spacing w:after="40"/>
            </w:pPr>
            <w:r>
              <w:rPr>
                <w:b/>
                <w:sz w:val="18"/>
              </w:rPr>
              <w:t>Preconditions</w:t>
            </w:r>
          </w:p>
        </w:tc>
        <w:tc>
          <w:tcPr>
            <w:tcW w:type="dxa" w:w="4759"/>
          </w:tcPr>
          <w:p>
            <w:pPr>
              <w:spacing w:after="40"/>
            </w:pPr>
            <w:r>
              <w:rPr>
                <w:sz w:val="18"/>
              </w:rPr>
              <w:t>I1 is recorded. The endorsing entity holds the authority allocated to it at L1.</w:t>
            </w:r>
          </w:p>
        </w:tc>
      </w:tr>
      <w:tr>
        <w:tc>
          <w:tcPr>
            <w:tcW w:type="dxa" w:w="4759"/>
            <w:shd w:val="clear" w:fill="F2F2F2"/>
          </w:tcPr>
          <w:p>
            <w:pPr>
              <w:spacing w:after="40"/>
            </w:pPr>
            <w:r>
              <w:rPr>
                <w:b/>
                <w:sz w:val="18"/>
              </w:rPr>
              <w:t>Effect</w:t>
            </w:r>
          </w:p>
        </w:tc>
        <w:tc>
          <w:tcPr>
            <w:tcW w:type="dxa" w:w="4759"/>
          </w:tcPr>
          <w:p>
            <w:pPr>
              <w:spacing w:after="40"/>
            </w:pPr>
            <w:r>
              <w:rPr>
                <w:sz w:val="18"/>
              </w:rPr>
              <w:t>Tokens are created and credited to the issuer, in an amount equal to the registered issue.</w:t>
            </w:r>
          </w:p>
        </w:tc>
      </w:tr>
      <w:tr>
        <w:tc>
          <w:tcPr>
            <w:tcW w:type="dxa" w:w="4759"/>
            <w:shd w:val="clear" w:fill="F2F2F2"/>
          </w:tcPr>
          <w:p>
            <w:pPr>
              <w:spacing w:after="40"/>
            </w:pPr>
            <w:r>
              <w:rPr>
                <w:b/>
                <w:sz w:val="18"/>
              </w:rPr>
              <w:t>Post-condition</w:t>
            </w:r>
          </w:p>
        </w:tc>
        <w:tc>
          <w:tcPr>
            <w:tcW w:type="dxa" w:w="4759"/>
          </w:tcPr>
          <w:p>
            <w:pPr>
              <w:spacing w:after="40"/>
            </w:pPr>
            <w:r>
              <w:rPr>
                <w:sz w:val="18"/>
              </w:rPr>
              <w:t>Token supply equals the registered issue. In B1 the mirror is reconciled to the register; in B2 the ledger entry IS the record; in B3 the register remains native.</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A creation without a valid endorsement is refused. Supply cannot change outside I2 and its redemption counterpart.</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R06, R01, R02</w:t>
            </w:r>
          </w:p>
        </w:tc>
      </w:tr>
    </w:tbl>
    <w:p>
      <w:pPr>
        <w:spacing w:before="240" w:after="120"/>
        <w:jc w:val="left"/>
      </w:pPr>
      <w:r>
        <w:rPr>
          <w:b/>
          <w:color w:val="000000"/>
          <w:sz w:val="24"/>
        </w:rPr>
        <w:t>I3 — Cosigned settlement instruction</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 B2, B3</w:t>
            </w:r>
          </w:p>
        </w:tc>
      </w:tr>
      <w:tr>
        <w:tc>
          <w:tcPr>
            <w:tcW w:type="dxa" w:w="4759"/>
            <w:shd w:val="clear" w:fill="F2F2F2"/>
          </w:tcPr>
          <w:p>
            <w:pPr>
              <w:spacing w:after="40"/>
            </w:pPr>
            <w:r>
              <w:rPr>
                <w:b/>
                <w:sz w:val="18"/>
              </w:rPr>
              <w:t>Actors</w:t>
            </w:r>
          </w:p>
        </w:tc>
        <w:tc>
          <w:tcPr>
            <w:tcW w:type="dxa" w:w="4759"/>
          </w:tcPr>
          <w:p>
            <w:pPr>
              <w:spacing w:after="40"/>
            </w:pPr>
            <w:r>
              <w:rPr>
                <w:sz w:val="18"/>
              </w:rPr>
              <w:t>Seller and buyer → coordination mechanism.</w:t>
            </w:r>
          </w:p>
        </w:tc>
      </w:tr>
      <w:tr>
        <w:tc>
          <w:tcPr>
            <w:tcW w:type="dxa" w:w="4759"/>
            <w:shd w:val="clear" w:fill="F2F2F2"/>
          </w:tcPr>
          <w:p>
            <w:pPr>
              <w:spacing w:after="40"/>
            </w:pPr>
            <w:r>
              <w:rPr>
                <w:b/>
                <w:sz w:val="18"/>
              </w:rPr>
              <w:t>Trigger</w:t>
            </w:r>
          </w:p>
        </w:tc>
        <w:tc>
          <w:tcPr>
            <w:tcW w:type="dxa" w:w="4759"/>
          </w:tcPr>
          <w:p>
            <w:pPr>
              <w:spacing w:after="40"/>
            </w:pPr>
            <w:r>
              <w:rPr>
                <w:sz w:val="18"/>
              </w:rPr>
              <w:t>Two counterparties agree a trade and both sign the instruction.</w:t>
            </w:r>
          </w:p>
        </w:tc>
      </w:tr>
      <w:tr>
        <w:tc>
          <w:tcPr>
            <w:tcW w:type="dxa" w:w="4759"/>
            <w:shd w:val="clear" w:fill="F2F2F2"/>
          </w:tcPr>
          <w:p>
            <w:pPr>
              <w:spacing w:after="40"/>
            </w:pPr>
            <w:r>
              <w:rPr>
                <w:b/>
                <w:sz w:val="18"/>
              </w:rPr>
              <w:t>Preconditions</w:t>
            </w:r>
          </w:p>
        </w:tc>
        <w:tc>
          <w:tcPr>
            <w:tcW w:type="dxa" w:w="4759"/>
          </w:tcPr>
          <w:p>
            <w:pPr>
              <w:spacing w:after="40"/>
            </w:pPr>
            <w:r>
              <w:rPr>
                <w:sz w:val="18"/>
              </w:rPr>
              <w:t>Both parties admitted (R03); encoded compliance restrictions satisfied (R16); no stop-settlement in force (C1).</w:t>
            </w:r>
          </w:p>
        </w:tc>
      </w:tr>
      <w:tr>
        <w:tc>
          <w:tcPr>
            <w:tcW w:type="dxa" w:w="4759"/>
            <w:shd w:val="clear" w:fill="F2F2F2"/>
          </w:tcPr>
          <w:p>
            <w:pPr>
              <w:spacing w:after="40"/>
            </w:pPr>
            <w:r>
              <w:rPr>
                <w:b/>
                <w:sz w:val="18"/>
              </w:rPr>
              <w:t>Effect</w:t>
            </w:r>
          </w:p>
        </w:tc>
        <w:tc>
          <w:tcPr>
            <w:tcW w:type="dxa" w:w="4759"/>
          </w:tcPr>
          <w:p>
            <w:pPr>
              <w:spacing w:after="40"/>
            </w:pPr>
            <w:r>
              <w:rPr>
                <w:sz w:val="18"/>
              </w:rPr>
              <w:t>The instruction is admitted and the settlement act begins.</w:t>
            </w:r>
          </w:p>
        </w:tc>
      </w:tr>
      <w:tr>
        <w:tc>
          <w:tcPr>
            <w:tcW w:type="dxa" w:w="4759"/>
            <w:shd w:val="clear" w:fill="F2F2F2"/>
          </w:tcPr>
          <w:p>
            <w:pPr>
              <w:spacing w:after="40"/>
            </w:pPr>
            <w:r>
              <w:rPr>
                <w:b/>
                <w:sz w:val="18"/>
              </w:rPr>
              <w:t>Post-condition</w:t>
            </w:r>
          </w:p>
        </w:tc>
        <w:tc>
          <w:tcPr>
            <w:tcW w:type="dxa" w:w="4759"/>
          </w:tcPr>
          <w:p>
            <w:pPr>
              <w:spacing w:after="40"/>
            </w:pPr>
            <w:r>
              <w:rPr>
                <w:sz w:val="18"/>
              </w:rPr>
              <w:t>The arrangement holds an instruction that will terminate in settlement or in a safe failure.</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A failed precondition rejects the instruction before any value moves or is reserved. Rejection is a terminal state.</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R05, R03, R16, R14</w:t>
            </w:r>
          </w:p>
        </w:tc>
      </w:tr>
    </w:tbl>
    <w:p>
      <w:r>
        <w:br w:type="page"/>
      </w:r>
    </w:p>
    <w:p>
      <w:pPr>
        <w:spacing w:before="0" w:after="120"/>
        <w:jc w:val="left"/>
      </w:pPr>
      <w:r>
        <w:rPr>
          <w:b/>
          <w:color w:val="1F3864"/>
          <w:sz w:val="30"/>
        </w:rPr>
        <w:t>T — Trigger flows (B1 only)</w:t>
      </w:r>
    </w:p>
    <w:p>
      <w:r>
        <w:rPr>
          <w:i/>
          <w:color w:val="1F3864"/>
          <w:sz w:val="20"/>
        </w:rPr>
        <w:t>Synchronised trigger with the cash leg in RTGS</w:t>
      </w:r>
    </w:p>
    <w:p>
      <w:r>
        <w:t>The T-flows cross the infrastructure boundary. They are the only family in which a message, rather than a commit or a cryptographic condition, carries the settlement guarantee — which is why their failure handling is specified in more detail than any other family in this document.</w:t>
      </w:r>
    </w:p>
    <w:p>
      <w:pPr>
        <w:spacing w:before="240" w:after="120"/>
        <w:jc w:val="left"/>
      </w:pPr>
      <w:r>
        <w:rPr>
          <w:b/>
          <w:color w:val="000000"/>
          <w:sz w:val="24"/>
        </w:rPr>
        <w:t>I4a — Lock securities</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w:t>
            </w:r>
          </w:p>
        </w:tc>
      </w:tr>
      <w:tr>
        <w:tc>
          <w:tcPr>
            <w:tcW w:type="dxa" w:w="4759"/>
            <w:shd w:val="clear" w:fill="F2F2F2"/>
          </w:tcPr>
          <w:p>
            <w:pPr>
              <w:spacing w:after="40"/>
            </w:pPr>
            <w:r>
              <w:rPr>
                <w:b/>
                <w:sz w:val="18"/>
              </w:rPr>
              <w:t>Actors</w:t>
            </w:r>
          </w:p>
        </w:tc>
        <w:tc>
          <w:tcPr>
            <w:tcW w:type="dxa" w:w="4759"/>
          </w:tcPr>
          <w:p>
            <w:pPr>
              <w:spacing w:after="40"/>
            </w:pPr>
            <w:r>
              <w:rPr>
                <w:sz w:val="18"/>
              </w:rPr>
              <w:t>Coordinator → securities token contract.</w:t>
            </w:r>
          </w:p>
        </w:tc>
      </w:tr>
      <w:tr>
        <w:tc>
          <w:tcPr>
            <w:tcW w:type="dxa" w:w="4759"/>
            <w:shd w:val="clear" w:fill="F2F2F2"/>
          </w:tcPr>
          <w:p>
            <w:pPr>
              <w:spacing w:after="40"/>
            </w:pPr>
            <w:r>
              <w:rPr>
                <w:b/>
                <w:sz w:val="18"/>
              </w:rPr>
              <w:t>Trigger</w:t>
            </w:r>
          </w:p>
        </w:tc>
        <w:tc>
          <w:tcPr>
            <w:tcW w:type="dxa" w:w="4759"/>
          </w:tcPr>
          <w:p>
            <w:pPr>
              <w:spacing w:after="40"/>
            </w:pPr>
            <w:r>
              <w:rPr>
                <w:sz w:val="18"/>
              </w:rPr>
              <w:t>An admitted I3.</w:t>
            </w:r>
          </w:p>
        </w:tc>
      </w:tr>
      <w:tr>
        <w:tc>
          <w:tcPr>
            <w:tcW w:type="dxa" w:w="4759"/>
            <w:shd w:val="clear" w:fill="F2F2F2"/>
          </w:tcPr>
          <w:p>
            <w:pPr>
              <w:spacing w:after="40"/>
            </w:pPr>
            <w:r>
              <w:rPr>
                <w:b/>
                <w:sz w:val="18"/>
              </w:rPr>
              <w:t>Preconditions</w:t>
            </w:r>
          </w:p>
        </w:tc>
        <w:tc>
          <w:tcPr>
            <w:tcW w:type="dxa" w:w="4759"/>
          </w:tcPr>
          <w:p>
            <w:pPr>
              <w:spacing w:after="40"/>
            </w:pPr>
            <w:r>
              <w:rPr>
                <w:sz w:val="18"/>
              </w:rPr>
              <w:t>The seller holds the quantity instructed and it is unencumbered.</w:t>
            </w:r>
          </w:p>
        </w:tc>
      </w:tr>
      <w:tr>
        <w:tc>
          <w:tcPr>
            <w:tcW w:type="dxa" w:w="4759"/>
            <w:shd w:val="clear" w:fill="F2F2F2"/>
          </w:tcPr>
          <w:p>
            <w:pPr>
              <w:spacing w:after="40"/>
            </w:pPr>
            <w:r>
              <w:rPr>
                <w:b/>
                <w:sz w:val="18"/>
              </w:rPr>
              <w:t>Effect</w:t>
            </w:r>
          </w:p>
        </w:tc>
        <w:tc>
          <w:tcPr>
            <w:tcW w:type="dxa" w:w="4759"/>
          </w:tcPr>
          <w:p>
            <w:pPr>
              <w:spacing w:after="40"/>
            </w:pPr>
            <w:r>
              <w:rPr>
                <w:sz w:val="18"/>
              </w:rPr>
              <w:t>The seller's tokens are frozen and the lock timer T_lock starts.</w:t>
            </w:r>
          </w:p>
        </w:tc>
      </w:tr>
      <w:tr>
        <w:tc>
          <w:tcPr>
            <w:tcW w:type="dxa" w:w="4759"/>
            <w:shd w:val="clear" w:fill="F2F2F2"/>
          </w:tcPr>
          <w:p>
            <w:pPr>
              <w:spacing w:after="40"/>
            </w:pPr>
            <w:r>
              <w:rPr>
                <w:b/>
                <w:sz w:val="18"/>
              </w:rPr>
              <w:t>Post-condition</w:t>
            </w:r>
          </w:p>
        </w:tc>
        <w:tc>
          <w:tcPr>
            <w:tcW w:type="dxa" w:w="4759"/>
          </w:tcPr>
          <w:p>
            <w:pPr>
              <w:spacing w:after="40"/>
            </w:pPr>
            <w:r>
              <w:rPr>
                <w:sz w:val="18"/>
              </w:rPr>
              <w:t>An observable intermediate state exists: securities are frozen, cash has not moved.</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If the lock cannot be placed, the instruction is rejected before T1 is sent. Nothing has been asked of the cash side.</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R05, R06</w:t>
            </w:r>
          </w:p>
        </w:tc>
      </w:tr>
    </w:tbl>
    <w:p>
      <w:pPr>
        <w:spacing w:before="240" w:after="120"/>
        <w:jc w:val="left"/>
      </w:pPr>
      <w:r>
        <w:rPr>
          <w:b/>
          <w:color w:val="000000"/>
          <w:sz w:val="24"/>
        </w:rPr>
        <w:t>T1 — Cash-leg trigger (pacs.009)</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w:t>
            </w:r>
          </w:p>
        </w:tc>
      </w:tr>
      <w:tr>
        <w:tc>
          <w:tcPr>
            <w:tcW w:type="dxa" w:w="4759"/>
            <w:shd w:val="clear" w:fill="F2F2F2"/>
          </w:tcPr>
          <w:p>
            <w:pPr>
              <w:spacing w:after="40"/>
            </w:pPr>
            <w:r>
              <w:rPr>
                <w:b/>
                <w:sz w:val="18"/>
              </w:rPr>
              <w:t>Actors</w:t>
            </w:r>
          </w:p>
        </w:tc>
        <w:tc>
          <w:tcPr>
            <w:tcW w:type="dxa" w:w="4759"/>
          </w:tcPr>
          <w:p>
            <w:pPr>
              <w:spacing w:after="40"/>
            </w:pPr>
            <w:r>
              <w:rPr>
                <w:sz w:val="18"/>
              </w:rPr>
              <w:t>Coordinator → RTGS.</w:t>
            </w:r>
          </w:p>
        </w:tc>
      </w:tr>
      <w:tr>
        <w:tc>
          <w:tcPr>
            <w:tcW w:type="dxa" w:w="4759"/>
            <w:shd w:val="clear" w:fill="F2F2F2"/>
          </w:tcPr>
          <w:p>
            <w:pPr>
              <w:spacing w:after="40"/>
            </w:pPr>
            <w:r>
              <w:rPr>
                <w:b/>
                <w:sz w:val="18"/>
              </w:rPr>
              <w:t>Trigger</w:t>
            </w:r>
          </w:p>
        </w:tc>
        <w:tc>
          <w:tcPr>
            <w:tcW w:type="dxa" w:w="4759"/>
          </w:tcPr>
          <w:p>
            <w:pPr>
              <w:spacing w:after="40"/>
            </w:pPr>
            <w:r>
              <w:rPr>
                <w:sz w:val="18"/>
              </w:rPr>
              <w:t>A successful I4a.</w:t>
            </w:r>
          </w:p>
        </w:tc>
      </w:tr>
      <w:tr>
        <w:tc>
          <w:tcPr>
            <w:tcW w:type="dxa" w:w="4759"/>
            <w:shd w:val="clear" w:fill="F2F2F2"/>
          </w:tcPr>
          <w:p>
            <w:pPr>
              <w:spacing w:after="40"/>
            </w:pPr>
            <w:r>
              <w:rPr>
                <w:b/>
                <w:sz w:val="18"/>
              </w:rPr>
              <w:t>Preconditions</w:t>
            </w:r>
          </w:p>
        </w:tc>
        <w:tc>
          <w:tcPr>
            <w:tcW w:type="dxa" w:w="4759"/>
          </w:tcPr>
          <w:p>
            <w:pPr>
              <w:spacing w:after="40"/>
            </w:pPr>
            <w:r>
              <w:rPr>
                <w:sz w:val="18"/>
              </w:rPr>
              <w:t>The securities lock is in place. Both parties hold RTGS access, directly or through a sponsor.</w:t>
            </w:r>
          </w:p>
        </w:tc>
      </w:tr>
      <w:tr>
        <w:tc>
          <w:tcPr>
            <w:tcW w:type="dxa" w:w="4759"/>
            <w:shd w:val="clear" w:fill="F2F2F2"/>
          </w:tcPr>
          <w:p>
            <w:pPr>
              <w:spacing w:after="40"/>
            </w:pPr>
            <w:r>
              <w:rPr>
                <w:b/>
                <w:sz w:val="18"/>
              </w:rPr>
              <w:t>Effect</w:t>
            </w:r>
          </w:p>
        </w:tc>
        <w:tc>
          <w:tcPr>
            <w:tcW w:type="dxa" w:w="4759"/>
          </w:tcPr>
          <w:p>
            <w:pPr>
              <w:spacing w:after="40"/>
            </w:pPr>
            <w:r>
              <w:rPr>
                <w:sz w:val="18"/>
              </w:rPr>
              <w:t>A payment instruction is submitted to the RTGS and the confirmation timer T_conf starts.</w:t>
            </w:r>
          </w:p>
        </w:tc>
      </w:tr>
      <w:tr>
        <w:tc>
          <w:tcPr>
            <w:tcW w:type="dxa" w:w="4759"/>
            <w:shd w:val="clear" w:fill="F2F2F2"/>
          </w:tcPr>
          <w:p>
            <w:pPr>
              <w:spacing w:after="40"/>
            </w:pPr>
            <w:r>
              <w:rPr>
                <w:b/>
                <w:sz w:val="18"/>
              </w:rPr>
              <w:t>Post-condition</w:t>
            </w:r>
          </w:p>
        </w:tc>
        <w:tc>
          <w:tcPr>
            <w:tcW w:type="dxa" w:w="4759"/>
          </w:tcPr>
          <w:p>
            <w:pPr>
              <w:spacing w:after="40"/>
            </w:pPr>
            <w:r>
              <w:rPr>
                <w:sz w:val="18"/>
              </w:rPr>
              <w:t>The cash leg is in flight. Its outcome is not yet known to the ledger.</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A submission failure is a rejection, not a timeout, and releases the lock through I4b.</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R04, R05, R07, R12</w:t>
            </w:r>
          </w:p>
        </w:tc>
      </w:tr>
    </w:tbl>
    <w:p>
      <w:pPr>
        <w:spacing w:before="240" w:after="120"/>
        <w:jc w:val="left"/>
      </w:pPr>
      <w:r>
        <w:rPr>
          <w:b/>
          <w:color w:val="000000"/>
          <w:sz w:val="24"/>
        </w:rPr>
        <w:t>T2 — Cash-leg status (pacs.002)</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w:t>
            </w:r>
          </w:p>
        </w:tc>
      </w:tr>
      <w:tr>
        <w:tc>
          <w:tcPr>
            <w:tcW w:type="dxa" w:w="4759"/>
            <w:shd w:val="clear" w:fill="F2F2F2"/>
          </w:tcPr>
          <w:p>
            <w:pPr>
              <w:spacing w:after="40"/>
            </w:pPr>
            <w:r>
              <w:rPr>
                <w:b/>
                <w:sz w:val="18"/>
              </w:rPr>
              <w:t>Actors</w:t>
            </w:r>
          </w:p>
        </w:tc>
        <w:tc>
          <w:tcPr>
            <w:tcW w:type="dxa" w:w="4759"/>
          </w:tcPr>
          <w:p>
            <w:pPr>
              <w:spacing w:after="40"/>
            </w:pPr>
            <w:r>
              <w:rPr>
                <w:sz w:val="18"/>
              </w:rPr>
              <w:t>RTGS → coordinator.</w:t>
            </w:r>
          </w:p>
        </w:tc>
      </w:tr>
      <w:tr>
        <w:tc>
          <w:tcPr>
            <w:tcW w:type="dxa" w:w="4759"/>
            <w:shd w:val="clear" w:fill="F2F2F2"/>
          </w:tcPr>
          <w:p>
            <w:pPr>
              <w:spacing w:after="40"/>
            </w:pPr>
            <w:r>
              <w:rPr>
                <w:b/>
                <w:sz w:val="18"/>
              </w:rPr>
              <w:t>Trigger</w:t>
            </w:r>
          </w:p>
        </w:tc>
        <w:tc>
          <w:tcPr>
            <w:tcW w:type="dxa" w:w="4759"/>
          </w:tcPr>
          <w:p>
            <w:pPr>
              <w:spacing w:after="40"/>
            </w:pPr>
            <w:r>
              <w:rPr>
                <w:sz w:val="18"/>
              </w:rPr>
              <w:t>The RTGS reaches a decision on T1.</w:t>
            </w:r>
          </w:p>
        </w:tc>
      </w:tr>
      <w:tr>
        <w:tc>
          <w:tcPr>
            <w:tcW w:type="dxa" w:w="4759"/>
            <w:shd w:val="clear" w:fill="F2F2F2"/>
          </w:tcPr>
          <w:p>
            <w:pPr>
              <w:spacing w:after="40"/>
            </w:pPr>
            <w:r>
              <w:rPr>
                <w:b/>
                <w:sz w:val="18"/>
              </w:rPr>
              <w:t>Preconditions</w:t>
            </w:r>
          </w:p>
        </w:tc>
        <w:tc>
          <w:tcPr>
            <w:tcW w:type="dxa" w:w="4759"/>
          </w:tcPr>
          <w:p>
            <w:pPr>
              <w:spacing w:after="40"/>
            </w:pPr>
            <w:r>
              <w:rPr>
                <w:sz w:val="18"/>
              </w:rPr>
              <w:t>T1 was submitted and accepted for processing.</w:t>
            </w:r>
          </w:p>
        </w:tc>
      </w:tr>
      <w:tr>
        <w:tc>
          <w:tcPr>
            <w:tcW w:type="dxa" w:w="4759"/>
            <w:shd w:val="clear" w:fill="F2F2F2"/>
          </w:tcPr>
          <w:p>
            <w:pPr>
              <w:spacing w:after="40"/>
            </w:pPr>
            <w:r>
              <w:rPr>
                <w:b/>
                <w:sz w:val="18"/>
              </w:rPr>
              <w:t>Effect</w:t>
            </w:r>
          </w:p>
        </w:tc>
        <w:tc>
          <w:tcPr>
            <w:tcW w:type="dxa" w:w="4759"/>
          </w:tcPr>
          <w:p>
            <w:pPr>
              <w:spacing w:after="40"/>
            </w:pPr>
            <w:r>
              <w:rPr>
                <w:sz w:val="18"/>
              </w:rPr>
              <w:t>The coordinator receives ACSC (settled) or RJCT (rejected).</w:t>
            </w:r>
          </w:p>
        </w:tc>
      </w:tr>
      <w:tr>
        <w:tc>
          <w:tcPr>
            <w:tcW w:type="dxa" w:w="4759"/>
            <w:shd w:val="clear" w:fill="F2F2F2"/>
          </w:tcPr>
          <w:p>
            <w:pPr>
              <w:spacing w:after="40"/>
            </w:pPr>
            <w:r>
              <w:rPr>
                <w:b/>
                <w:sz w:val="18"/>
              </w:rPr>
              <w:t>Post-condition</w:t>
            </w:r>
          </w:p>
        </w:tc>
        <w:tc>
          <w:tcPr>
            <w:tcW w:type="dxa" w:w="4759"/>
          </w:tcPr>
          <w:p>
            <w:pPr>
              <w:spacing w:after="40"/>
            </w:pPr>
            <w:r>
              <w:rPr>
                <w:sz w:val="18"/>
              </w:rPr>
              <w:t>The cash outcome is known. Exactly one of the I4b branches becomes available.</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No status before T_conf expires does NOT mean rejection. It opens I4c. This is the single most important failure rule in the family: an RTGS transfer may already be final.</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R05, R10, R12</w:t>
            </w:r>
          </w:p>
        </w:tc>
      </w:tr>
    </w:tbl>
    <w:p>
      <w:pPr>
        <w:spacing w:before="240" w:after="120"/>
        <w:jc w:val="left"/>
      </w:pPr>
      <w:r>
        <w:rPr>
          <w:b/>
          <w:color w:val="000000"/>
          <w:sz w:val="24"/>
        </w:rPr>
        <w:t>I4b — Release or rollback</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w:t>
            </w:r>
          </w:p>
        </w:tc>
      </w:tr>
      <w:tr>
        <w:tc>
          <w:tcPr>
            <w:tcW w:type="dxa" w:w="4759"/>
            <w:shd w:val="clear" w:fill="F2F2F2"/>
          </w:tcPr>
          <w:p>
            <w:pPr>
              <w:spacing w:after="40"/>
            </w:pPr>
            <w:r>
              <w:rPr>
                <w:b/>
                <w:sz w:val="18"/>
              </w:rPr>
              <w:t>Actors</w:t>
            </w:r>
          </w:p>
        </w:tc>
        <w:tc>
          <w:tcPr>
            <w:tcW w:type="dxa" w:w="4759"/>
          </w:tcPr>
          <w:p>
            <w:pPr>
              <w:spacing w:after="40"/>
            </w:pPr>
            <w:r>
              <w:rPr>
                <w:sz w:val="18"/>
              </w:rPr>
              <w:t>Coordinator → securities token contract, and → authoritative register.</w:t>
            </w:r>
          </w:p>
        </w:tc>
      </w:tr>
      <w:tr>
        <w:tc>
          <w:tcPr>
            <w:tcW w:type="dxa" w:w="4759"/>
            <w:shd w:val="clear" w:fill="F2F2F2"/>
          </w:tcPr>
          <w:p>
            <w:pPr>
              <w:spacing w:after="40"/>
            </w:pPr>
            <w:r>
              <w:rPr>
                <w:b/>
                <w:sz w:val="18"/>
              </w:rPr>
              <w:t>Trigger</w:t>
            </w:r>
          </w:p>
        </w:tc>
        <w:tc>
          <w:tcPr>
            <w:tcW w:type="dxa" w:w="4759"/>
          </w:tcPr>
          <w:p>
            <w:pPr>
              <w:spacing w:after="40"/>
            </w:pPr>
            <w:r>
              <w:rPr>
                <w:sz w:val="18"/>
              </w:rPr>
              <w:t>Receipt of T2.</w:t>
            </w:r>
          </w:p>
        </w:tc>
      </w:tr>
      <w:tr>
        <w:tc>
          <w:tcPr>
            <w:tcW w:type="dxa" w:w="4759"/>
            <w:shd w:val="clear" w:fill="F2F2F2"/>
          </w:tcPr>
          <w:p>
            <w:pPr>
              <w:spacing w:after="40"/>
            </w:pPr>
            <w:r>
              <w:rPr>
                <w:b/>
                <w:sz w:val="18"/>
              </w:rPr>
              <w:t>Preconditions</w:t>
            </w:r>
          </w:p>
        </w:tc>
        <w:tc>
          <w:tcPr>
            <w:tcW w:type="dxa" w:w="4759"/>
          </w:tcPr>
          <w:p>
            <w:pPr>
              <w:spacing w:after="40"/>
            </w:pPr>
            <w:r>
              <w:rPr>
                <w:sz w:val="18"/>
              </w:rPr>
              <w:t>On ACSC: the cash has settled. On RJCT: the cash has definitively not settled.</w:t>
            </w:r>
          </w:p>
        </w:tc>
      </w:tr>
      <w:tr>
        <w:tc>
          <w:tcPr>
            <w:tcW w:type="dxa" w:w="4759"/>
            <w:shd w:val="clear" w:fill="F2F2F2"/>
          </w:tcPr>
          <w:p>
            <w:pPr>
              <w:spacing w:after="40"/>
            </w:pPr>
            <w:r>
              <w:rPr>
                <w:b/>
                <w:sz w:val="18"/>
              </w:rPr>
              <w:t>Effect</w:t>
            </w:r>
          </w:p>
        </w:tc>
        <w:tc>
          <w:tcPr>
            <w:tcW w:type="dxa" w:w="4759"/>
          </w:tcPr>
          <w:p>
            <w:pPr>
              <w:spacing w:after="40"/>
            </w:pPr>
            <w:r>
              <w:rPr>
                <w:sz w:val="18"/>
              </w:rPr>
              <w:t>On ACSC the tokens are released to the buyer and the authoritative register is updated. On RJCT the lock is released back to the seller.</w:t>
            </w:r>
          </w:p>
        </w:tc>
      </w:tr>
      <w:tr>
        <w:tc>
          <w:tcPr>
            <w:tcW w:type="dxa" w:w="4759"/>
            <w:shd w:val="clear" w:fill="F2F2F2"/>
          </w:tcPr>
          <w:p>
            <w:pPr>
              <w:spacing w:after="40"/>
            </w:pPr>
            <w:r>
              <w:rPr>
                <w:b/>
                <w:sz w:val="18"/>
              </w:rPr>
              <w:t>Post-condition</w:t>
            </w:r>
          </w:p>
        </w:tc>
        <w:tc>
          <w:tcPr>
            <w:tcW w:type="dxa" w:w="4759"/>
          </w:tcPr>
          <w:p>
            <w:pPr>
              <w:spacing w:after="40"/>
            </w:pPr>
            <w:r>
              <w:rPr>
                <w:sz w:val="18"/>
              </w:rPr>
              <w:t>Both legs are settled, or neither is. The intermediate state is closed.</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Release is commanded ONLY by a confirmed status. Expiry of T_conf never releases and never rolls back.</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R05, R01, R06, R10</w:t>
            </w:r>
          </w:p>
        </w:tc>
      </w:tr>
    </w:tbl>
    <w:p>
      <w:pPr>
        <w:spacing w:before="240" w:after="120"/>
        <w:jc w:val="left"/>
      </w:pPr>
      <w:r>
        <w:rPr>
          <w:b/>
          <w:color w:val="000000"/>
          <w:sz w:val="24"/>
        </w:rPr>
        <w:t>I4c — Recovery on timeout</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w:t>
            </w:r>
          </w:p>
        </w:tc>
      </w:tr>
      <w:tr>
        <w:tc>
          <w:tcPr>
            <w:tcW w:type="dxa" w:w="4759"/>
            <w:shd w:val="clear" w:fill="F2F2F2"/>
          </w:tcPr>
          <w:p>
            <w:pPr>
              <w:spacing w:after="40"/>
            </w:pPr>
            <w:r>
              <w:rPr>
                <w:b/>
                <w:sz w:val="18"/>
              </w:rPr>
              <w:t>Actors</w:t>
            </w:r>
          </w:p>
        </w:tc>
        <w:tc>
          <w:tcPr>
            <w:tcW w:type="dxa" w:w="4759"/>
          </w:tcPr>
          <w:p>
            <w:pPr>
              <w:spacing w:after="40"/>
            </w:pPr>
            <w:r>
              <w:rPr>
                <w:sz w:val="18"/>
              </w:rPr>
              <w:t>Coordinator → RTGS (enquiry), then → securities token contract.</w:t>
            </w:r>
          </w:p>
        </w:tc>
      </w:tr>
      <w:tr>
        <w:tc>
          <w:tcPr>
            <w:tcW w:type="dxa" w:w="4759"/>
            <w:shd w:val="clear" w:fill="F2F2F2"/>
          </w:tcPr>
          <w:p>
            <w:pPr>
              <w:spacing w:after="40"/>
            </w:pPr>
            <w:r>
              <w:rPr>
                <w:b/>
                <w:sz w:val="18"/>
              </w:rPr>
              <w:t>Trigger</w:t>
            </w:r>
          </w:p>
        </w:tc>
        <w:tc>
          <w:tcPr>
            <w:tcW w:type="dxa" w:w="4759"/>
          </w:tcPr>
          <w:p>
            <w:pPr>
              <w:spacing w:after="40"/>
            </w:pPr>
            <w:r>
              <w:rPr>
                <w:sz w:val="18"/>
              </w:rPr>
              <w:t>Expiry of T_conf with no T2 received.</w:t>
            </w:r>
          </w:p>
        </w:tc>
      </w:tr>
      <w:tr>
        <w:tc>
          <w:tcPr>
            <w:tcW w:type="dxa" w:w="4759"/>
            <w:shd w:val="clear" w:fill="F2F2F2"/>
          </w:tcPr>
          <w:p>
            <w:pPr>
              <w:spacing w:after="40"/>
            </w:pPr>
            <w:r>
              <w:rPr>
                <w:b/>
                <w:sz w:val="18"/>
              </w:rPr>
              <w:t>Preconditions</w:t>
            </w:r>
          </w:p>
        </w:tc>
        <w:tc>
          <w:tcPr>
            <w:tcW w:type="dxa" w:w="4759"/>
          </w:tcPr>
          <w:p>
            <w:pPr>
              <w:spacing w:after="40"/>
            </w:pPr>
            <w:r>
              <w:rPr>
                <w:sz w:val="18"/>
              </w:rPr>
              <w:t>The securities remain locked. The cash outcome is unknown.</w:t>
            </w:r>
          </w:p>
        </w:tc>
      </w:tr>
      <w:tr>
        <w:tc>
          <w:tcPr>
            <w:tcW w:type="dxa" w:w="4759"/>
            <w:shd w:val="clear" w:fill="F2F2F2"/>
          </w:tcPr>
          <w:p>
            <w:pPr>
              <w:spacing w:after="40"/>
            </w:pPr>
            <w:r>
              <w:rPr>
                <w:b/>
                <w:sz w:val="18"/>
              </w:rPr>
              <w:t>Effect</w:t>
            </w:r>
          </w:p>
        </w:tc>
        <w:tc>
          <w:tcPr>
            <w:tcW w:type="dxa" w:w="4759"/>
          </w:tcPr>
          <w:p>
            <w:pPr>
              <w:spacing w:after="40"/>
            </w:pPr>
            <w:r>
              <w:rPr>
                <w:sz w:val="18"/>
              </w:rPr>
              <w:t>An idempotent status enquiry (T3) is issued; the instruction moves to recovery until an outcome is established.</w:t>
            </w:r>
          </w:p>
        </w:tc>
      </w:tr>
      <w:tr>
        <w:tc>
          <w:tcPr>
            <w:tcW w:type="dxa" w:w="4759"/>
            <w:shd w:val="clear" w:fill="F2F2F2"/>
          </w:tcPr>
          <w:p>
            <w:pPr>
              <w:spacing w:after="40"/>
            </w:pPr>
            <w:r>
              <w:rPr>
                <w:b/>
                <w:sz w:val="18"/>
              </w:rPr>
              <w:t>Post-condition</w:t>
            </w:r>
          </w:p>
        </w:tc>
        <w:tc>
          <w:tcPr>
            <w:tcW w:type="dxa" w:w="4759"/>
          </w:tcPr>
          <w:p>
            <w:pPr>
              <w:spacing w:after="40"/>
            </w:pPr>
            <w:r>
              <w:rPr>
                <w:sz w:val="18"/>
              </w:rPr>
              <w:t>The instruction reaches I4b once an outcome is established. Recovery time, not settlement time, bounds the horizon.</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If the enquiry itself receives no answer, end-of-day reconciliation is the fallback. The lock is held throughout: holding is safe, releasing is not.</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R05, R10, R07</w:t>
            </w:r>
          </w:p>
        </w:tc>
      </w:tr>
    </w:tbl>
    <w:p>
      <w:pPr>
        <w:spacing w:before="240" w:after="120"/>
        <w:jc w:val="left"/>
      </w:pPr>
      <w:r>
        <w:rPr>
          <w:b/>
          <w:color w:val="000000"/>
          <w:sz w:val="24"/>
        </w:rPr>
        <w:t>T3 — Status enquiry (pacs.028) with camt.053 fallback</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w:t>
            </w:r>
          </w:p>
        </w:tc>
      </w:tr>
      <w:tr>
        <w:tc>
          <w:tcPr>
            <w:tcW w:type="dxa" w:w="4759"/>
            <w:shd w:val="clear" w:fill="F2F2F2"/>
          </w:tcPr>
          <w:p>
            <w:pPr>
              <w:spacing w:after="40"/>
            </w:pPr>
            <w:r>
              <w:rPr>
                <w:b/>
                <w:sz w:val="18"/>
              </w:rPr>
              <w:t>Actors</w:t>
            </w:r>
          </w:p>
        </w:tc>
        <w:tc>
          <w:tcPr>
            <w:tcW w:type="dxa" w:w="4759"/>
          </w:tcPr>
          <w:p>
            <w:pPr>
              <w:spacing w:after="40"/>
            </w:pPr>
            <w:r>
              <w:rPr>
                <w:sz w:val="18"/>
              </w:rPr>
              <w:t>Coordinator → RTGS.</w:t>
            </w:r>
          </w:p>
        </w:tc>
      </w:tr>
      <w:tr>
        <w:tc>
          <w:tcPr>
            <w:tcW w:type="dxa" w:w="4759"/>
            <w:shd w:val="clear" w:fill="F2F2F2"/>
          </w:tcPr>
          <w:p>
            <w:pPr>
              <w:spacing w:after="40"/>
            </w:pPr>
            <w:r>
              <w:rPr>
                <w:b/>
                <w:sz w:val="18"/>
              </w:rPr>
              <w:t>Trigger</w:t>
            </w:r>
          </w:p>
        </w:tc>
        <w:tc>
          <w:tcPr>
            <w:tcW w:type="dxa" w:w="4759"/>
          </w:tcPr>
          <w:p>
            <w:pPr>
              <w:spacing w:after="40"/>
            </w:pPr>
            <w:r>
              <w:rPr>
                <w:sz w:val="18"/>
              </w:rPr>
              <w:t>I4c.</w:t>
            </w:r>
          </w:p>
        </w:tc>
      </w:tr>
      <w:tr>
        <w:tc>
          <w:tcPr>
            <w:tcW w:type="dxa" w:w="4759"/>
            <w:shd w:val="clear" w:fill="F2F2F2"/>
          </w:tcPr>
          <w:p>
            <w:pPr>
              <w:spacing w:after="40"/>
            </w:pPr>
            <w:r>
              <w:rPr>
                <w:b/>
                <w:sz w:val="18"/>
              </w:rPr>
              <w:t>Preconditions</w:t>
            </w:r>
          </w:p>
        </w:tc>
        <w:tc>
          <w:tcPr>
            <w:tcW w:type="dxa" w:w="4759"/>
          </w:tcPr>
          <w:p>
            <w:pPr>
              <w:spacing w:after="40"/>
            </w:pPr>
            <w:r>
              <w:rPr>
                <w:sz w:val="18"/>
              </w:rPr>
              <w:t>The original T1 reference is retained by the coordinator.</w:t>
            </w:r>
          </w:p>
        </w:tc>
      </w:tr>
      <w:tr>
        <w:tc>
          <w:tcPr>
            <w:tcW w:type="dxa" w:w="4759"/>
            <w:shd w:val="clear" w:fill="F2F2F2"/>
          </w:tcPr>
          <w:p>
            <w:pPr>
              <w:spacing w:after="40"/>
            </w:pPr>
            <w:r>
              <w:rPr>
                <w:b/>
                <w:sz w:val="18"/>
              </w:rPr>
              <w:t>Effect</w:t>
            </w:r>
          </w:p>
        </w:tc>
        <w:tc>
          <w:tcPr>
            <w:tcW w:type="dxa" w:w="4759"/>
          </w:tcPr>
          <w:p>
            <w:pPr>
              <w:spacing w:after="40"/>
            </w:pPr>
            <w:r>
              <w:rPr>
                <w:sz w:val="18"/>
              </w:rPr>
              <w:t>The RTGS reports the state of the original instruction.</w:t>
            </w:r>
          </w:p>
        </w:tc>
      </w:tr>
      <w:tr>
        <w:tc>
          <w:tcPr>
            <w:tcW w:type="dxa" w:w="4759"/>
            <w:shd w:val="clear" w:fill="F2F2F2"/>
          </w:tcPr>
          <w:p>
            <w:pPr>
              <w:spacing w:after="40"/>
            </w:pPr>
            <w:r>
              <w:rPr>
                <w:b/>
                <w:sz w:val="18"/>
              </w:rPr>
              <w:t>Post-condition</w:t>
            </w:r>
          </w:p>
        </w:tc>
        <w:tc>
          <w:tcPr>
            <w:tcW w:type="dxa" w:w="4759"/>
          </w:tcPr>
          <w:p>
            <w:pPr>
              <w:spacing w:after="40"/>
            </w:pPr>
            <w:r>
              <w:rPr>
                <w:sz w:val="18"/>
              </w:rPr>
              <w:t>The unknown becomes known, and I4b applies.</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The enquiry is idempotent: repeating it neither duplicates a payment nor changes a state.</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R10, R07, R12</w:t>
            </w:r>
          </w:p>
        </w:tc>
      </w:tr>
    </w:tbl>
    <w:p>
      <w:r>
        <w:br w:type="page"/>
      </w:r>
    </w:p>
    <w:p>
      <w:pPr>
        <w:spacing w:before="0" w:after="120"/>
        <w:jc w:val="left"/>
      </w:pPr>
      <w:r>
        <w:rPr>
          <w:b/>
          <w:color w:val="1F3864"/>
          <w:sz w:val="30"/>
        </w:rPr>
        <w:t>O — On-ledger flows (B2 only)</w:t>
      </w:r>
    </w:p>
    <w:p>
      <w:r>
        <w:rPr>
          <w:i/>
          <w:color w:val="1F3864"/>
          <w:sz w:val="20"/>
        </w:rPr>
        <w:t>Integrated platform commit</w:t>
      </w:r>
    </w:p>
    <w:p>
      <w:r>
        <w:t>The O-flows never leave the platform. Their contract is unusual in one respect: O1 and O2 have no independent post-condition, because neither can be observed to have happened on its own. The contract is therefore stated over the pair.</w:t>
      </w:r>
    </w:p>
    <w:p>
      <w:pPr>
        <w:spacing w:before="240" w:after="120"/>
        <w:jc w:val="left"/>
      </w:pPr>
      <w:r>
        <w:rPr>
          <w:b/>
          <w:color w:val="000000"/>
          <w:sz w:val="24"/>
        </w:rPr>
        <w:t>O1 — Securities-leg transfer</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B2</w:t>
            </w:r>
          </w:p>
        </w:tc>
      </w:tr>
      <w:tr>
        <w:tc>
          <w:tcPr>
            <w:tcW w:type="dxa" w:w="4759"/>
            <w:shd w:val="clear" w:fill="F2F2F2"/>
          </w:tcPr>
          <w:p>
            <w:pPr>
              <w:spacing w:after="40"/>
            </w:pPr>
            <w:r>
              <w:rPr>
                <w:b/>
                <w:sz w:val="18"/>
              </w:rPr>
              <w:t>Actors</w:t>
            </w:r>
          </w:p>
        </w:tc>
        <w:tc>
          <w:tcPr>
            <w:tcW w:type="dxa" w:w="4759"/>
          </w:tcPr>
          <w:p>
            <w:pPr>
              <w:spacing w:after="40"/>
            </w:pPr>
            <w:r>
              <w:rPr>
                <w:sz w:val="18"/>
              </w:rPr>
              <w:t>Settlement contract → securities token contract.</w:t>
            </w:r>
          </w:p>
        </w:tc>
      </w:tr>
      <w:tr>
        <w:tc>
          <w:tcPr>
            <w:tcW w:type="dxa" w:w="4759"/>
            <w:shd w:val="clear" w:fill="F2F2F2"/>
          </w:tcPr>
          <w:p>
            <w:pPr>
              <w:spacing w:after="40"/>
            </w:pPr>
            <w:r>
              <w:rPr>
                <w:b/>
                <w:sz w:val="18"/>
              </w:rPr>
              <w:t>Trigger</w:t>
            </w:r>
          </w:p>
        </w:tc>
        <w:tc>
          <w:tcPr>
            <w:tcW w:type="dxa" w:w="4759"/>
          </w:tcPr>
          <w:p>
            <w:pPr>
              <w:spacing w:after="40"/>
            </w:pPr>
            <w:r>
              <w:rPr>
                <w:sz w:val="18"/>
              </w:rPr>
              <w:t>An admitted I3 with the counterparty cosignature recorded.</w:t>
            </w:r>
          </w:p>
        </w:tc>
      </w:tr>
      <w:tr>
        <w:tc>
          <w:tcPr>
            <w:tcW w:type="dxa" w:w="4759"/>
            <w:shd w:val="clear" w:fill="F2F2F2"/>
          </w:tcPr>
          <w:p>
            <w:pPr>
              <w:spacing w:after="40"/>
            </w:pPr>
            <w:r>
              <w:rPr>
                <w:b/>
                <w:sz w:val="18"/>
              </w:rPr>
              <w:t>Preconditions</w:t>
            </w:r>
          </w:p>
        </w:tc>
        <w:tc>
          <w:tcPr>
            <w:tcW w:type="dxa" w:w="4759"/>
          </w:tcPr>
          <w:p>
            <w:pPr>
              <w:spacing w:after="40"/>
            </w:pPr>
            <w:r>
              <w:rPr>
                <w:sz w:val="18"/>
              </w:rPr>
              <w:t>The caller is the settlement contract, verified from the signed proposal. The seller's balance is sufficient.</w:t>
            </w:r>
          </w:p>
        </w:tc>
      </w:tr>
      <w:tr>
        <w:tc>
          <w:tcPr>
            <w:tcW w:type="dxa" w:w="4759"/>
            <w:shd w:val="clear" w:fill="F2F2F2"/>
          </w:tcPr>
          <w:p>
            <w:pPr>
              <w:spacing w:after="40"/>
            </w:pPr>
            <w:r>
              <w:rPr>
                <w:b/>
                <w:sz w:val="18"/>
              </w:rPr>
              <w:t>Effect</w:t>
            </w:r>
          </w:p>
        </w:tc>
        <w:tc>
          <w:tcPr>
            <w:tcW w:type="dxa" w:w="4759"/>
          </w:tcPr>
          <w:p>
            <w:pPr>
              <w:spacing w:after="40"/>
            </w:pPr>
            <w:r>
              <w:rPr>
                <w:sz w:val="18"/>
              </w:rPr>
              <w:t>The securities balance change is written into the transaction's read/write set.</w:t>
            </w:r>
          </w:p>
        </w:tc>
      </w:tr>
      <w:tr>
        <w:tc>
          <w:tcPr>
            <w:tcW w:type="dxa" w:w="4759"/>
            <w:shd w:val="clear" w:fill="F2F2F2"/>
          </w:tcPr>
          <w:p>
            <w:pPr>
              <w:spacing w:after="40"/>
            </w:pPr>
            <w:r>
              <w:rPr>
                <w:b/>
                <w:sz w:val="18"/>
              </w:rPr>
              <w:t>Post-condition</w:t>
            </w:r>
          </w:p>
        </w:tc>
        <w:tc>
          <w:tcPr>
            <w:tcW w:type="dxa" w:w="4759"/>
          </w:tcPr>
          <w:p>
            <w:pPr>
              <w:spacing w:after="40"/>
            </w:pPr>
            <w:r>
              <w:rPr>
                <w:sz w:val="18"/>
              </w:rPr>
              <w:t>None on its own. O1 has no observable outcome independent of O2.</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A failure raises and invalidates the whole transaction. Nothing is written.</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R05, R06</w:t>
            </w:r>
          </w:p>
        </w:tc>
      </w:tr>
    </w:tbl>
    <w:p>
      <w:pPr>
        <w:spacing w:before="240" w:after="120"/>
        <w:jc w:val="left"/>
      </w:pPr>
      <w:r>
        <w:rPr>
          <w:b/>
          <w:color w:val="000000"/>
          <w:sz w:val="24"/>
        </w:rPr>
        <w:t>O2 — Cash-leg transfer</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B2</w:t>
            </w:r>
          </w:p>
        </w:tc>
      </w:tr>
      <w:tr>
        <w:tc>
          <w:tcPr>
            <w:tcW w:type="dxa" w:w="4759"/>
            <w:shd w:val="clear" w:fill="F2F2F2"/>
          </w:tcPr>
          <w:p>
            <w:pPr>
              <w:spacing w:after="40"/>
            </w:pPr>
            <w:r>
              <w:rPr>
                <w:b/>
                <w:sz w:val="18"/>
              </w:rPr>
              <w:t>Actors</w:t>
            </w:r>
          </w:p>
        </w:tc>
        <w:tc>
          <w:tcPr>
            <w:tcW w:type="dxa" w:w="4759"/>
          </w:tcPr>
          <w:p>
            <w:pPr>
              <w:spacing w:after="40"/>
            </w:pPr>
            <w:r>
              <w:rPr>
                <w:sz w:val="18"/>
              </w:rPr>
              <w:t>Settlement contract → cash token contract.</w:t>
            </w:r>
          </w:p>
        </w:tc>
      </w:tr>
      <w:tr>
        <w:tc>
          <w:tcPr>
            <w:tcW w:type="dxa" w:w="4759"/>
            <w:shd w:val="clear" w:fill="F2F2F2"/>
          </w:tcPr>
          <w:p>
            <w:pPr>
              <w:spacing w:after="40"/>
            </w:pPr>
            <w:r>
              <w:rPr>
                <w:b/>
                <w:sz w:val="18"/>
              </w:rPr>
              <w:t>Trigger</w:t>
            </w:r>
          </w:p>
        </w:tc>
        <w:tc>
          <w:tcPr>
            <w:tcW w:type="dxa" w:w="4759"/>
          </w:tcPr>
          <w:p>
            <w:pPr>
              <w:spacing w:after="40"/>
            </w:pPr>
            <w:r>
              <w:rPr>
                <w:sz w:val="18"/>
              </w:rPr>
              <w:t>The same invocation as O1.</w:t>
            </w:r>
          </w:p>
        </w:tc>
      </w:tr>
      <w:tr>
        <w:tc>
          <w:tcPr>
            <w:tcW w:type="dxa" w:w="4759"/>
            <w:shd w:val="clear" w:fill="F2F2F2"/>
          </w:tcPr>
          <w:p>
            <w:pPr>
              <w:spacing w:after="40"/>
            </w:pPr>
            <w:r>
              <w:rPr>
                <w:b/>
                <w:sz w:val="18"/>
              </w:rPr>
              <w:t>Preconditions</w:t>
            </w:r>
          </w:p>
        </w:tc>
        <w:tc>
          <w:tcPr>
            <w:tcW w:type="dxa" w:w="4759"/>
          </w:tcPr>
          <w:p>
            <w:pPr>
              <w:spacing w:after="40"/>
            </w:pPr>
            <w:r>
              <w:rPr>
                <w:sz w:val="18"/>
              </w:rPr>
              <w:t>The caller is the settlement contract, verified from the signed proposal. The buyer's balance is sufficient; otherwise the instruction moves to the reservation state instead.</w:t>
            </w:r>
          </w:p>
        </w:tc>
      </w:tr>
      <w:tr>
        <w:tc>
          <w:tcPr>
            <w:tcW w:type="dxa" w:w="4759"/>
            <w:shd w:val="clear" w:fill="F2F2F2"/>
          </w:tcPr>
          <w:p>
            <w:pPr>
              <w:spacing w:after="40"/>
            </w:pPr>
            <w:r>
              <w:rPr>
                <w:b/>
                <w:sz w:val="18"/>
              </w:rPr>
              <w:t>Effect</w:t>
            </w:r>
          </w:p>
        </w:tc>
        <w:tc>
          <w:tcPr>
            <w:tcW w:type="dxa" w:w="4759"/>
          </w:tcPr>
          <w:p>
            <w:pPr>
              <w:spacing w:after="40"/>
            </w:pPr>
            <w:r>
              <w:rPr>
                <w:sz w:val="18"/>
              </w:rPr>
              <w:t>The cash balance change is written into the same read/write set.</w:t>
            </w:r>
          </w:p>
        </w:tc>
      </w:tr>
      <w:tr>
        <w:tc>
          <w:tcPr>
            <w:tcW w:type="dxa" w:w="4759"/>
            <w:shd w:val="clear" w:fill="F2F2F2"/>
          </w:tcPr>
          <w:p>
            <w:pPr>
              <w:spacing w:after="40"/>
            </w:pPr>
            <w:r>
              <w:rPr>
                <w:b/>
                <w:sz w:val="18"/>
              </w:rPr>
              <w:t>Post-condition</w:t>
            </w:r>
          </w:p>
        </w:tc>
        <w:tc>
          <w:tcPr>
            <w:tcW w:type="dxa" w:w="4759"/>
          </w:tcPr>
          <w:p>
            <w:pPr>
              <w:spacing w:after="40"/>
            </w:pPr>
            <w:r>
              <w:rPr>
                <w:sz w:val="18"/>
              </w:rPr>
              <w:t>None on its own.</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A failure raises and invalidates the whole transaction, including O1.</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R04, R05</w:t>
            </w:r>
          </w:p>
        </w:tc>
      </w:tr>
    </w:tbl>
    <w:p>
      <w:pPr>
        <w:spacing w:before="240" w:after="120"/>
        <w:jc w:val="left"/>
      </w:pPr>
      <w:r>
        <w:rPr>
          <w:b/>
          <w:color w:val="000000"/>
          <w:sz w:val="24"/>
        </w:rPr>
        <w:t>O1 + O2 — The pair (the atomicity contract)</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B2</w:t>
            </w:r>
          </w:p>
        </w:tc>
      </w:tr>
      <w:tr>
        <w:tc>
          <w:tcPr>
            <w:tcW w:type="dxa" w:w="4759"/>
            <w:shd w:val="clear" w:fill="F2F2F2"/>
          </w:tcPr>
          <w:p>
            <w:pPr>
              <w:spacing w:after="40"/>
            </w:pPr>
            <w:r>
              <w:rPr>
                <w:b/>
                <w:sz w:val="18"/>
              </w:rPr>
              <w:t>Actors</w:t>
            </w:r>
          </w:p>
        </w:tc>
        <w:tc>
          <w:tcPr>
            <w:tcW w:type="dxa" w:w="4759"/>
          </w:tcPr>
          <w:p>
            <w:pPr>
              <w:spacing w:after="40"/>
            </w:pPr>
            <w:r>
              <w:rPr>
                <w:sz w:val="18"/>
              </w:rPr>
              <w:t>Platform validation model.</w:t>
            </w:r>
          </w:p>
        </w:tc>
      </w:tr>
      <w:tr>
        <w:tc>
          <w:tcPr>
            <w:tcW w:type="dxa" w:w="4759"/>
            <w:shd w:val="clear" w:fill="F2F2F2"/>
          </w:tcPr>
          <w:p>
            <w:pPr>
              <w:spacing w:after="40"/>
            </w:pPr>
            <w:r>
              <w:rPr>
                <w:b/>
                <w:sz w:val="18"/>
              </w:rPr>
              <w:t>Trigger</w:t>
            </w:r>
          </w:p>
        </w:tc>
        <w:tc>
          <w:tcPr>
            <w:tcW w:type="dxa" w:w="4759"/>
          </w:tcPr>
          <w:p>
            <w:pPr>
              <w:spacing w:after="40"/>
            </w:pPr>
            <w:r>
              <w:rPr>
                <w:sz w:val="18"/>
              </w:rPr>
              <w:t>Commitment of the transaction carrying both invocations.</w:t>
            </w:r>
          </w:p>
        </w:tc>
      </w:tr>
      <w:tr>
        <w:tc>
          <w:tcPr>
            <w:tcW w:type="dxa" w:w="4759"/>
            <w:shd w:val="clear" w:fill="F2F2F2"/>
          </w:tcPr>
          <w:p>
            <w:pPr>
              <w:spacing w:after="40"/>
            </w:pPr>
            <w:r>
              <w:rPr>
                <w:b/>
                <w:sz w:val="18"/>
              </w:rPr>
              <w:t>Preconditions</w:t>
            </w:r>
          </w:p>
        </w:tc>
        <w:tc>
          <w:tcPr>
            <w:tcW w:type="dxa" w:w="4759"/>
          </w:tcPr>
          <w:p>
            <w:pPr>
              <w:spacing w:after="40"/>
            </w:pPr>
            <w:r>
              <w:rPr>
                <w:sz w:val="18"/>
              </w:rPr>
              <w:t>Both invocations returned successfully during endorsement.</w:t>
            </w:r>
          </w:p>
        </w:tc>
      </w:tr>
      <w:tr>
        <w:tc>
          <w:tcPr>
            <w:tcW w:type="dxa" w:w="4759"/>
            <w:shd w:val="clear" w:fill="F2F2F2"/>
          </w:tcPr>
          <w:p>
            <w:pPr>
              <w:spacing w:after="40"/>
            </w:pPr>
            <w:r>
              <w:rPr>
                <w:b/>
                <w:sz w:val="18"/>
              </w:rPr>
              <w:t>Effect</w:t>
            </w:r>
          </w:p>
        </w:tc>
        <w:tc>
          <w:tcPr>
            <w:tcW w:type="dxa" w:w="4759"/>
          </w:tcPr>
          <w:p>
            <w:pPr>
              <w:spacing w:after="40"/>
            </w:pPr>
            <w:r>
              <w:rPr>
                <w:sz w:val="18"/>
              </w:rPr>
              <w:t>Both balance changes commit, or the transaction is invalidated and neither does.</w:t>
            </w:r>
          </w:p>
        </w:tc>
      </w:tr>
      <w:tr>
        <w:tc>
          <w:tcPr>
            <w:tcW w:type="dxa" w:w="4759"/>
            <w:shd w:val="clear" w:fill="F2F2F2"/>
          </w:tcPr>
          <w:p>
            <w:pPr>
              <w:spacing w:after="40"/>
            </w:pPr>
            <w:r>
              <w:rPr>
                <w:b/>
                <w:sz w:val="18"/>
              </w:rPr>
              <w:t>Post-condition</w:t>
            </w:r>
          </w:p>
        </w:tc>
        <w:tc>
          <w:tcPr>
            <w:tcW w:type="dxa" w:w="4759"/>
          </w:tcPr>
          <w:p>
            <w:pPr>
              <w:spacing w:after="40"/>
            </w:pPr>
            <w:r>
              <w:rPr>
                <w:sz w:val="18"/>
              </w:rPr>
              <w:t>No committed state contains one settled leg. This is the DvP invariant, and it is a property of the platform rather than of the contract.</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There is no compensating action, because there is nothing to compensate: an invalid transaction leaves no trace in world state.</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R05</w:t>
            </w:r>
          </w:p>
        </w:tc>
      </w:tr>
    </w:tbl>
    <w:p>
      <w:pPr>
        <w:spacing w:before="240" w:after="120"/>
        <w:jc w:val="left"/>
      </w:pPr>
      <w:r>
        <w:rPr>
          <w:b/>
          <w:color w:val="000000"/>
          <w:sz w:val="24"/>
        </w:rPr>
        <w:t>Caller guard on the token contracts</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B2</w:t>
            </w:r>
          </w:p>
        </w:tc>
      </w:tr>
      <w:tr>
        <w:tc>
          <w:tcPr>
            <w:tcW w:type="dxa" w:w="4759"/>
            <w:shd w:val="clear" w:fill="F2F2F2"/>
          </w:tcPr>
          <w:p>
            <w:pPr>
              <w:spacing w:after="40"/>
            </w:pPr>
            <w:r>
              <w:rPr>
                <w:b/>
                <w:sz w:val="18"/>
              </w:rPr>
              <w:t>Actors</w:t>
            </w:r>
          </w:p>
        </w:tc>
        <w:tc>
          <w:tcPr>
            <w:tcW w:type="dxa" w:w="4759"/>
          </w:tcPr>
          <w:p>
            <w:pPr>
              <w:spacing w:after="40"/>
            </w:pPr>
            <w:r>
              <w:rPr>
                <w:sz w:val="18"/>
              </w:rPr>
              <w:t>Both token contracts (guard), invoked by any client.</w:t>
            </w:r>
          </w:p>
        </w:tc>
      </w:tr>
      <w:tr>
        <w:tc>
          <w:tcPr>
            <w:tcW w:type="dxa" w:w="4759"/>
            <w:shd w:val="clear" w:fill="F2F2F2"/>
          </w:tcPr>
          <w:p>
            <w:pPr>
              <w:spacing w:after="40"/>
            </w:pPr>
            <w:r>
              <w:rPr>
                <w:b/>
                <w:sz w:val="18"/>
              </w:rPr>
              <w:t>Trigger</w:t>
            </w:r>
          </w:p>
        </w:tc>
        <w:tc>
          <w:tcPr>
            <w:tcW w:type="dxa" w:w="4759"/>
          </w:tcPr>
          <w:p>
            <w:pPr>
              <w:spacing w:after="40"/>
            </w:pPr>
            <w:r>
              <w:rPr>
                <w:sz w:val="18"/>
              </w:rPr>
              <w:t>Any call to a settlement entry point of either token contract.</w:t>
            </w:r>
          </w:p>
        </w:tc>
      </w:tr>
      <w:tr>
        <w:tc>
          <w:tcPr>
            <w:tcW w:type="dxa" w:w="4759"/>
            <w:shd w:val="clear" w:fill="F2F2F2"/>
          </w:tcPr>
          <w:p>
            <w:pPr>
              <w:spacing w:after="40"/>
            </w:pPr>
            <w:r>
              <w:rPr>
                <w:b/>
                <w:sz w:val="18"/>
              </w:rPr>
              <w:t>Preconditions</w:t>
            </w:r>
          </w:p>
        </w:tc>
        <w:tc>
          <w:tcPr>
            <w:tcW w:type="dxa" w:w="4759"/>
          </w:tcPr>
          <w:p>
            <w:pPr>
              <w:spacing w:after="40"/>
            </w:pPr>
            <w:r>
              <w:rPr>
                <w:sz w:val="18"/>
              </w:rPr>
              <w:t>The guard parses the client's signed proposal.</w:t>
            </w:r>
          </w:p>
        </w:tc>
      </w:tr>
      <w:tr>
        <w:tc>
          <w:tcPr>
            <w:tcW w:type="dxa" w:w="4759"/>
            <w:shd w:val="clear" w:fill="F2F2F2"/>
          </w:tcPr>
          <w:p>
            <w:pPr>
              <w:spacing w:after="40"/>
            </w:pPr>
            <w:r>
              <w:rPr>
                <w:b/>
                <w:sz w:val="18"/>
              </w:rPr>
              <w:t>Effect</w:t>
            </w:r>
          </w:p>
        </w:tc>
        <w:tc>
          <w:tcPr>
            <w:tcW w:type="dxa" w:w="4759"/>
          </w:tcPr>
          <w:p>
            <w:pPr>
              <w:spacing w:after="40"/>
            </w:pPr>
            <w:r>
              <w:rPr>
                <w:sz w:val="18"/>
              </w:rPr>
              <w:t>The call proceeds only if the transaction targets the settlement chaincode; otherwise it is refused.</w:t>
            </w:r>
          </w:p>
        </w:tc>
      </w:tr>
      <w:tr>
        <w:tc>
          <w:tcPr>
            <w:tcW w:type="dxa" w:w="4759"/>
            <w:shd w:val="clear" w:fill="F2F2F2"/>
          </w:tcPr>
          <w:p>
            <w:pPr>
              <w:spacing w:after="40"/>
            </w:pPr>
            <w:r>
              <w:rPr>
                <w:b/>
                <w:sz w:val="18"/>
              </w:rPr>
              <w:t>Post-condition</w:t>
            </w:r>
          </w:p>
        </w:tc>
        <w:tc>
          <w:tcPr>
            <w:tcW w:type="dxa" w:w="4759"/>
          </w:tcPr>
          <w:p>
            <w:pPr>
              <w:spacing w:after="40"/>
            </w:pPr>
            <w:r>
              <w:rPr>
                <w:sz w:val="18"/>
              </w:rPr>
              <w:t>One-legged execution is unavailable to any client, not merely absent from the tested scenarios.</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An unauthorised call is refused and no balance changes. Tested directly as probe T8.</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R05, R14, R16</w:t>
            </w:r>
          </w:p>
        </w:tc>
      </w:tr>
    </w:tbl>
    <w:p>
      <w:r>
        <w:br w:type="page"/>
      </w:r>
    </w:p>
    <w:p>
      <w:pPr>
        <w:spacing w:before="0" w:after="120"/>
        <w:jc w:val="left"/>
      </w:pPr>
      <w:r>
        <w:rPr>
          <w:b/>
          <w:color w:val="1F3864"/>
          <w:sz w:val="30"/>
        </w:rPr>
        <w:t>H — Hashed time-lock flows (B3 only)</w:t>
      </w:r>
    </w:p>
    <w:p>
      <w:r>
        <w:rPr>
          <w:i/>
          <w:color w:val="1F3864"/>
          <w:sz w:val="20"/>
        </w:rPr>
        <w:t>Cross-ledger cryptographic locks</w:t>
      </w:r>
    </w:p>
    <w:p>
      <w:r>
        <w:t>The H-flows run on two sovereign registers with no component in common. The ordering constraint between them, and the strict nesting of their windows, is the entire mechanism: there is nothing else holding the two legs together.</w:t>
      </w:r>
    </w:p>
    <w:p>
      <w:pPr>
        <w:spacing w:before="240" w:after="120"/>
        <w:jc w:val="left"/>
      </w:pPr>
      <w:r>
        <w:rPr>
          <w:b/>
          <w:color w:val="000000"/>
          <w:sz w:val="24"/>
        </w:rPr>
        <w:t>H1 — Lock securities under (h, T_sec)</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B3</w:t>
            </w:r>
          </w:p>
        </w:tc>
      </w:tr>
      <w:tr>
        <w:tc>
          <w:tcPr>
            <w:tcW w:type="dxa" w:w="4759"/>
            <w:shd w:val="clear" w:fill="F2F2F2"/>
          </w:tcPr>
          <w:p>
            <w:pPr>
              <w:spacing w:after="40"/>
            </w:pPr>
            <w:r>
              <w:rPr>
                <w:b/>
                <w:sz w:val="18"/>
              </w:rPr>
              <w:t>Actors</w:t>
            </w:r>
          </w:p>
        </w:tc>
        <w:tc>
          <w:tcPr>
            <w:tcW w:type="dxa" w:w="4759"/>
          </w:tcPr>
          <w:p>
            <w:pPr>
              <w:spacing w:after="40"/>
            </w:pPr>
            <w:r>
              <w:rPr>
                <w:sz w:val="18"/>
              </w:rPr>
              <w:t>Seller → securities register lock contract.</w:t>
            </w:r>
          </w:p>
        </w:tc>
      </w:tr>
      <w:tr>
        <w:tc>
          <w:tcPr>
            <w:tcW w:type="dxa" w:w="4759"/>
            <w:shd w:val="clear" w:fill="F2F2F2"/>
          </w:tcPr>
          <w:p>
            <w:pPr>
              <w:spacing w:after="40"/>
            </w:pPr>
            <w:r>
              <w:rPr>
                <w:b/>
                <w:sz w:val="18"/>
              </w:rPr>
              <w:t>Trigger</w:t>
            </w:r>
          </w:p>
        </w:tc>
        <w:tc>
          <w:tcPr>
            <w:tcW w:type="dxa" w:w="4759"/>
          </w:tcPr>
          <w:p>
            <w:pPr>
              <w:spacing w:after="40"/>
            </w:pPr>
            <w:r>
              <w:rPr>
                <w:sz w:val="18"/>
              </w:rPr>
              <w:t>The parties agree the trade and the seller chooses a secret s with h = H(s).</w:t>
            </w:r>
          </w:p>
        </w:tc>
      </w:tr>
      <w:tr>
        <w:tc>
          <w:tcPr>
            <w:tcW w:type="dxa" w:w="4759"/>
            <w:shd w:val="clear" w:fill="F2F2F2"/>
          </w:tcPr>
          <w:p>
            <w:pPr>
              <w:spacing w:after="40"/>
            </w:pPr>
            <w:r>
              <w:rPr>
                <w:b/>
                <w:sz w:val="18"/>
              </w:rPr>
              <w:t>Preconditions</w:t>
            </w:r>
          </w:p>
        </w:tc>
        <w:tc>
          <w:tcPr>
            <w:tcW w:type="dxa" w:w="4759"/>
          </w:tcPr>
          <w:p>
            <w:pPr>
              <w:spacing w:after="40"/>
            </w:pPr>
            <w:r>
              <w:rPr>
                <w:sz w:val="18"/>
              </w:rPr>
              <w:t>The seller holds the securities. T_sec is set within the parameters the rulebook allows.</w:t>
            </w:r>
          </w:p>
        </w:tc>
      </w:tr>
      <w:tr>
        <w:tc>
          <w:tcPr>
            <w:tcW w:type="dxa" w:w="4759"/>
            <w:shd w:val="clear" w:fill="F2F2F2"/>
          </w:tcPr>
          <w:p>
            <w:pPr>
              <w:spacing w:after="40"/>
            </w:pPr>
            <w:r>
              <w:rPr>
                <w:b/>
                <w:sz w:val="18"/>
              </w:rPr>
              <w:t>Effect</w:t>
            </w:r>
          </w:p>
        </w:tc>
        <w:tc>
          <w:tcPr>
            <w:tcW w:type="dxa" w:w="4759"/>
          </w:tcPr>
          <w:p>
            <w:pPr>
              <w:spacing w:after="40"/>
            </w:pPr>
            <w:r>
              <w:rPr>
                <w:sz w:val="18"/>
              </w:rPr>
              <w:t>The securities are escrowed, claimable on presentation of s before T_sec.</w:t>
            </w:r>
          </w:p>
        </w:tc>
      </w:tr>
      <w:tr>
        <w:tc>
          <w:tcPr>
            <w:tcW w:type="dxa" w:w="4759"/>
            <w:shd w:val="clear" w:fill="F2F2F2"/>
          </w:tcPr>
          <w:p>
            <w:pPr>
              <w:spacing w:after="40"/>
            </w:pPr>
            <w:r>
              <w:rPr>
                <w:b/>
                <w:sz w:val="18"/>
              </w:rPr>
              <w:t>Post-condition</w:t>
            </w:r>
          </w:p>
        </w:tc>
        <w:tc>
          <w:tcPr>
            <w:tcW w:type="dxa" w:w="4759"/>
          </w:tcPr>
          <w:p>
            <w:pPr>
              <w:spacing w:after="40"/>
            </w:pPr>
            <w:r>
              <w:rPr>
                <w:sz w:val="18"/>
              </w:rPr>
              <w:t>The securities are locked. Nothing binds the buyer yet.</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If the buyer never places H2, the securities return to the seller at T_sec. Only the seller has been exposed, and only to a delay.</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R05, R06, R10</w:t>
            </w:r>
          </w:p>
        </w:tc>
      </w:tr>
    </w:tbl>
    <w:p>
      <w:pPr>
        <w:spacing w:before="240" w:after="120"/>
        <w:jc w:val="left"/>
      </w:pPr>
      <w:r>
        <w:rPr>
          <w:b/>
          <w:color w:val="000000"/>
          <w:sz w:val="24"/>
        </w:rPr>
        <w:t>H2 — Lock cash under (h, T_cash)</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B3</w:t>
            </w:r>
          </w:p>
        </w:tc>
      </w:tr>
      <w:tr>
        <w:tc>
          <w:tcPr>
            <w:tcW w:type="dxa" w:w="4759"/>
            <w:shd w:val="clear" w:fill="F2F2F2"/>
          </w:tcPr>
          <w:p>
            <w:pPr>
              <w:spacing w:after="40"/>
            </w:pPr>
            <w:r>
              <w:rPr>
                <w:b/>
                <w:sz w:val="18"/>
              </w:rPr>
              <w:t>Actors</w:t>
            </w:r>
          </w:p>
        </w:tc>
        <w:tc>
          <w:tcPr>
            <w:tcW w:type="dxa" w:w="4759"/>
          </w:tcPr>
          <w:p>
            <w:pPr>
              <w:spacing w:after="40"/>
            </w:pPr>
            <w:r>
              <w:rPr>
                <w:sz w:val="18"/>
              </w:rPr>
              <w:t>Buyer → cash register lock contract.</w:t>
            </w:r>
          </w:p>
        </w:tc>
      </w:tr>
      <w:tr>
        <w:tc>
          <w:tcPr>
            <w:tcW w:type="dxa" w:w="4759"/>
            <w:shd w:val="clear" w:fill="F2F2F2"/>
          </w:tcPr>
          <w:p>
            <w:pPr>
              <w:spacing w:after="40"/>
            </w:pPr>
            <w:r>
              <w:rPr>
                <w:b/>
                <w:sz w:val="18"/>
              </w:rPr>
              <w:t>Trigger</w:t>
            </w:r>
          </w:p>
        </w:tc>
        <w:tc>
          <w:tcPr>
            <w:tcW w:type="dxa" w:w="4759"/>
          </w:tcPr>
          <w:p>
            <w:pPr>
              <w:spacing w:after="40"/>
            </w:pPr>
            <w:r>
              <w:rPr>
                <w:sz w:val="18"/>
              </w:rPr>
              <w:t>The buyer verifies H1 on the securities register.</w:t>
            </w:r>
          </w:p>
        </w:tc>
      </w:tr>
      <w:tr>
        <w:tc>
          <w:tcPr>
            <w:tcW w:type="dxa" w:w="4759"/>
            <w:shd w:val="clear" w:fill="F2F2F2"/>
          </w:tcPr>
          <w:p>
            <w:pPr>
              <w:spacing w:after="40"/>
            </w:pPr>
            <w:r>
              <w:rPr>
                <w:b/>
                <w:sz w:val="18"/>
              </w:rPr>
              <w:t>Preconditions</w:t>
            </w:r>
          </w:p>
        </w:tc>
        <w:tc>
          <w:tcPr>
            <w:tcW w:type="dxa" w:w="4759"/>
          </w:tcPr>
          <w:p>
            <w:pPr>
              <w:spacing w:after="40"/>
            </w:pPr>
            <w:r>
              <w:rPr>
                <w:sz w:val="18"/>
              </w:rPr>
              <w:t>H1 is in place with hash h. T_cash is strictly shorter than T_sec.</w:t>
            </w:r>
          </w:p>
        </w:tc>
      </w:tr>
      <w:tr>
        <w:tc>
          <w:tcPr>
            <w:tcW w:type="dxa" w:w="4759"/>
            <w:shd w:val="clear" w:fill="F2F2F2"/>
          </w:tcPr>
          <w:p>
            <w:pPr>
              <w:spacing w:after="40"/>
            </w:pPr>
            <w:r>
              <w:rPr>
                <w:b/>
                <w:sz w:val="18"/>
              </w:rPr>
              <w:t>Effect</w:t>
            </w:r>
          </w:p>
        </w:tc>
        <w:tc>
          <w:tcPr>
            <w:tcW w:type="dxa" w:w="4759"/>
          </w:tcPr>
          <w:p>
            <w:pPr>
              <w:spacing w:after="40"/>
            </w:pPr>
            <w:r>
              <w:rPr>
                <w:sz w:val="18"/>
              </w:rPr>
              <w:t>The cash is escrowed, claimable on presentation of s before T_cash.</w:t>
            </w:r>
          </w:p>
        </w:tc>
      </w:tr>
      <w:tr>
        <w:tc>
          <w:tcPr>
            <w:tcW w:type="dxa" w:w="4759"/>
            <w:shd w:val="clear" w:fill="F2F2F2"/>
          </w:tcPr>
          <w:p>
            <w:pPr>
              <w:spacing w:after="40"/>
            </w:pPr>
            <w:r>
              <w:rPr>
                <w:b/>
                <w:sz w:val="18"/>
              </w:rPr>
              <w:t>Post-condition</w:t>
            </w:r>
          </w:p>
        </w:tc>
        <w:tc>
          <w:tcPr>
            <w:tcW w:type="dxa" w:w="4759"/>
          </w:tcPr>
          <w:p>
            <w:pPr>
              <w:spacing w:after="40"/>
            </w:pPr>
            <w:r>
              <w:rPr>
                <w:sz w:val="18"/>
              </w:rPr>
              <w:t>Both legs are escrowed under one secret, in strictly nested windows.</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If T_cash is not strictly shorter than T_sec, the mechanism is unsafe and the lock must be refused. This ordering constraint IS the mechanism.</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R04, R05, R09</w:t>
            </w:r>
          </w:p>
        </w:tc>
      </w:tr>
    </w:tbl>
    <w:p>
      <w:pPr>
        <w:spacing w:before="240" w:after="120"/>
        <w:jc w:val="left"/>
      </w:pPr>
      <w:r>
        <w:rPr>
          <w:b/>
          <w:color w:val="000000"/>
          <w:sz w:val="24"/>
        </w:rPr>
        <w:t>H3 — Reveal and claim</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B3</w:t>
            </w:r>
          </w:p>
        </w:tc>
      </w:tr>
      <w:tr>
        <w:tc>
          <w:tcPr>
            <w:tcW w:type="dxa" w:w="4759"/>
            <w:shd w:val="clear" w:fill="F2F2F2"/>
          </w:tcPr>
          <w:p>
            <w:pPr>
              <w:spacing w:after="40"/>
            </w:pPr>
            <w:r>
              <w:rPr>
                <w:b/>
                <w:sz w:val="18"/>
              </w:rPr>
              <w:t>Actors</w:t>
            </w:r>
          </w:p>
        </w:tc>
        <w:tc>
          <w:tcPr>
            <w:tcW w:type="dxa" w:w="4759"/>
          </w:tcPr>
          <w:p>
            <w:pPr>
              <w:spacing w:after="40"/>
            </w:pPr>
            <w:r>
              <w:rPr>
                <w:sz w:val="18"/>
              </w:rPr>
              <w:t>Seller → cash register; then buyer → securities register.</w:t>
            </w:r>
          </w:p>
        </w:tc>
      </w:tr>
      <w:tr>
        <w:tc>
          <w:tcPr>
            <w:tcW w:type="dxa" w:w="4759"/>
            <w:shd w:val="clear" w:fill="F2F2F2"/>
          </w:tcPr>
          <w:p>
            <w:pPr>
              <w:spacing w:after="40"/>
            </w:pPr>
            <w:r>
              <w:rPr>
                <w:b/>
                <w:sz w:val="18"/>
              </w:rPr>
              <w:t>Trigger</w:t>
            </w:r>
          </w:p>
        </w:tc>
        <w:tc>
          <w:tcPr>
            <w:tcW w:type="dxa" w:w="4759"/>
          </w:tcPr>
          <w:p>
            <w:pPr>
              <w:spacing w:after="40"/>
            </w:pPr>
            <w:r>
              <w:rPr>
                <w:sz w:val="18"/>
              </w:rPr>
              <w:t>The seller claims the cash before T_cash expires.</w:t>
            </w:r>
          </w:p>
        </w:tc>
      </w:tr>
      <w:tr>
        <w:tc>
          <w:tcPr>
            <w:tcW w:type="dxa" w:w="4759"/>
            <w:shd w:val="clear" w:fill="F2F2F2"/>
          </w:tcPr>
          <w:p>
            <w:pPr>
              <w:spacing w:after="40"/>
            </w:pPr>
            <w:r>
              <w:rPr>
                <w:b/>
                <w:sz w:val="18"/>
              </w:rPr>
              <w:t>Preconditions</w:t>
            </w:r>
          </w:p>
        </w:tc>
        <w:tc>
          <w:tcPr>
            <w:tcW w:type="dxa" w:w="4759"/>
          </w:tcPr>
          <w:p>
            <w:pPr>
              <w:spacing w:after="40"/>
            </w:pPr>
            <w:r>
              <w:rPr>
                <w:sz w:val="18"/>
              </w:rPr>
              <w:t>H1 and H2 are both in place and neither window has expired.</w:t>
            </w:r>
          </w:p>
        </w:tc>
      </w:tr>
      <w:tr>
        <w:tc>
          <w:tcPr>
            <w:tcW w:type="dxa" w:w="4759"/>
            <w:shd w:val="clear" w:fill="F2F2F2"/>
          </w:tcPr>
          <w:p>
            <w:pPr>
              <w:spacing w:after="40"/>
            </w:pPr>
            <w:r>
              <w:rPr>
                <w:b/>
                <w:sz w:val="18"/>
              </w:rPr>
              <w:t>Effect</w:t>
            </w:r>
          </w:p>
        </w:tc>
        <w:tc>
          <w:tcPr>
            <w:tcW w:type="dxa" w:w="4759"/>
          </w:tcPr>
          <w:p>
            <w:pPr>
              <w:spacing w:after="40"/>
            </w:pPr>
            <w:r>
              <w:rPr>
                <w:sz w:val="18"/>
              </w:rPr>
              <w:t>The seller receives the cash, and in doing so publishes s. The buyer may then claim the securities before T_sec.</w:t>
            </w:r>
          </w:p>
        </w:tc>
      </w:tr>
      <w:tr>
        <w:tc>
          <w:tcPr>
            <w:tcW w:type="dxa" w:w="4759"/>
            <w:shd w:val="clear" w:fill="F2F2F2"/>
          </w:tcPr>
          <w:p>
            <w:pPr>
              <w:spacing w:after="40"/>
            </w:pPr>
            <w:r>
              <w:rPr>
                <w:b/>
                <w:sz w:val="18"/>
              </w:rPr>
              <w:t>Post-condition</w:t>
            </w:r>
          </w:p>
        </w:tc>
        <w:tc>
          <w:tcPr>
            <w:tcW w:type="dxa" w:w="4759"/>
          </w:tcPr>
          <w:p>
            <w:pPr>
              <w:spacing w:after="40"/>
            </w:pPr>
            <w:r>
              <w:rPr>
                <w:sz w:val="18"/>
              </w:rPr>
              <w:t>Both legs settle, provided the buyer acts.</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This is the liveness assumption. Once s is public the buyer CAN claim but is not compelled to; failure to act before T_sec leaves the securities with a seller who already holds the cash. The documented remedy is a premium charged to the structurally favoured party, not a control.</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R05, R10, R01</w:t>
            </w:r>
          </w:p>
        </w:tc>
      </w:tr>
    </w:tbl>
    <w:p>
      <w:pPr>
        <w:spacing w:before="240" w:after="120"/>
        <w:jc w:val="left"/>
      </w:pPr>
      <w:r>
        <w:rPr>
          <w:b/>
          <w:color w:val="000000"/>
          <w:sz w:val="24"/>
        </w:rPr>
        <w:t>H4 — Refund on expiry</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B3</w:t>
            </w:r>
          </w:p>
        </w:tc>
      </w:tr>
      <w:tr>
        <w:tc>
          <w:tcPr>
            <w:tcW w:type="dxa" w:w="4759"/>
            <w:shd w:val="clear" w:fill="F2F2F2"/>
          </w:tcPr>
          <w:p>
            <w:pPr>
              <w:spacing w:after="40"/>
            </w:pPr>
            <w:r>
              <w:rPr>
                <w:b/>
                <w:sz w:val="18"/>
              </w:rPr>
              <w:t>Actors</w:t>
            </w:r>
          </w:p>
        </w:tc>
        <w:tc>
          <w:tcPr>
            <w:tcW w:type="dxa" w:w="4759"/>
          </w:tcPr>
          <w:p>
            <w:pPr>
              <w:spacing w:after="40"/>
            </w:pPr>
            <w:r>
              <w:rPr>
                <w:sz w:val="18"/>
              </w:rPr>
              <w:t>Lock contract on each register, autonomously.</w:t>
            </w:r>
          </w:p>
        </w:tc>
      </w:tr>
      <w:tr>
        <w:tc>
          <w:tcPr>
            <w:tcW w:type="dxa" w:w="4759"/>
            <w:shd w:val="clear" w:fill="F2F2F2"/>
          </w:tcPr>
          <w:p>
            <w:pPr>
              <w:spacing w:after="40"/>
            </w:pPr>
            <w:r>
              <w:rPr>
                <w:b/>
                <w:sz w:val="18"/>
              </w:rPr>
              <w:t>Trigger</w:t>
            </w:r>
          </w:p>
        </w:tc>
        <w:tc>
          <w:tcPr>
            <w:tcW w:type="dxa" w:w="4759"/>
          </w:tcPr>
          <w:p>
            <w:pPr>
              <w:spacing w:after="40"/>
            </w:pPr>
            <w:r>
              <w:rPr>
                <w:sz w:val="18"/>
              </w:rPr>
              <w:t>Expiry of T_cash or of T_sec without a valid claim.</w:t>
            </w:r>
          </w:p>
        </w:tc>
      </w:tr>
      <w:tr>
        <w:tc>
          <w:tcPr>
            <w:tcW w:type="dxa" w:w="4759"/>
            <w:shd w:val="clear" w:fill="F2F2F2"/>
          </w:tcPr>
          <w:p>
            <w:pPr>
              <w:spacing w:after="40"/>
            </w:pPr>
            <w:r>
              <w:rPr>
                <w:b/>
                <w:sz w:val="18"/>
              </w:rPr>
              <w:t>Preconditions</w:t>
            </w:r>
          </w:p>
        </w:tc>
        <w:tc>
          <w:tcPr>
            <w:tcW w:type="dxa" w:w="4759"/>
          </w:tcPr>
          <w:p>
            <w:pPr>
              <w:spacing w:after="40"/>
            </w:pPr>
            <w:r>
              <w:rPr>
                <w:sz w:val="18"/>
              </w:rPr>
              <w:t>The corresponding lock is unclaimed.</w:t>
            </w:r>
          </w:p>
        </w:tc>
      </w:tr>
      <w:tr>
        <w:tc>
          <w:tcPr>
            <w:tcW w:type="dxa" w:w="4759"/>
            <w:shd w:val="clear" w:fill="F2F2F2"/>
          </w:tcPr>
          <w:p>
            <w:pPr>
              <w:spacing w:after="40"/>
            </w:pPr>
            <w:r>
              <w:rPr>
                <w:b/>
                <w:sz w:val="18"/>
              </w:rPr>
              <w:t>Effect</w:t>
            </w:r>
          </w:p>
        </w:tc>
        <w:tc>
          <w:tcPr>
            <w:tcW w:type="dxa" w:w="4759"/>
          </w:tcPr>
          <w:p>
            <w:pPr>
              <w:spacing w:after="40"/>
            </w:pPr>
            <w:r>
              <w:rPr>
                <w:sz w:val="18"/>
              </w:rPr>
              <w:t>The escrowed asset returns to the party that locked it.</w:t>
            </w:r>
          </w:p>
        </w:tc>
      </w:tr>
      <w:tr>
        <w:tc>
          <w:tcPr>
            <w:tcW w:type="dxa" w:w="4759"/>
            <w:shd w:val="clear" w:fill="F2F2F2"/>
          </w:tcPr>
          <w:p>
            <w:pPr>
              <w:spacing w:after="40"/>
            </w:pPr>
            <w:r>
              <w:rPr>
                <w:b/>
                <w:sz w:val="18"/>
              </w:rPr>
              <w:t>Post-condition</w:t>
            </w:r>
          </w:p>
        </w:tc>
        <w:tc>
          <w:tcPr>
            <w:tcW w:type="dxa" w:w="4759"/>
          </w:tcPr>
          <w:p>
            <w:pPr>
              <w:spacing w:after="40"/>
            </w:pPr>
            <w:r>
              <w:rPr>
                <w:sz w:val="18"/>
              </w:rPr>
              <w:t>Neither leg has settled, and each party holds what it started with.</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Refund is unconditional at expiry and requires no counterparty and no third party. It is what makes the no-action path safe.</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R05, R10, R09</w:t>
            </w:r>
          </w:p>
        </w:tc>
      </w:tr>
    </w:tbl>
    <w:p>
      <w:r>
        <w:br w:type="page"/>
      </w:r>
    </w:p>
    <w:p>
      <w:pPr>
        <w:spacing w:before="0" w:after="120"/>
        <w:jc w:val="left"/>
      </w:pPr>
      <w:r>
        <w:rPr>
          <w:b/>
          <w:color w:val="1F3864"/>
          <w:sz w:val="30"/>
        </w:rPr>
        <w:t>C — Central-bank control flows</w:t>
      </w:r>
    </w:p>
    <w:p>
      <w:r>
        <w:rPr>
          <w:i/>
          <w:color w:val="1F3864"/>
          <w:sz w:val="20"/>
        </w:rPr>
        <w:t>All variants, different geometry</w:t>
      </w:r>
    </w:p>
    <w:p>
      <w:r>
        <w:t>The C-flows are how R14 is realised. Their number and their reach differ across the three variants, and Table 4.6 of the manuscript reports that geometry. What does not differ is that they are reserved: no participant and no operator can invoke them.</w:t>
      </w:r>
    </w:p>
    <w:p>
      <w:pPr>
        <w:spacing w:before="240" w:after="120"/>
        <w:jc w:val="left"/>
      </w:pPr>
      <w:r>
        <w:rPr>
          <w:b/>
          <w:color w:val="000000"/>
          <w:sz w:val="24"/>
        </w:rPr>
        <w:t>C1 — Stop-settlement (scoped)</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 B2, B3</w:t>
            </w:r>
          </w:p>
        </w:tc>
      </w:tr>
      <w:tr>
        <w:tc>
          <w:tcPr>
            <w:tcW w:type="dxa" w:w="4759"/>
            <w:shd w:val="clear" w:fill="F2F2F2"/>
          </w:tcPr>
          <w:p>
            <w:pPr>
              <w:spacing w:after="40"/>
            </w:pPr>
            <w:r>
              <w:rPr>
                <w:b/>
                <w:sz w:val="18"/>
              </w:rPr>
              <w:t>Actors</w:t>
            </w:r>
          </w:p>
        </w:tc>
        <w:tc>
          <w:tcPr>
            <w:tcW w:type="dxa" w:w="4759"/>
          </w:tcPr>
          <w:p>
            <w:pPr>
              <w:spacing w:after="40"/>
            </w:pPr>
            <w:r>
              <w:rPr>
                <w:sz w:val="18"/>
              </w:rPr>
              <w:t>Central bank → coordinator (B1) / settlement contract (B2) / admission and lock parameters (B3, ex ante only).</w:t>
            </w:r>
          </w:p>
        </w:tc>
      </w:tr>
      <w:tr>
        <w:tc>
          <w:tcPr>
            <w:tcW w:type="dxa" w:w="4759"/>
            <w:shd w:val="clear" w:fill="F2F2F2"/>
          </w:tcPr>
          <w:p>
            <w:pPr>
              <w:spacing w:after="40"/>
            </w:pPr>
            <w:r>
              <w:rPr>
                <w:b/>
                <w:sz w:val="18"/>
              </w:rPr>
              <w:t>Trigger</w:t>
            </w:r>
          </w:p>
        </w:tc>
        <w:tc>
          <w:tcPr>
            <w:tcW w:type="dxa" w:w="4759"/>
          </w:tcPr>
          <w:p>
            <w:pPr>
              <w:spacing w:after="40"/>
            </w:pPr>
            <w:r>
              <w:rPr>
                <w:sz w:val="18"/>
              </w:rPr>
              <w:t>A monetary or supervisory decision to suspend settlement.</w:t>
            </w:r>
          </w:p>
        </w:tc>
      </w:tr>
      <w:tr>
        <w:tc>
          <w:tcPr>
            <w:tcW w:type="dxa" w:w="4759"/>
            <w:shd w:val="clear" w:fill="F2F2F2"/>
          </w:tcPr>
          <w:p>
            <w:pPr>
              <w:spacing w:after="40"/>
            </w:pPr>
            <w:r>
              <w:rPr>
                <w:b/>
                <w:sz w:val="18"/>
              </w:rPr>
              <w:t>Preconditions</w:t>
            </w:r>
          </w:p>
        </w:tc>
        <w:tc>
          <w:tcPr>
            <w:tcW w:type="dxa" w:w="4759"/>
          </w:tcPr>
          <w:p>
            <w:pPr>
              <w:spacing w:after="40"/>
            </w:pPr>
            <w:r>
              <w:rPr>
                <w:sz w:val="18"/>
              </w:rPr>
              <w:t>The invoking identity is the monetary authority, verified by the authorisation model.</w:t>
            </w:r>
          </w:p>
        </w:tc>
      </w:tr>
      <w:tr>
        <w:tc>
          <w:tcPr>
            <w:tcW w:type="dxa" w:w="4759"/>
            <w:shd w:val="clear" w:fill="F2F2F2"/>
          </w:tcPr>
          <w:p>
            <w:pPr>
              <w:spacing w:after="40"/>
            </w:pPr>
            <w:r>
              <w:rPr>
                <w:b/>
                <w:sz w:val="18"/>
              </w:rPr>
              <w:t>Effect</w:t>
            </w:r>
          </w:p>
        </w:tc>
        <w:tc>
          <w:tcPr>
            <w:tcW w:type="dxa" w:w="4759"/>
          </w:tcPr>
          <w:p>
            <w:pPr>
              <w:spacing w:after="40"/>
            </w:pPr>
            <w:r>
              <w:rPr>
                <w:sz w:val="18"/>
              </w:rPr>
              <w:t>New settlement acts are refused while the stop is in force. In B1 and B2 the stop is checked on every settlement transition; in B3 there is no transition to check, so the equivalent control acts before a lock is placed.</w:t>
            </w:r>
          </w:p>
        </w:tc>
      </w:tr>
      <w:tr>
        <w:tc>
          <w:tcPr>
            <w:tcW w:type="dxa" w:w="4759"/>
            <w:shd w:val="clear" w:fill="F2F2F2"/>
          </w:tcPr>
          <w:p>
            <w:pPr>
              <w:spacing w:after="40"/>
            </w:pPr>
            <w:r>
              <w:rPr>
                <w:b/>
                <w:sz w:val="18"/>
              </w:rPr>
              <w:t>Post-condition</w:t>
            </w:r>
          </w:p>
        </w:tc>
        <w:tc>
          <w:tcPr>
            <w:tcW w:type="dxa" w:w="4759"/>
          </w:tcPr>
          <w:p>
            <w:pPr>
              <w:spacing w:after="40"/>
            </w:pPr>
            <w:r>
              <w:rPr>
                <w:sz w:val="18"/>
              </w:rPr>
              <w:t>Settlement is suspended without creating an additional state on which the invariant would have to be asserted.</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A participant attempting to activate or lift the stop is refused. Tested as probe T6 in the proof of concept.</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R14, R02</w:t>
            </w:r>
          </w:p>
        </w:tc>
      </w:tr>
    </w:tbl>
    <w:p>
      <w:pPr>
        <w:spacing w:before="240" w:after="120"/>
        <w:jc w:val="left"/>
      </w:pPr>
      <w:r>
        <w:rPr>
          <w:b/>
          <w:color w:val="000000"/>
          <w:sz w:val="24"/>
        </w:rPr>
        <w:t>C2 — Cash operation reserved to the monetary authority</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 B2, B3</w:t>
            </w:r>
          </w:p>
        </w:tc>
      </w:tr>
      <w:tr>
        <w:tc>
          <w:tcPr>
            <w:tcW w:type="dxa" w:w="4759"/>
            <w:shd w:val="clear" w:fill="F2F2F2"/>
          </w:tcPr>
          <w:p>
            <w:pPr>
              <w:spacing w:after="40"/>
            </w:pPr>
            <w:r>
              <w:rPr>
                <w:b/>
                <w:sz w:val="18"/>
              </w:rPr>
              <w:t>Actors</w:t>
            </w:r>
          </w:p>
        </w:tc>
        <w:tc>
          <w:tcPr>
            <w:tcW w:type="dxa" w:w="4759"/>
          </w:tcPr>
          <w:p>
            <w:pPr>
              <w:spacing w:after="40"/>
            </w:pPr>
            <w:r>
              <w:rPr>
                <w:sz w:val="18"/>
              </w:rPr>
              <w:t>Central bank → RTGS (B1) / cash token contract (B2) / cash register (B3).</w:t>
            </w:r>
          </w:p>
        </w:tc>
      </w:tr>
      <w:tr>
        <w:tc>
          <w:tcPr>
            <w:tcW w:type="dxa" w:w="4759"/>
            <w:shd w:val="clear" w:fill="F2F2F2"/>
          </w:tcPr>
          <w:p>
            <w:pPr>
              <w:spacing w:after="40"/>
            </w:pPr>
            <w:r>
              <w:rPr>
                <w:b/>
                <w:sz w:val="18"/>
              </w:rPr>
              <w:t>Trigger</w:t>
            </w:r>
          </w:p>
        </w:tc>
        <w:tc>
          <w:tcPr>
            <w:tcW w:type="dxa" w:w="4759"/>
          </w:tcPr>
          <w:p>
            <w:pPr>
              <w:spacing w:after="40"/>
            </w:pPr>
            <w:r>
              <w:rPr>
                <w:sz w:val="18"/>
              </w:rPr>
              <w:t>Liquidity provision, issuance, redemption, or an eligibility freeze.</w:t>
            </w:r>
          </w:p>
        </w:tc>
      </w:tr>
      <w:tr>
        <w:tc>
          <w:tcPr>
            <w:tcW w:type="dxa" w:w="4759"/>
            <w:shd w:val="clear" w:fill="F2F2F2"/>
          </w:tcPr>
          <w:p>
            <w:pPr>
              <w:spacing w:after="40"/>
            </w:pPr>
            <w:r>
              <w:rPr>
                <w:b/>
                <w:sz w:val="18"/>
              </w:rPr>
              <w:t>Preconditions</w:t>
            </w:r>
          </w:p>
        </w:tc>
        <w:tc>
          <w:tcPr>
            <w:tcW w:type="dxa" w:w="4759"/>
          </w:tcPr>
          <w:p>
            <w:pPr>
              <w:spacing w:after="40"/>
            </w:pPr>
            <w:r>
              <w:rPr>
                <w:sz w:val="18"/>
              </w:rPr>
              <w:t>The invoking identity is the monetary authority. In B2 this is enforced by an endorsement policy scoped to the central-bank organisation.</w:t>
            </w:r>
          </w:p>
        </w:tc>
      </w:tr>
      <w:tr>
        <w:tc>
          <w:tcPr>
            <w:tcW w:type="dxa" w:w="4759"/>
            <w:shd w:val="clear" w:fill="F2F2F2"/>
          </w:tcPr>
          <w:p>
            <w:pPr>
              <w:spacing w:after="40"/>
            </w:pPr>
            <w:r>
              <w:rPr>
                <w:b/>
                <w:sz w:val="18"/>
              </w:rPr>
              <w:t>Effect</w:t>
            </w:r>
          </w:p>
        </w:tc>
        <w:tc>
          <w:tcPr>
            <w:tcW w:type="dxa" w:w="4759"/>
          </w:tcPr>
          <w:p>
            <w:pPr>
              <w:spacing w:after="40"/>
            </w:pPr>
            <w:r>
              <w:rPr>
                <w:sz w:val="18"/>
              </w:rPr>
              <w:t>In B1, the existing RTGS operations apply unchanged. In B2, wCBDC is minted or burned against RTGS balances, one-to-one and balance-sheet neutral. In B3, the central bank governs its own cash register.</w:t>
            </w:r>
          </w:p>
        </w:tc>
      </w:tr>
      <w:tr>
        <w:tc>
          <w:tcPr>
            <w:tcW w:type="dxa" w:w="4759"/>
            <w:shd w:val="clear" w:fill="F2F2F2"/>
          </w:tcPr>
          <w:p>
            <w:pPr>
              <w:spacing w:after="40"/>
            </w:pPr>
            <w:r>
              <w:rPr>
                <w:b/>
                <w:sz w:val="18"/>
              </w:rPr>
              <w:t>Post-condition</w:t>
            </w:r>
          </w:p>
        </w:tc>
        <w:tc>
          <w:tcPr>
            <w:tcW w:type="dxa" w:w="4759"/>
          </w:tcPr>
          <w:p>
            <w:pPr>
              <w:spacing w:after="40"/>
            </w:pPr>
            <w:r>
              <w:rPr>
                <w:sz w:val="18"/>
              </w:rPr>
              <w:t>The settlement asset remains a claim on the central bank, and its supply changes only by an act of the central bank.</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An unauthorised mint or burn is rejected and total supply does not change. Tested as probe T7.</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R04, R14, R09, R15</w:t>
            </w:r>
          </w:p>
        </w:tc>
      </w:tr>
    </w:tbl>
    <w:p>
      <w:pPr>
        <w:spacing w:before="240" w:after="120"/>
        <w:jc w:val="left"/>
      </w:pPr>
      <w:r>
        <w:rPr>
          <w:b/>
          <w:color w:val="000000"/>
          <w:sz w:val="24"/>
        </w:rPr>
        <w:t>C — Geometry note</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 B2, B3</w:t>
            </w:r>
          </w:p>
        </w:tc>
      </w:tr>
      <w:tr>
        <w:tc>
          <w:tcPr>
            <w:tcW w:type="dxa" w:w="4759"/>
            <w:shd w:val="clear" w:fill="F2F2F2"/>
          </w:tcPr>
          <w:p>
            <w:pPr>
              <w:spacing w:after="40"/>
            </w:pPr>
            <w:r>
              <w:rPr>
                <w:b/>
                <w:sz w:val="18"/>
              </w:rPr>
              <w:t>Actors</w:t>
            </w:r>
          </w:p>
        </w:tc>
        <w:tc>
          <w:tcPr>
            <w:tcW w:type="dxa" w:w="4759"/>
          </w:tcPr>
          <w:p>
            <w:pPr>
              <w:spacing w:after="40"/>
            </w:pPr>
            <w:r>
              <w:rPr>
                <w:sz w:val="18"/>
              </w:rPr>
              <w:t>—</w:t>
            </w:r>
          </w:p>
        </w:tc>
      </w:tr>
      <w:tr>
        <w:tc>
          <w:tcPr>
            <w:tcW w:type="dxa" w:w="4759"/>
            <w:shd w:val="clear" w:fill="F2F2F2"/>
          </w:tcPr>
          <w:p>
            <w:pPr>
              <w:spacing w:after="40"/>
            </w:pPr>
            <w:r>
              <w:rPr>
                <w:b/>
                <w:sz w:val="18"/>
              </w:rPr>
              <w:t>Trigger</w:t>
            </w:r>
          </w:p>
        </w:tc>
        <w:tc>
          <w:tcPr>
            <w:tcW w:type="dxa" w:w="4759"/>
          </w:tcPr>
          <w:p>
            <w:pPr>
              <w:spacing w:after="40"/>
            </w:pPr>
            <w:r>
              <w:rPr>
                <w:sz w:val="18"/>
              </w:rPr>
              <w:t>—</w:t>
            </w:r>
          </w:p>
        </w:tc>
      </w:tr>
      <w:tr>
        <w:tc>
          <w:tcPr>
            <w:tcW w:type="dxa" w:w="4759"/>
            <w:shd w:val="clear" w:fill="F2F2F2"/>
          </w:tcPr>
          <w:p>
            <w:pPr>
              <w:spacing w:after="40"/>
            </w:pPr>
            <w:r>
              <w:rPr>
                <w:b/>
                <w:sz w:val="18"/>
              </w:rPr>
              <w:t>Preconditions</w:t>
            </w:r>
          </w:p>
        </w:tc>
        <w:tc>
          <w:tcPr>
            <w:tcW w:type="dxa" w:w="4759"/>
          </w:tcPr>
          <w:p>
            <w:pPr>
              <w:spacing w:after="40"/>
            </w:pPr>
            <w:r>
              <w:rPr>
                <w:sz w:val="18"/>
              </w:rPr>
              <w:t>—</w:t>
            </w:r>
          </w:p>
        </w:tc>
      </w:tr>
      <w:tr>
        <w:tc>
          <w:tcPr>
            <w:tcW w:type="dxa" w:w="4759"/>
            <w:shd w:val="clear" w:fill="F2F2F2"/>
          </w:tcPr>
          <w:p>
            <w:pPr>
              <w:spacing w:after="40"/>
            </w:pPr>
            <w:r>
              <w:rPr>
                <w:b/>
                <w:sz w:val="18"/>
              </w:rPr>
              <w:t>Effect</w:t>
            </w:r>
          </w:p>
        </w:tc>
        <w:tc>
          <w:tcPr>
            <w:tcW w:type="dxa" w:w="4759"/>
          </w:tcPr>
          <w:p>
            <w:pPr>
              <w:spacing w:after="40"/>
            </w:pPr>
            <w:r>
              <w:rPr>
                <w:sz w:val="18"/>
              </w:rPr>
              <w:t>B1 exercises C1 and C2 across two infrastructures (two surfaces). B2 exercises both through one validation model (one surface). B3 has no intervention point during an exchange: C is exercised in advance only, through admission, ceilings, lock parameters and freeze.</w:t>
            </w:r>
          </w:p>
        </w:tc>
      </w:tr>
      <w:tr>
        <w:tc>
          <w:tcPr>
            <w:tcW w:type="dxa" w:w="4759"/>
            <w:shd w:val="clear" w:fill="F2F2F2"/>
          </w:tcPr>
          <w:p>
            <w:pPr>
              <w:spacing w:after="40"/>
            </w:pPr>
            <w:r>
              <w:rPr>
                <w:b/>
                <w:sz w:val="18"/>
              </w:rPr>
              <w:t>Post-condition</w:t>
            </w:r>
          </w:p>
        </w:tc>
        <w:tc>
          <w:tcPr>
            <w:tcW w:type="dxa" w:w="4759"/>
          </w:tcPr>
          <w:p>
            <w:pPr>
              <w:spacing w:after="40"/>
            </w:pPr>
            <w:r>
              <w:rPr>
                <w:sz w:val="18"/>
              </w:rPr>
              <w:t>The four control families of Table 4.6 are present in every variant; only the number and reach of the surfaces change.</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The B3 configuration is the contested cell R14 × B3 in the realisation matrix. See the sensitivity sheet of that workbook.</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R14</w:t>
            </w:r>
          </w:p>
        </w:tc>
      </w:tr>
    </w:tbl>
    <w:p>
      <w:r>
        <w:br w:type="page"/>
      </w:r>
    </w:p>
    <w:p>
      <w:pPr>
        <w:spacing w:before="0" w:after="120"/>
        <w:jc w:val="left"/>
      </w:pPr>
      <w:r>
        <w:rPr>
          <w:b/>
          <w:color w:val="1F3864"/>
          <w:sz w:val="30"/>
        </w:rPr>
        <w:t>S — Supervisory observation flows</w:t>
      </w:r>
    </w:p>
    <w:p>
      <w:r>
        <w:rPr>
          <w:i/>
          <w:color w:val="1F3864"/>
          <w:sz w:val="20"/>
        </w:rPr>
        <w:t>All variants, different geometry</w:t>
      </w:r>
    </w:p>
    <w:p>
      <w:r>
        <w:t>The S-flows are read-only by construction, not by policy. In every variant the observation capability is structurally separated from any write capability; what changes is how many surfaces a supervisor must join to see one transaction.</w:t>
      </w:r>
    </w:p>
    <w:p>
      <w:pPr>
        <w:spacing w:before="240" w:after="120"/>
        <w:jc w:val="left"/>
      </w:pPr>
      <w:r>
        <w:rPr>
          <w:b/>
          <w:color w:val="000000"/>
          <w:sz w:val="24"/>
        </w:rPr>
        <w:t>S1 — Settlement event observation</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 B2, B3</w:t>
            </w:r>
          </w:p>
        </w:tc>
      </w:tr>
      <w:tr>
        <w:tc>
          <w:tcPr>
            <w:tcW w:type="dxa" w:w="4759"/>
            <w:shd w:val="clear" w:fill="F2F2F2"/>
          </w:tcPr>
          <w:p>
            <w:pPr>
              <w:spacing w:after="40"/>
            </w:pPr>
            <w:r>
              <w:rPr>
                <w:b/>
                <w:sz w:val="18"/>
              </w:rPr>
              <w:t>Actors</w:t>
            </w:r>
          </w:p>
        </w:tc>
        <w:tc>
          <w:tcPr>
            <w:tcW w:type="dxa" w:w="4759"/>
          </w:tcPr>
          <w:p>
            <w:pPr>
              <w:spacing w:after="40"/>
            </w:pPr>
            <w:r>
              <w:rPr>
                <w:sz w:val="18"/>
              </w:rPr>
              <w:t>Supervisory authority ← event stream of the settlement platform.</w:t>
            </w:r>
          </w:p>
        </w:tc>
      </w:tr>
      <w:tr>
        <w:tc>
          <w:tcPr>
            <w:tcW w:type="dxa" w:w="4759"/>
            <w:shd w:val="clear" w:fill="F2F2F2"/>
          </w:tcPr>
          <w:p>
            <w:pPr>
              <w:spacing w:after="40"/>
            </w:pPr>
            <w:r>
              <w:rPr>
                <w:b/>
                <w:sz w:val="18"/>
              </w:rPr>
              <w:t>Trigger</w:t>
            </w:r>
          </w:p>
        </w:tc>
        <w:tc>
          <w:tcPr>
            <w:tcW w:type="dxa" w:w="4759"/>
          </w:tcPr>
          <w:p>
            <w:pPr>
              <w:spacing w:after="40"/>
            </w:pPr>
            <w:r>
              <w:rPr>
                <w:sz w:val="18"/>
              </w:rPr>
              <w:t>Any state change in the settlement act.</w:t>
            </w:r>
          </w:p>
        </w:tc>
      </w:tr>
      <w:tr>
        <w:tc>
          <w:tcPr>
            <w:tcW w:type="dxa" w:w="4759"/>
            <w:shd w:val="clear" w:fill="F2F2F2"/>
          </w:tcPr>
          <w:p>
            <w:pPr>
              <w:spacing w:after="40"/>
            </w:pPr>
            <w:r>
              <w:rPr>
                <w:b/>
                <w:sz w:val="18"/>
              </w:rPr>
              <w:t>Preconditions</w:t>
            </w:r>
          </w:p>
        </w:tc>
        <w:tc>
          <w:tcPr>
            <w:tcW w:type="dxa" w:w="4759"/>
          </w:tcPr>
          <w:p>
            <w:pPr>
              <w:spacing w:after="40"/>
            </w:pPr>
            <w:r>
              <w:rPr>
                <w:sz w:val="18"/>
              </w:rPr>
              <w:t>The observer holds an identity with read capability and no endorsement or write capability.</w:t>
            </w:r>
          </w:p>
        </w:tc>
      </w:tr>
      <w:tr>
        <w:tc>
          <w:tcPr>
            <w:tcW w:type="dxa" w:w="4759"/>
            <w:shd w:val="clear" w:fill="F2F2F2"/>
          </w:tcPr>
          <w:p>
            <w:pPr>
              <w:spacing w:after="40"/>
            </w:pPr>
            <w:r>
              <w:rPr>
                <w:b/>
                <w:sz w:val="18"/>
              </w:rPr>
              <w:t>Effect</w:t>
            </w:r>
          </w:p>
        </w:tc>
        <w:tc>
          <w:tcPr>
            <w:tcW w:type="dxa" w:w="4759"/>
          </w:tcPr>
          <w:p>
            <w:pPr>
              <w:spacing w:after="40"/>
            </w:pPr>
            <w:r>
              <w:rPr>
                <w:sz w:val="18"/>
              </w:rPr>
              <w:t>The supervisor can query state and subscribe to events.</w:t>
            </w:r>
          </w:p>
        </w:tc>
      </w:tr>
      <w:tr>
        <w:tc>
          <w:tcPr>
            <w:tcW w:type="dxa" w:w="4759"/>
            <w:shd w:val="clear" w:fill="F2F2F2"/>
          </w:tcPr>
          <w:p>
            <w:pPr>
              <w:spacing w:after="40"/>
            </w:pPr>
            <w:r>
              <w:rPr>
                <w:b/>
                <w:sz w:val="18"/>
              </w:rPr>
              <w:t>Post-condition</w:t>
            </w:r>
          </w:p>
        </w:tc>
        <w:tc>
          <w:tcPr>
            <w:tcW w:type="dxa" w:w="4759"/>
          </w:tcPr>
          <w:p>
            <w:pPr>
              <w:spacing w:after="40"/>
            </w:pPr>
            <w:r>
              <w:rPr>
                <w:sz w:val="18"/>
              </w:rPr>
              <w:t>The supervisor observes settlement without being able to affect it.</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The separation is structural: the observer identity has no write path to refuse. In the proof of concept the supervisor organisation endorses nothing.</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R11, R08</w:t>
            </w:r>
          </w:p>
        </w:tc>
      </w:tr>
    </w:tbl>
    <w:p>
      <w:pPr>
        <w:spacing w:before="240" w:after="120"/>
        <w:jc w:val="left"/>
      </w:pPr>
      <w:r>
        <w:rPr>
          <w:b/>
          <w:color w:val="000000"/>
          <w:sz w:val="24"/>
        </w:rPr>
        <w:t>S2 — Second observation surface</w:t>
      </w:r>
    </w:p>
    <w:tbl>
      <w:tblPr>
        <w:tblStyle w:val="TableGrid"/>
        <w:tblW w:type="auto" w:w="0"/>
        <w:tblLook w:firstColumn="1" w:firstRow="1" w:lastColumn="0" w:lastRow="0" w:noHBand="0" w:noVBand="1" w:val="04A0"/>
      </w:tblPr>
      <w:tblGrid>
        <w:gridCol w:w="2211"/>
        <w:gridCol w:w="7200"/>
      </w:tblGrid>
      <w:tr>
        <w:tc>
          <w:tcPr>
            <w:tcW w:type="dxa" w:w="4759"/>
            <w:shd w:val="clear" w:fill="F2F2F2"/>
          </w:tcPr>
          <w:p>
            <w:pPr>
              <w:spacing w:after="40"/>
            </w:pPr>
            <w:r>
              <w:rPr>
                <w:b/>
                <w:sz w:val="18"/>
              </w:rPr>
              <w:t>Applies to</w:t>
            </w:r>
          </w:p>
        </w:tc>
        <w:tc>
          <w:tcPr>
            <w:tcW w:type="dxa" w:w="4759"/>
          </w:tcPr>
          <w:p>
            <w:pPr>
              <w:spacing w:after="40"/>
            </w:pPr>
            <w:r>
              <w:rPr>
                <w:sz w:val="18"/>
              </w:rPr>
              <w:t>B1, B3</w:t>
            </w:r>
          </w:p>
        </w:tc>
      </w:tr>
      <w:tr>
        <w:tc>
          <w:tcPr>
            <w:tcW w:type="dxa" w:w="4759"/>
            <w:shd w:val="clear" w:fill="F2F2F2"/>
          </w:tcPr>
          <w:p>
            <w:pPr>
              <w:spacing w:after="40"/>
            </w:pPr>
            <w:r>
              <w:rPr>
                <w:b/>
                <w:sz w:val="18"/>
              </w:rPr>
              <w:t>Actors</w:t>
            </w:r>
          </w:p>
        </w:tc>
        <w:tc>
          <w:tcPr>
            <w:tcW w:type="dxa" w:w="4759"/>
          </w:tcPr>
          <w:p>
            <w:pPr>
              <w:spacing w:after="40"/>
            </w:pPr>
            <w:r>
              <w:rPr>
                <w:sz w:val="18"/>
              </w:rPr>
              <w:t>Supervisory authority ← payment message flow (B1) / second register event stream (B3).</w:t>
            </w:r>
          </w:p>
        </w:tc>
      </w:tr>
      <w:tr>
        <w:tc>
          <w:tcPr>
            <w:tcW w:type="dxa" w:w="4759"/>
            <w:shd w:val="clear" w:fill="F2F2F2"/>
          </w:tcPr>
          <w:p>
            <w:pPr>
              <w:spacing w:after="40"/>
            </w:pPr>
            <w:r>
              <w:rPr>
                <w:b/>
                <w:sz w:val="18"/>
              </w:rPr>
              <w:t>Trigger</w:t>
            </w:r>
          </w:p>
        </w:tc>
        <w:tc>
          <w:tcPr>
            <w:tcW w:type="dxa" w:w="4759"/>
          </w:tcPr>
          <w:p>
            <w:pPr>
              <w:spacing w:after="40"/>
            </w:pPr>
            <w:r>
              <w:rPr>
                <w:sz w:val="18"/>
              </w:rPr>
              <w:t>A cash-leg event that does not appear on the securities-side stream.</w:t>
            </w:r>
          </w:p>
        </w:tc>
      </w:tr>
      <w:tr>
        <w:tc>
          <w:tcPr>
            <w:tcW w:type="dxa" w:w="4759"/>
            <w:shd w:val="clear" w:fill="F2F2F2"/>
          </w:tcPr>
          <w:p>
            <w:pPr>
              <w:spacing w:after="40"/>
            </w:pPr>
            <w:r>
              <w:rPr>
                <w:b/>
                <w:sz w:val="18"/>
              </w:rPr>
              <w:t>Preconditions</w:t>
            </w:r>
          </w:p>
        </w:tc>
        <w:tc>
          <w:tcPr>
            <w:tcW w:type="dxa" w:w="4759"/>
          </w:tcPr>
          <w:p>
            <w:pPr>
              <w:spacing w:after="40"/>
            </w:pPr>
            <w:r>
              <w:rPr>
                <w:sz w:val="18"/>
              </w:rPr>
              <w:t>The supervisor holds access to the second stream.</w:t>
            </w:r>
          </w:p>
        </w:tc>
      </w:tr>
      <w:tr>
        <w:tc>
          <w:tcPr>
            <w:tcW w:type="dxa" w:w="4759"/>
            <w:shd w:val="clear" w:fill="F2F2F2"/>
          </w:tcPr>
          <w:p>
            <w:pPr>
              <w:spacing w:after="40"/>
            </w:pPr>
            <w:r>
              <w:rPr>
                <w:b/>
                <w:sz w:val="18"/>
              </w:rPr>
              <w:t>Effect</w:t>
            </w:r>
          </w:p>
        </w:tc>
        <w:tc>
          <w:tcPr>
            <w:tcW w:type="dxa" w:w="4759"/>
          </w:tcPr>
          <w:p>
            <w:pPr>
              <w:spacing w:after="40"/>
            </w:pPr>
            <w:r>
              <w:rPr>
                <w:sz w:val="18"/>
              </w:rPr>
              <w:t>The supervisor receives the cash-side view separately from the securities-side view.</w:t>
            </w:r>
          </w:p>
        </w:tc>
      </w:tr>
      <w:tr>
        <w:tc>
          <w:tcPr>
            <w:tcW w:type="dxa" w:w="4759"/>
            <w:shd w:val="clear" w:fill="F2F2F2"/>
          </w:tcPr>
          <w:p>
            <w:pPr>
              <w:spacing w:after="40"/>
            </w:pPr>
            <w:r>
              <w:rPr>
                <w:b/>
                <w:sz w:val="18"/>
              </w:rPr>
              <w:t>Post-condition</w:t>
            </w:r>
          </w:p>
        </w:tc>
        <w:tc>
          <w:tcPr>
            <w:tcW w:type="dxa" w:w="4759"/>
          </w:tcPr>
          <w:p>
            <w:pPr>
              <w:spacing w:after="40"/>
            </w:pPr>
            <w:r>
              <w:rPr>
                <w:sz w:val="18"/>
              </w:rPr>
              <w:t>One economic transaction is visible across two feeds and must be joined to be read as one.</w:t>
            </w:r>
          </w:p>
        </w:tc>
      </w:tr>
      <w:tr>
        <w:tc>
          <w:tcPr>
            <w:tcW w:type="dxa" w:w="4759"/>
            <w:shd w:val="clear" w:fill="F2F2F2"/>
          </w:tcPr>
          <w:p>
            <w:pPr>
              <w:spacing w:after="40"/>
            </w:pPr>
            <w:r>
              <w:rPr>
                <w:b/>
                <w:sz w:val="18"/>
              </w:rPr>
              <w:t>Failure handling</w:t>
            </w:r>
          </w:p>
        </w:tc>
        <w:tc>
          <w:tcPr>
            <w:tcW w:type="dxa" w:w="4759"/>
            <w:shd w:val="clear" w:fill="FFF2CC"/>
          </w:tcPr>
          <w:p>
            <w:pPr>
              <w:spacing w:after="40"/>
            </w:pPr>
            <w:r>
              <w:rPr>
                <w:sz w:val="18"/>
              </w:rPr>
              <w:t>In B1 the join is by payment reference; in B3 by transfer identifier. B2 has no S2: the two views collapse into one surface.</w:t>
            </w:r>
          </w:p>
        </w:tc>
      </w:tr>
      <w:tr>
        <w:tc>
          <w:tcPr>
            <w:tcW w:type="dxa" w:w="4759"/>
            <w:shd w:val="clear" w:fill="F2F2F2"/>
          </w:tcPr>
          <w:p>
            <w:pPr>
              <w:spacing w:after="40"/>
            </w:pPr>
            <w:r>
              <w:rPr>
                <w:b/>
                <w:sz w:val="18"/>
              </w:rPr>
              <w:t>Requirements discharged</w:t>
            </w:r>
          </w:p>
        </w:tc>
        <w:tc>
          <w:tcPr>
            <w:tcW w:type="dxa" w:w="4759"/>
            <w:shd w:val="clear" w:fill="DCE6F1"/>
          </w:tcPr>
          <w:p>
            <w:pPr>
              <w:spacing w:after="40"/>
            </w:pPr>
            <w:r>
              <w:rPr>
                <w:sz w:val="18"/>
              </w:rPr>
              <w:t>R11, R12</w:t>
            </w:r>
          </w:p>
        </w:tc>
      </w:tr>
    </w:tbl>
    <w:p>
      <w:r>
        <w:br w:type="page"/>
      </w:r>
    </w:p>
    <w:p>
      <w:pPr>
        <w:spacing w:before="0" w:after="120"/>
        <w:jc w:val="left"/>
      </w:pPr>
      <w:r>
        <w:rPr>
          <w:b/>
          <w:color w:val="1F3864"/>
          <w:sz w:val="30"/>
        </w:rPr>
        <w:t>Full-size diagrams</w:t>
      </w:r>
    </w:p>
    <w:p>
      <w:r>
        <w:t>The architecture diagrams are maintained as a single editable source, wCBDC_DvP_reference_architecture.drawio, published alongside this document. It holds six pages: the generic architecture (Figure 4.1), the six-layer framework (Figure 4.2), a reading aid for the layers, and one page for each variant (Figures 4.3, 4.4 and 4.5).</w:t>
      </w:r>
    </w:p>
    <w:p>
      <w:r>
        <w:t>The manuscript reproduces these diagrams at page width, where the densest of them are hard to read. The editable source is the readable version: it can be opened at any zoom, and each page exports at arbitrary scale. Readers who need to follow a flow label by label should work from it rather than from the printed figure.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