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sz w:val="26"/>
          <w:szCs w:val="26"/>
          <w:rtl w:val="0"/>
        </w:rPr>
        <w:t xml:space="preserve">University Paris 1 Panthéon-Sorbonne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4"/>
          <w:szCs w:val="24"/>
          <w:rtl w:val="0"/>
        </w:rPr>
        <w:t xml:space="preserve">Master 2 MIAGE IKSEM track</w:t>
      </w:r>
      <w:r w:rsidDel="00000000" w:rsidR="00000000" w:rsidRPr="00000000">
        <w:rPr>
          <w:rtl w:val="0"/>
        </w:rPr>
      </w:r>
    </w:p>
    <w:p w:rsidR="00000000" w:rsidDel="00000000" w:rsidP="00000000" w:rsidRDefault="00000000" w:rsidRPr="00000000" w14:paraId="00000007">
      <w:pPr>
        <w:spacing w:after="1080" w:lineRule="auto"/>
        <w:jc w:val="center"/>
        <w:rPr/>
      </w:pPr>
      <w:r w:rsidDel="00000000" w:rsidR="00000000" w:rsidRPr="00000000">
        <w:rPr>
          <w:rFonts w:ascii="Times New Roman" w:cs="Times New Roman" w:eastAsia="Times New Roman" w:hAnsi="Times New Roman"/>
          <w:i w:val="1"/>
          <w:iCs w:val="1"/>
          <w:sz w:val="24"/>
          <w:szCs w:val="24"/>
          <w:rtl w:val="0"/>
        </w:rPr>
        <w:t xml:space="preserve">Master's Thesis</w:t>
      </w:r>
      <w:r w:rsidDel="00000000" w:rsidR="00000000" w:rsidRPr="00000000">
        <w:rPr>
          <w:rtl w:val="0"/>
        </w:rPr>
      </w:r>
    </w:p>
    <w:p w:rsidR="00000000" w:rsidDel="00000000" w:rsidP="00000000" w:rsidRDefault="00000000" w:rsidRPr="00000000" w14:paraId="00000008">
      <w:pPr>
        <w:spacing w:after="320" w:lineRule="auto"/>
        <w:jc w:val="center"/>
        <w:rPr/>
      </w:pPr>
      <w:r w:rsidDel="00000000" w:rsidR="00000000" w:rsidRPr="00000000">
        <w:rPr>
          <w:rFonts w:ascii="Times New Roman" w:cs="Times New Roman" w:eastAsia="Times New Roman" w:hAnsi="Times New Roman"/>
          <w:b w:val="1"/>
          <w:bCs w:val="1"/>
          <w:sz w:val="34"/>
          <w:szCs w:val="34"/>
          <w:rtl w:val="0"/>
        </w:rPr>
        <w:t xml:space="preserve">A Reference Framework for DvP Settlement Architectures in Central Bank Money</w:t>
      </w:r>
      <w:r w:rsidDel="00000000" w:rsidR="00000000" w:rsidRPr="00000000">
        <w:rPr>
          <w:rtl w:val="0"/>
        </w:rPr>
      </w:r>
    </w:p>
    <w:p w:rsidR="00000000" w:rsidDel="00000000" w:rsidP="00000000" w:rsidRDefault="00000000" w:rsidRPr="00000000" w14:paraId="00000009">
      <w:pPr>
        <w:spacing w:after="1280" w:lineRule="auto"/>
        <w:jc w:val="center"/>
        <w:rPr/>
      </w:pPr>
      <w:r w:rsidDel="00000000" w:rsidR="00000000" w:rsidRPr="00000000">
        <w:rPr>
          <w:rFonts w:ascii="Times New Roman" w:cs="Times New Roman" w:eastAsia="Times New Roman" w:hAnsi="Times New Roman"/>
          <w:i w:val="1"/>
          <w:iCs w:val="1"/>
          <w:sz w:val="24"/>
          <w:szCs w:val="24"/>
          <w:rtl w:val="0"/>
        </w:rPr>
        <w:t xml:space="preserve">On the underdetermination of architecture by normative requirements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sz w:val="26"/>
          <w:szCs w:val="26"/>
          <w:rtl w:val="0"/>
        </w:rPr>
        <w:t xml:space="preserve">Jimmy RASOLOSOA</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sz w:val="23"/>
          <w:szCs w:val="23"/>
          <w:rtl w:val="0"/>
        </w:rPr>
        <w:t xml:space="preserve">Thesis supervisor: Eddy Kiomba</w:t>
      </w:r>
      <w:r w:rsidDel="00000000" w:rsidR="00000000" w:rsidRPr="00000000">
        <w:rPr>
          <w:rtl w:val="0"/>
        </w:rPr>
      </w:r>
    </w:p>
    <w:p w:rsidR="00000000" w:rsidDel="00000000" w:rsidP="00000000" w:rsidRDefault="00000000" w:rsidRPr="00000000" w14:paraId="0000000C">
      <w:pPr>
        <w:spacing w:after="920" w:lineRule="auto"/>
        <w:jc w:val="center"/>
        <w:rPr/>
      </w:pPr>
      <w:r w:rsidDel="00000000" w:rsidR="00000000" w:rsidRPr="00000000">
        <w:rPr>
          <w:rFonts w:ascii="Times New Roman" w:cs="Times New Roman" w:eastAsia="Times New Roman" w:hAnsi="Times New Roman"/>
          <w:sz w:val="23"/>
          <w:szCs w:val="23"/>
          <w:rtl w:val="0"/>
        </w:rPr>
        <w:t xml:space="preserve">Academic year 2025-2026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pageBreakBefore w:val="1"/>
        <w:spacing w:after="320" w:lineRule="auto"/>
        <w:jc w:val="center"/>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i w:val="0"/>
          <w:iCs w:val="0"/>
          <w:sz w:val="22"/>
          <w:szCs w:val="22"/>
          <w:rtl w:val="0"/>
        </w:rPr>
        <w:t xml:space="preserve">When a bank sells a tokenised corporate bond, the bond has to change hands at the same moment as the cash. Should one leg become final while the other fails, the party that performed first is left carrying principal risk. Delivery-versus-payment (DvP) is the arrangement that settles the two legs together, and central bank money is the safest asset in which to settle the cash leg. Where that money sits is an open choice. It can remain in a real-time gross settlement (RTGS) system, as it does today, or it can be issued as wholesale central bank digital currency (wCBDC) on the same ledger that holds the bond. The two options put the authoritative cash record, the mechanism that ties the legs together and the central bank's controls in different places.</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i w:val="0"/>
          <w:iCs w:val="0"/>
          <w:sz w:val="22"/>
          <w:szCs w:val="22"/>
          <w:rtl w:val="0"/>
        </w:rPr>
        <w:t xml:space="preserve">The Principles for Financial Market Infrastructures (PFMI) say what a settlement arrangement must achieve, not how to build it. Pilots that all cite the PFMI have built visibly different systems: Project Helvetia issued the cash on the securities ledger, while the Eurosystem left it in TARGET and linked the two systems together. A structured multivocal scoping review of normative, institutional and academic sources shows what is missing. No study has yet held a single requirement set constant across several candidate designs and asked whether those requirements leave room for only one of them.</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i w:val="0"/>
          <w:iCs w:val="0"/>
          <w:sz w:val="22"/>
          <w:szCs w:val="22"/>
          <w:rtl w:val="0"/>
        </w:rPr>
        <w:t xml:space="preserve">The corpus was coded twice, deductively against the PFMI and inductively against the pilots. Sixteen requirements came out of that exercise, and each can be traced back to the source that supports it. From that point the work follows a Design Science Research cycle. The requirements are grouped into six functional layers, and five design parameters on which they take no position are identified, together with three families of candidate architecture. One of these families was built as a working proof of concept, in the form of three chaincodes running on a Hyperledger Fabric network. The other two were not built. They were matched instead against arrangements that central banks have already documented.</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i w:val="0"/>
          <w:iCs w:val="0"/>
          <w:sz w:val="22"/>
          <w:szCs w:val="22"/>
          <w:rtl w:val="0"/>
        </w:rPr>
        <w:t xml:space="preserve">The result is that the requirements leave more than one architecture standing. Under both readings tested, the core requirements are met by a synchronised trigger model, in which the cash stays in the RTGS system, and equally by an integrated model, in which both legs are committed on a single platform. A third model, which links two ledgers through hashed time-locked contracts, remains admissible under the primary reading. The choice among them therefore depends on context. It depends on whether the law recognises the arrangement, on the infrastructure already in place, on whether the central bank is prepared to issue money on a ledger it does not operate, on the volumes expected, and on what migration would cost.</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i w:val="1"/>
          <w:iCs w:val="1"/>
          <w:sz w:val="22"/>
          <w:szCs w:val="22"/>
          <w:rtl w:val="0"/>
        </w:rPr>
        <w:t xml:space="preserve">Keywords: delivery-versus-payment, central bank money, wholesale CBDC, PFMI, settlement architecture, distributed ledger technology, Design Science Research, underdetermination</w:t>
      </w:r>
      <w:r w:rsidDel="00000000" w:rsidR="00000000" w:rsidRPr="00000000">
        <w:rPr>
          <w:rtl w:val="0"/>
        </w:rPr>
      </w:r>
    </w:p>
    <w:p w:rsidR="00000000" w:rsidDel="00000000" w:rsidP="00000000" w:rsidRDefault="00000000" w:rsidRPr="00000000" w14:paraId="00000014">
      <w:pPr>
        <w:keepNext w:val="1"/>
        <w:pageBreakBefore w:val="1"/>
        <w:spacing w:after="320" w:lineRule="auto"/>
        <w:jc w:val="center"/>
        <w:rPr/>
      </w:pPr>
      <w:r w:rsidDel="00000000" w:rsidR="00000000" w:rsidRPr="00000000">
        <w:rPr>
          <w:rFonts w:ascii="Times New Roman" w:cs="Times New Roman" w:eastAsia="Times New Roman" w:hAnsi="Times New Roman"/>
          <w:b w:val="1"/>
          <w:bCs w:val="1"/>
          <w:sz w:val="32"/>
          <w:szCs w:val="32"/>
          <w:rtl w:val="0"/>
        </w:rPr>
        <w:t xml:space="preserve">Acknowledgements</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i w:val="0"/>
          <w:iCs w:val="0"/>
          <w:sz w:val="22"/>
          <w:szCs w:val="22"/>
          <w:rtl w:val="0"/>
        </w:rPr>
        <w:t xml:space="preserve">I want to sincerely thank Professor Eddy Kiomba, my supervisor, for his invaluable advice and assistance throughout the preparation of this thesis.</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i w:val="0"/>
          <w:iCs w:val="0"/>
          <w:sz w:val="22"/>
          <w:szCs w:val="22"/>
          <w:rtl w:val="0"/>
        </w:rPr>
        <w:t xml:space="preserve">I also want to express my gratitude to all the professors of University Paris 1 Panthéon-Sorbonne who were involved in my education during these two years of the MIAGE Master's programme. I thank them for their time and energy.</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i w:val="0"/>
          <w:iCs w:val="0"/>
          <w:sz w:val="22"/>
          <w:szCs w:val="22"/>
          <w:rtl w:val="0"/>
        </w:rPr>
        <w:t xml:space="preserve">Finally, I want to thank CACIB for accepting me as an apprentice and giving me the opportunity to work and grow, and specifically my manager, Julien Cornaz, who deserves special recognition for his steadfast support, mentorship and direction in many facets of my academic and professional development.</w:t>
      </w:r>
      <w:r w:rsidDel="00000000" w:rsidR="00000000" w:rsidRPr="00000000">
        <w:rPr>
          <w:rtl w:val="0"/>
        </w:rPr>
      </w:r>
    </w:p>
    <w:p w:rsidR="00000000" w:rsidDel="00000000" w:rsidP="00000000" w:rsidRDefault="00000000" w:rsidRPr="00000000" w14:paraId="00000018">
      <w:pPr>
        <w:pageBreakBefore w:val="1"/>
        <w:spacing w:after="320" w:lineRule="auto"/>
        <w:jc w:val="center"/>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70061917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scquzl5p6r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 Introduction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bs6l8fl3u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and key concepts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08cqgxy99e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Practical problem and research motivation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yv25dooi7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 and scope</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t3qllmsi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Thesis structure</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7h7kp59k4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Chapter summary</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byye93oo5g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 State of the Art and Research Questions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zckqo0ndg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design and source selection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yyn60exr3h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Normative baseline: the PFMI</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70954izu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Institutional pilots and programmes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scvnjpfob6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Academic literature</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avzvbdfj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Comparative synthesis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98z7nuila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Research gap</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f8nd68ex8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Research question and sub-questions</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5c92fs9tj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Chapter summary</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s1a60qwre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 Research Methodology</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mlf9fmij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Overall research design and role of DSR</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o7nbl6ui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Data sources and evidential roles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88mzhtkop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Operational definitions</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epid715fp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Requirement extraction and harmonisation protocol</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jercfa5g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Deductive coding</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rl9ee8jvb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Inductive coding</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hz7lf2aqf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Harmonisation, priority and traceability</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ipf15uty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Reliability procedure</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s3ppz6ot0y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Treatment-design protocol</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h8ntohh0y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Evaluation protocol</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05ip9ldk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Analytical hypotheses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gk28e2hq4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Realisation and non-equivalence tests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ml7s3sq4ed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Proof of concept and pilot-based validation</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5s4y2z0xpc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Threats to validity and reproducibility</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1y5i01q9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Research ethics and chapter summary</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ne7unxl26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 Reference Architectural Framework and Variants</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siejvtyg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Corpus and requirement-derivation results</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pfffwb2l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Consolidated requirement set</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qv468gcb3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Constructed six-layer reference framework</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1xvfmg6bx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Design parameters and admissible architecture space</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23yime4uo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Three architectural variants</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rmf0fwqj7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4.5.1 B1 - Synchronised trigger with cash in RTGS</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nib0ofdl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 B2 - Integrated on-ledger platform commit</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awelbrqi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4.5.3 B3 - Cross-ledger hashed time-locked contracts</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c5ssgx7q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Realisation matrix and structural comparison</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9rwdfzkz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Chapter summary</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p86mb4oeo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5 - Proof of Concept and Evaluation</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sogr1kpl2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Objective, scope and platform choice</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dumf99tjm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Implementation architecture and state machine</w:t>
              <w:tab/>
              <w:t xml:space="preserve">42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6v5bx2qeg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Demonstrated scenarios and test protocol</w:t>
              <w:tab/>
              <w:t xml:space="preserve">43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aaa9qh1kg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Execution evidence and results</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cbvf2ohy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Direct evidence of execution</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vgy398p4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Evaluation of H1-H3 and consequence for H0</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60xw5df5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Sensitivity analysis and validity limits</w:t>
              <w:tab/>
              <w:t xml:space="preserve">48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vwv0sia16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 Chapter summary</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bcinat33d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6 - Discussion and Conclusion</w:t>
              <w:tab/>
              <w:t xml:space="preserve">50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mqjf2k1i9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Answer to the research question and sub-questions</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bw2obsl301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Residual design dimensions and contextual factors</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xefqlwrg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Practical and theoretical implications</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8p5mde261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Contributions</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2pu2qpvq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Limitations</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j83slq91l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Generalisation to other tokenised asset classes</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3s08s79e1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Future research</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nja5wolk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Conclusion</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1"/>
        <w:pageBreakBefore w:val="1"/>
        <w:spacing w:after="320" w:lineRule="auto"/>
        <w:jc w:val="center"/>
        <w:rPr/>
      </w:pPr>
      <w:r w:rsidDel="00000000" w:rsidR="00000000" w:rsidRPr="00000000">
        <w:rPr>
          <w:rFonts w:ascii="Times New Roman" w:cs="Times New Roman" w:eastAsia="Times New Roman" w:hAnsi="Times New Roman"/>
          <w:b w:val="1"/>
          <w:bCs w:val="1"/>
          <w:sz w:val="32"/>
          <w:szCs w:val="32"/>
          <w:rtl w:val="0"/>
        </w:rPr>
        <w:t xml:space="preserve">List of Tables</w:t>
      </w:r>
      <w:r w:rsidDel="00000000" w:rsidR="00000000" w:rsidRPr="00000000">
        <w:rPr>
          <w:rtl w:val="0"/>
        </w:rPr>
      </w:r>
    </w:p>
    <w:p w:rsidR="00000000" w:rsidDel="00000000" w:rsidP="00000000" w:rsidRDefault="00000000" w:rsidRPr="00000000" w14:paraId="00000056">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2.1 - Literature-review protocol</w:t>
        <w:tab/>
        <w:t xml:space="preserve">12</w:t>
      </w:r>
      <w:r w:rsidDel="00000000" w:rsidR="00000000" w:rsidRPr="00000000">
        <w:rPr>
          <w:rtl w:val="0"/>
        </w:rPr>
      </w:r>
    </w:p>
    <w:p w:rsidR="00000000" w:rsidDel="00000000" w:rsidP="00000000" w:rsidRDefault="00000000" w:rsidRPr="00000000" w14:paraId="00000057">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2.2 - Comparative reading of documented arrangements</w:t>
        <w:tab/>
        <w:t xml:space="preserve">14</w:t>
      </w:r>
      <w:r w:rsidDel="00000000" w:rsidR="00000000" w:rsidRPr="00000000">
        <w:rPr>
          <w:rtl w:val="0"/>
        </w:rPr>
      </w:r>
    </w:p>
    <w:p w:rsidR="00000000" w:rsidDel="00000000" w:rsidP="00000000" w:rsidRDefault="00000000" w:rsidRPr="00000000" w14:paraId="00000058">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3.1 - Research design mapped to the six-chapter thesis structure</w:t>
        <w:tab/>
        <w:t xml:space="preserve">16</w:t>
      </w:r>
      <w:r w:rsidDel="00000000" w:rsidR="00000000" w:rsidRPr="00000000">
        <w:rPr>
          <w:rtl w:val="0"/>
        </w:rPr>
      </w:r>
    </w:p>
    <w:p w:rsidR="00000000" w:rsidDel="00000000" w:rsidP="00000000" w:rsidRDefault="00000000" w:rsidRPr="00000000" w14:paraId="00000059">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3.2 - Evidential roles assigned to the source registers</w:t>
        <w:tab/>
        <w:t xml:space="preserve">17</w:t>
      </w:r>
      <w:r w:rsidDel="00000000" w:rsidR="00000000" w:rsidRPr="00000000">
        <w:rPr>
          <w:rtl w:val="0"/>
        </w:rPr>
      </w:r>
    </w:p>
    <w:p w:rsidR="00000000" w:rsidDel="00000000" w:rsidP="00000000" w:rsidRDefault="00000000" w:rsidRPr="00000000" w14:paraId="0000005A">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3.3 - Component types of the DvP settlement arrangement in central bank money</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18</w:t>
      </w:r>
      <w:r w:rsidDel="00000000" w:rsidR="00000000" w:rsidRPr="00000000">
        <w:rPr>
          <w:rtl w:val="0"/>
        </w:rPr>
      </w:r>
    </w:p>
    <w:p w:rsidR="00000000" w:rsidDel="00000000" w:rsidP="00000000" w:rsidRDefault="00000000" w:rsidRPr="00000000" w14:paraId="0000005B">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3.4 - PFMI retention criteria</w:t>
        <w:tab/>
        <w:t xml:space="preserve">19</w:t>
      </w:r>
      <w:r w:rsidDel="00000000" w:rsidR="00000000" w:rsidRPr="00000000">
        <w:rPr>
          <w:rtl w:val="0"/>
        </w:rPr>
      </w:r>
    </w:p>
    <w:p w:rsidR="00000000" w:rsidDel="00000000" w:rsidP="00000000" w:rsidRDefault="00000000" w:rsidRPr="00000000" w14:paraId="0000005C">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3.5 - Source-by-principle coding scheme</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19</w:t>
      </w:r>
      <w:r w:rsidDel="00000000" w:rsidR="00000000" w:rsidRPr="00000000">
        <w:rPr>
          <w:rtl w:val="0"/>
        </w:rPr>
      </w:r>
    </w:p>
    <w:p w:rsidR="00000000" w:rsidDel="00000000" w:rsidP="00000000" w:rsidRDefault="00000000" w:rsidRPr="00000000" w14:paraId="0000005D">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3.6 - Analytical hypotheses and pre-specified decision rules</w:t>
        <w:tab/>
        <w:t xml:space="preserve">21</w:t>
      </w:r>
      <w:r w:rsidDel="00000000" w:rsidR="00000000" w:rsidRPr="00000000">
        <w:rPr>
          <w:rtl w:val="0"/>
        </w:rPr>
      </w:r>
    </w:p>
    <w:p w:rsidR="00000000" w:rsidDel="00000000" w:rsidP="00000000" w:rsidRDefault="00000000" w:rsidRPr="00000000" w14:paraId="0000005E">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3.7 - Threats to validity, mitigations and residual limits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22</w:t>
      </w:r>
      <w:r w:rsidDel="00000000" w:rsidR="00000000" w:rsidRPr="00000000">
        <w:rPr>
          <w:rtl w:val="0"/>
        </w:rPr>
      </w:r>
    </w:p>
    <w:p w:rsidR="00000000" w:rsidDel="00000000" w:rsidP="00000000" w:rsidRDefault="00000000" w:rsidRPr="00000000" w14:paraId="0000005F">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4.1 - Coded corpus and evidential proximity</w:t>
        <w:tab/>
        <w:t xml:space="preserve">25</w:t>
      </w:r>
      <w:r w:rsidDel="00000000" w:rsidR="00000000" w:rsidRPr="00000000">
        <w:rPr>
          <w:rtl w:val="0"/>
        </w:rPr>
      </w:r>
    </w:p>
    <w:p w:rsidR="00000000" w:rsidDel="00000000" w:rsidP="00000000" w:rsidRDefault="00000000" w:rsidRPr="00000000" w14:paraId="00000060">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4.2 - Retention of the twenty-four PFMI principles</w:t>
        <w:tab/>
        <w:t xml:space="preserve">25</w:t>
      </w:r>
      <w:r w:rsidDel="00000000" w:rsidR="00000000" w:rsidRPr="00000000">
        <w:rPr>
          <w:rtl w:val="0"/>
        </w:rPr>
      </w:r>
    </w:p>
    <w:p w:rsidR="00000000" w:rsidDel="00000000" w:rsidP="00000000" w:rsidRDefault="00000000" w:rsidRPr="00000000" w14:paraId="00000061">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4.3 - Sixteen consolidated requirements, their anchors, priorities and principal sources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26</w:t>
      </w:r>
      <w:r w:rsidDel="00000000" w:rsidR="00000000" w:rsidRPr="00000000">
        <w:rPr>
          <w:rtl w:val="0"/>
        </w:rPr>
      </w:r>
    </w:p>
    <w:p w:rsidR="00000000" w:rsidDel="00000000" w:rsidP="00000000" w:rsidRDefault="00000000" w:rsidRPr="00000000" w14:paraId="00000062">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4.4 - Construction and evidential provenance of the six functional layers</w:t>
        <w:tab/>
        <w:t xml:space="preserve">28</w:t>
      </w:r>
      <w:r w:rsidDel="00000000" w:rsidR="00000000" w:rsidRPr="00000000">
        <w:rPr>
          <w:rtl w:val="0"/>
        </w:rPr>
      </w:r>
    </w:p>
    <w:p w:rsidR="00000000" w:rsidDel="00000000" w:rsidP="00000000" w:rsidRDefault="00000000" w:rsidRPr="00000000" w14:paraId="00000063">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4.5 - Institutional roles mapped to layers</w:t>
        <w:tab/>
        <w:t xml:space="preserve">29</w:t>
      </w:r>
      <w:r w:rsidDel="00000000" w:rsidR="00000000" w:rsidRPr="00000000">
        <w:rPr>
          <w:rtl w:val="0"/>
        </w:rPr>
      </w:r>
    </w:p>
    <w:p w:rsidR="00000000" w:rsidDel="00000000" w:rsidP="00000000" w:rsidRDefault="00000000" w:rsidRPr="00000000" w14:paraId="00000064">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4.6 - Central-bank control mechanisms and the geometry of their surfaces</w:t>
        <w:tab/>
        <w:t xml:space="preserve">30</w:t>
      </w:r>
      <w:r w:rsidDel="00000000" w:rsidR="00000000" w:rsidRPr="00000000">
        <w:rPr>
          <w:rtl w:val="0"/>
        </w:rPr>
      </w:r>
    </w:p>
    <w:p w:rsidR="00000000" w:rsidDel="00000000" w:rsidP="00000000" w:rsidRDefault="00000000" w:rsidRPr="00000000" w14:paraId="00000065">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4.7 - Five design parameters, admissible values and evidential basis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30</w:t>
      </w:r>
      <w:r w:rsidDel="00000000" w:rsidR="00000000" w:rsidRPr="00000000">
        <w:rPr>
          <w:rtl w:val="0"/>
        </w:rPr>
      </w:r>
    </w:p>
    <w:p w:rsidR="00000000" w:rsidDel="00000000" w:rsidP="00000000" w:rsidRDefault="00000000" w:rsidRPr="00000000" w14:paraId="00000066">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4.8 - Parameter signatures of the three architecture families</w:t>
        <w:tab/>
        <w:t xml:space="preserve">31</w:t>
      </w:r>
      <w:r w:rsidDel="00000000" w:rsidR="00000000" w:rsidRPr="00000000">
        <w:rPr>
          <w:rtl w:val="0"/>
        </w:rPr>
      </w:r>
    </w:p>
    <w:p w:rsidR="00000000" w:rsidDel="00000000" w:rsidP="00000000" w:rsidRDefault="00000000" w:rsidRPr="00000000" w14:paraId="00000067">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4.9 - Structural comparison of the three variants</w:t>
        <w:tab/>
        <w:t xml:space="preserve">35</w:t>
      </w:r>
      <w:r w:rsidDel="00000000" w:rsidR="00000000" w:rsidRPr="00000000">
        <w:rPr>
          <w:rtl w:val="0"/>
        </w:rPr>
      </w:r>
    </w:p>
    <w:p w:rsidR="00000000" w:rsidDel="00000000" w:rsidP="00000000" w:rsidRDefault="00000000" w:rsidRPr="00000000" w14:paraId="00000068">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4.10 - Condensed core-requirement realisation matrix</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35</w:t>
      </w:r>
      <w:r w:rsidDel="00000000" w:rsidR="00000000" w:rsidRPr="00000000">
        <w:rPr>
          <w:rtl w:val="0"/>
        </w:rPr>
      </w:r>
    </w:p>
    <w:p w:rsidR="00000000" w:rsidDel="00000000" w:rsidP="00000000" w:rsidRDefault="00000000" w:rsidRPr="00000000" w14:paraId="00000069">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5.1 - Settlement-contract states and transitions</w:t>
        <w:tab/>
        <w:t xml:space="preserve">37</w:t>
      </w:r>
      <w:r w:rsidDel="00000000" w:rsidR="00000000" w:rsidRPr="00000000">
        <w:rPr>
          <w:rtl w:val="0"/>
        </w:rPr>
      </w:r>
    </w:p>
    <w:p w:rsidR="00000000" w:rsidDel="00000000" w:rsidP="00000000" w:rsidRDefault="00000000" w:rsidRPr="00000000" w14:paraId="0000006A">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5.2 - Demonstrated scenarios and expected outcomes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37</w:t>
      </w:r>
      <w:r w:rsidDel="00000000" w:rsidR="00000000" w:rsidRPr="00000000">
        <w:rPr>
          <w:rtl w:val="0"/>
        </w:rPr>
      </w:r>
    </w:p>
    <w:p w:rsidR="00000000" w:rsidDel="00000000" w:rsidP="00000000" w:rsidRDefault="00000000" w:rsidRPr="00000000" w14:paraId="0000006B">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5.3 - Execution results for the five principal scenarios</w:t>
        <w:tab/>
        <w:t xml:space="preserve">38</w:t>
      </w:r>
      <w:r w:rsidDel="00000000" w:rsidR="00000000" w:rsidRPr="00000000">
        <w:rPr>
          <w:rtl w:val="0"/>
        </w:rPr>
      </w:r>
    </w:p>
    <w:p w:rsidR="00000000" w:rsidDel="00000000" w:rsidP="00000000" w:rsidRDefault="00000000" w:rsidRPr="00000000" w14:paraId="0000006C">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5.4 - Additional control and invariant probes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38</w:t>
      </w:r>
      <w:r w:rsidDel="00000000" w:rsidR="00000000" w:rsidRPr="00000000">
        <w:rPr>
          <w:rtl w:val="0"/>
        </w:rPr>
      </w:r>
    </w:p>
    <w:p w:rsidR="00000000" w:rsidDel="00000000" w:rsidP="00000000" w:rsidRDefault="00000000" w:rsidRPr="00000000" w14:paraId="0000006D">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5.5 - Ledger balances before and after scenario S1</w:t>
        <w:tab/>
        <w:t xml:space="preserve">39</w:t>
      </w:r>
      <w:r w:rsidDel="00000000" w:rsidR="00000000" w:rsidRPr="00000000">
        <w:rPr>
          <w:rtl w:val="0"/>
        </w:rPr>
      </w:r>
    </w:p>
    <w:p w:rsidR="00000000" w:rsidDel="00000000" w:rsidP="00000000" w:rsidRDefault="00000000" w:rsidRPr="00000000" w14:paraId="0000006E">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5.6 - Pilot mapping under the mechanism-validity criterion</w:t>
        <w:tab/>
        <w:t xml:space="preserve">41</w:t>
      </w:r>
      <w:r w:rsidDel="00000000" w:rsidR="00000000" w:rsidRPr="00000000">
        <w:rPr>
          <w:rtl w:val="0"/>
        </w:rPr>
      </w:r>
    </w:p>
    <w:p w:rsidR="00000000" w:rsidDel="00000000" w:rsidP="00000000" w:rsidRDefault="00000000" w:rsidRPr="00000000" w14:paraId="0000006F">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5.7 - Hypothesis verdicts and their evidential scope</w:t>
        <w:tab/>
        <w:t xml:space="preserve">42</w:t>
      </w:r>
      <w:r w:rsidDel="00000000" w:rsidR="00000000" w:rsidRPr="00000000">
        <w:rPr>
          <w:rtl w:val="0"/>
        </w:rPr>
      </w:r>
    </w:p>
    <w:p w:rsidR="00000000" w:rsidDel="00000000" w:rsidP="00000000" w:rsidRDefault="00000000" w:rsidRPr="00000000" w14:paraId="00000070">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Table A.1 - Companion materials required for auditability</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50</w:t>
      </w:r>
      <w:r w:rsidDel="00000000" w:rsidR="00000000" w:rsidRPr="00000000">
        <w:rPr>
          <w:rtl w:val="0"/>
        </w:rPr>
      </w:r>
    </w:p>
    <w:p w:rsidR="00000000" w:rsidDel="00000000" w:rsidP="00000000" w:rsidRDefault="00000000" w:rsidRPr="00000000" w14:paraId="00000071">
      <w:pPr>
        <w:keepNext w:val="1"/>
        <w:pageBreakBefore w:val="1"/>
        <w:spacing w:after="320" w:lineRule="auto"/>
        <w:jc w:val="center"/>
        <w:rPr/>
      </w:pPr>
      <w:r w:rsidDel="00000000" w:rsidR="00000000" w:rsidRPr="00000000">
        <w:rPr>
          <w:rFonts w:ascii="Times New Roman" w:cs="Times New Roman" w:eastAsia="Times New Roman" w:hAnsi="Times New Roman"/>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072">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4.1 - Author-constructed generic DvP settlement architecture</w:t>
        <w:tab/>
        <w:t xml:space="preserve">27</w:t>
      </w:r>
      <w:r w:rsidDel="00000000" w:rsidR="00000000" w:rsidRPr="00000000">
        <w:rPr>
          <w:rtl w:val="0"/>
        </w:rPr>
      </w:r>
    </w:p>
    <w:p w:rsidR="00000000" w:rsidDel="00000000" w:rsidP="00000000" w:rsidRDefault="00000000" w:rsidRPr="00000000" w14:paraId="00000073">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4.2 - Six-layer functional reference framework</w:t>
        <w:tab/>
        <w:t xml:space="preserve">28</w:t>
      </w:r>
      <w:r w:rsidDel="00000000" w:rsidR="00000000" w:rsidRPr="00000000">
        <w:rPr>
          <w:rtl w:val="0"/>
        </w:rPr>
      </w:r>
    </w:p>
    <w:p w:rsidR="00000000" w:rsidDel="00000000" w:rsidP="00000000" w:rsidRDefault="00000000" w:rsidRPr="00000000" w14:paraId="00000074">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4.3 - Coordination mechanism of variant B1: synchronised trigger</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32</w:t>
      </w:r>
      <w:r w:rsidDel="00000000" w:rsidR="00000000" w:rsidRPr="00000000">
        <w:rPr>
          <w:rtl w:val="0"/>
        </w:rPr>
      </w:r>
    </w:p>
    <w:p w:rsidR="00000000" w:rsidDel="00000000" w:rsidP="00000000" w:rsidRDefault="00000000" w:rsidRPr="00000000" w14:paraId="00000075">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4.4 - Coordination mechanism of variant B2: integrated on-ledger platform commit</w:t>
        <w:tab/>
        <w:t xml:space="preserve">33</w:t>
      </w:r>
      <w:r w:rsidDel="00000000" w:rsidR="00000000" w:rsidRPr="00000000">
        <w:rPr>
          <w:rtl w:val="0"/>
        </w:rPr>
      </w:r>
    </w:p>
    <w:p w:rsidR="00000000" w:rsidDel="00000000" w:rsidP="00000000" w:rsidRDefault="00000000" w:rsidRPr="00000000" w14:paraId="00000076">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4.5 - Coordination mechanism of variant B3: cross-ledger hashed time-locked contracts</w:t>
        <w:tab/>
        <w:t xml:space="preserve">34</w:t>
      </w:r>
      <w:r w:rsidDel="00000000" w:rsidR="00000000" w:rsidRPr="00000000">
        <w:rPr>
          <w:rtl w:val="0"/>
        </w:rPr>
      </w:r>
    </w:p>
    <w:p w:rsidR="00000000" w:rsidDel="00000000" w:rsidP="00000000" w:rsidRDefault="00000000" w:rsidRPr="00000000" w14:paraId="00000077">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5.1 - Running Fabric network: peers, orderer, channel and committed chaincodes</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39</w:t>
      </w:r>
      <w:r w:rsidDel="00000000" w:rsidR="00000000" w:rsidRPr="00000000">
        <w:rPr>
          <w:rtl w:val="0"/>
        </w:rPr>
      </w:r>
    </w:p>
    <w:p w:rsidR="00000000" w:rsidDel="00000000" w:rsidP="00000000" w:rsidRDefault="00000000" w:rsidRPr="00000000" w14:paraId="00000078">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5.2 - Test-suite execution report</w:t>
        <w:tab/>
        <w:t xml:space="preserve">40</w:t>
      </w:r>
      <w:r w:rsidDel="00000000" w:rsidR="00000000" w:rsidRPr="00000000">
        <w:rPr>
          <w:rtl w:val="0"/>
        </w:rPr>
      </w:r>
    </w:p>
    <w:p w:rsidR="00000000" w:rsidDel="00000000" w:rsidP="00000000" w:rsidRDefault="00000000" w:rsidRPr="00000000" w14:paraId="00000079">
      <w:pPr>
        <w:tabs>
          <w:tab w:val="right" w:leader="none" w:pos="8901"/>
        </w:tabs>
        <w:spacing w:after="80" w:line="252.00000000000003" w:lineRule="auto"/>
        <w:ind w:left="0" w:firstLine="0"/>
        <w:rPr/>
      </w:pPr>
      <w:r w:rsidDel="00000000" w:rsidR="00000000" w:rsidRPr="00000000">
        <w:rPr>
          <w:rFonts w:ascii="Times New Roman" w:cs="Times New Roman" w:eastAsia="Times New Roman" w:hAnsi="Times New Roman"/>
          <w:b w:val="0"/>
          <w:bCs w:val="0"/>
          <w:sz w:val="21"/>
          <w:szCs w:val="21"/>
          <w:rtl w:val="0"/>
        </w:rPr>
        <w:t xml:space="preserve">Figure 5.3 - Excerpts of DvPContract.executeSettlement and ProposalGuard.requireInvokedViaDvp</w:t>
      </w:r>
      <w:r w:rsidDel="00000000" w:rsidR="00000000" w:rsidRPr="00000000">
        <w:rPr>
          <w:rtl w:val="0"/>
        </w:rPr>
        <w:tab/>
      </w:r>
      <w:r w:rsidDel="00000000" w:rsidR="00000000" w:rsidRPr="00000000">
        <w:rPr>
          <w:rFonts w:ascii="Times New Roman" w:cs="Times New Roman" w:eastAsia="Times New Roman" w:hAnsi="Times New Roman"/>
          <w:b w:val="0"/>
          <w:bCs w:val="0"/>
          <w:sz w:val="21"/>
          <w:szCs w:val="21"/>
          <w:rtl w:val="0"/>
        </w:rPr>
        <w:t xml:space="preserve">40</w:t>
      </w:r>
      <w:r w:rsidDel="00000000" w:rsidR="00000000" w:rsidRPr="00000000">
        <w:rPr>
          <w:rtl w:val="0"/>
        </w:rPr>
      </w:r>
    </w:p>
    <w:p w:rsidR="00000000" w:rsidDel="00000000" w:rsidP="00000000" w:rsidRDefault="00000000" w:rsidRPr="00000000" w14:paraId="0000007A">
      <w:pPr>
        <w:keepNext w:val="1"/>
        <w:pageBreakBefore w:val="1"/>
        <w:spacing w:after="320" w:lineRule="auto"/>
        <w:jc w:val="center"/>
        <w:rPr/>
      </w:pPr>
      <w:r w:rsidDel="00000000" w:rsidR="00000000" w:rsidRPr="00000000">
        <w:rPr>
          <w:rFonts w:ascii="Times New Roman" w:cs="Times New Roman" w:eastAsia="Times New Roman" w:hAnsi="Times New Roman"/>
          <w:b w:val="1"/>
          <w:bCs w:val="1"/>
          <w:sz w:val="32"/>
          <w:szCs w:val="32"/>
          <w:rtl w:val="0"/>
        </w:rPr>
        <w:t xml:space="preserve">List of Abbreviations</w:t>
      </w:r>
      <w:r w:rsidDel="00000000" w:rsidR="00000000" w:rsidRPr="00000000">
        <w:rPr>
          <w:rtl w:val="0"/>
        </w:rPr>
      </w:r>
    </w:p>
    <w:tbl>
      <w:tblPr>
        <w:tblStyle w:val="Table1"/>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6803"/>
        <w:tblGridChange w:id="0">
          <w:tblGrid>
            <w:gridCol w:w="1984"/>
            <w:gridCol w:w="6803"/>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07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Term</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Meaning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ACSC / RJCT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ISO 20022 settlement status codes: AcceptedSettlementCompleted / Rejected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Bank for International Settlements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CBDC / wCBDC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 Bank Digital Currency / wholesale CBDC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CeBM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 Bank Money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CSD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 Securities Depository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CSDR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 Securities Depositories Regulation (EU)</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DL3S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Banque de France's DLT-based securities settlement solution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DLT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Distributed Ledger Technology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DSR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Design Science Research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DvP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Delivery-versus-Payment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FEDS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Framework for Evaluation in Design Science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FMI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Financial Market Infrastructure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HTLC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Hashed Time-Locked Contract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ISO 20022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International messaging standard for financial transactions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KYC / AML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Know Your Customer / Anti-Money Laundering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MiFID II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Markets in Financial Instruments Directive II (EU)</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MSP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Membership Service Provider (Hyperledger Fabric identity domain)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Order Management System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pacs.009 / pacs.002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ISO 20022 messages: financial institution credit transfer / payment status report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PFMI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Principles for Financial Market Infrastructures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PoC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Proof of Concept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PvP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Payment-versus-Payment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RQ / SQ</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Research Question / Sub-Question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RTGS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Real-Time Gross Settlement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SDX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SIX Digital Exchange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Swiss Interbank Clearing, the Swiss RTGS system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SNB</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Swiss National Bank</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TARGET Services RTGS component (Eurosystem)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TARGET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Eurosystem settlement services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TIPS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TARGET Instant Payment Settlement</w:t>
            </w:r>
            <w:r w:rsidDel="00000000" w:rsidR="00000000" w:rsidRPr="00000000">
              <w:rPr>
                <w:rtl w:val="0"/>
              </w:rPr>
            </w:r>
          </w:p>
        </w:tc>
      </w:tr>
    </w:tbl>
    <w:p w:rsidR="00000000" w:rsidDel="00000000" w:rsidP="00000000" w:rsidRDefault="00000000" w:rsidRPr="00000000" w14:paraId="000000B9">
      <w:pPr>
        <w:pStyle w:val="Heading1"/>
        <w:numPr>
          <w:ilvl w:val="0"/>
          <w:numId w:val="1"/>
        </w:numPr>
        <w:spacing w:after="280" w:before="0" w:line="269" w:lineRule="auto"/>
        <w:ind w:left="0" w:right="0" w:firstLine="0"/>
        <w:jc w:val="left"/>
        <w:rPr/>
      </w:pPr>
      <w:bookmarkStart w:colFirst="0" w:colLast="0" w:name="_yscquzl5p6ri" w:id="0"/>
      <w:bookmarkEnd w:id="0"/>
      <w:r w:rsidDel="00000000" w:rsidR="00000000" w:rsidRPr="00000000">
        <w:rPr>
          <w:rtl w:val="0"/>
        </w:rPr>
        <w:t xml:space="preserve">Introduction</w:t>
      </w:r>
    </w:p>
    <w:p w:rsidR="00000000" w:rsidDel="00000000" w:rsidP="00000000" w:rsidRDefault="00000000" w:rsidRPr="00000000" w14:paraId="000000BA">
      <w:pPr>
        <w:pStyle w:val="Heading2"/>
        <w:numPr>
          <w:ilvl w:val="1"/>
          <w:numId w:val="1"/>
        </w:numPr>
        <w:ind w:left="0" w:firstLine="0"/>
        <w:rPr/>
      </w:pPr>
      <w:bookmarkStart w:colFirst="0" w:colLast="0" w:name="_sbs6l8fl3utn" w:id="1"/>
      <w:bookmarkEnd w:id="1"/>
      <w:r w:rsidDel="00000000" w:rsidR="00000000" w:rsidRPr="00000000">
        <w:rPr>
          <w:rtl w:val="0"/>
        </w:rPr>
        <w:t xml:space="preserve">Background and key concepts</w:t>
      </w:r>
    </w:p>
    <w:p w:rsidR="00000000" w:rsidDel="00000000" w:rsidP="00000000" w:rsidRDefault="00000000" w:rsidRPr="00000000" w14:paraId="000000BB">
      <w:pPr>
        <w:rPr/>
      </w:pPr>
      <w:r w:rsidDel="00000000" w:rsidR="00000000" w:rsidRPr="00000000">
        <w:rPr>
          <w:rFonts w:ascii="Times New Roman" w:cs="Times New Roman" w:eastAsia="Times New Roman" w:hAnsi="Times New Roman"/>
          <w:i w:val="0"/>
          <w:iCs w:val="0"/>
          <w:sz w:val="22"/>
          <w:szCs w:val="22"/>
          <w:rtl w:val="0"/>
        </w:rPr>
        <w:t xml:space="preserve">Tokenisation records the rights to a financial asset on a digital ledger, so that issuing it, transferring it and servicing it all run against one shared record rather than a chain of separate ones [21]. In capital markets the issuance is not the hard part: a tokenised security must eventually be exchanged for a settlement asset, under rules that make the change of ownership and the payment final [6][8]. Distributed ledger technology (DLT) is one way to keep that record. In the permissioned settings this thesis considers, only authorised institutions may join the network and validate what it records; it is not open to anonymous participants [8].</w:t>
      </w:r>
      <w:r w:rsidDel="00000000" w:rsidR="00000000" w:rsidRPr="00000000">
        <w:rPr>
          <w:rtl w:val="0"/>
        </w:rPr>
      </w:r>
    </w:p>
    <w:p w:rsidR="00000000" w:rsidDel="00000000" w:rsidP="00000000" w:rsidRDefault="00000000" w:rsidRPr="00000000" w14:paraId="000000BC">
      <w:pPr>
        <w:rPr/>
      </w:pPr>
      <w:r w:rsidDel="00000000" w:rsidR="00000000" w:rsidRPr="00000000">
        <w:rPr>
          <w:rFonts w:ascii="Times New Roman" w:cs="Times New Roman" w:eastAsia="Times New Roman" w:hAnsi="Times New Roman"/>
          <w:i w:val="0"/>
          <w:iCs w:val="0"/>
          <w:sz w:val="22"/>
          <w:szCs w:val="22"/>
          <w:rtl w:val="0"/>
        </w:rPr>
        <w:t xml:space="preserve">Three terms fix the object of this thesis. Delivery-versus-payment (DvP) is an arrangement in which the securities move if and only if the funds move [11]. Central bank money (CeBM) is money owed directly by the central bank; systemically important financial market infrastructures (FMIs) prefer to settle in it because no private settlement bank can fail in the middle and take the payment with it [11]. In today's wholesale systems, CeBM moves through a real-time gross settlement (RTGS) system, which settles each payment on its own and with finality. Wholesale central bank digital currency (wCBDC) is CeBM in digital form, reserved for eligible financial institutions, which some designs issue or represent directly on a programmable ledger [17]. That report itself speaks of wholesale central bank money tokens rather than of wCBDC; the shorter term is retained here for readability.</w:t>
      </w:r>
      <w:r w:rsidDel="00000000" w:rsidR="00000000" w:rsidRPr="00000000">
        <w:rPr>
          <w:rtl w:val="0"/>
        </w:rPr>
      </w:r>
    </w:p>
    <w:p w:rsidR="00000000" w:rsidDel="00000000" w:rsidP="00000000" w:rsidRDefault="00000000" w:rsidRPr="00000000" w14:paraId="000000BD">
      <w:pPr>
        <w:rPr/>
      </w:pPr>
      <w:r w:rsidDel="00000000" w:rsidR="00000000" w:rsidRPr="00000000">
        <w:rPr>
          <w:rFonts w:ascii="Times New Roman" w:cs="Times New Roman" w:eastAsia="Times New Roman" w:hAnsi="Times New Roman"/>
          <w:i w:val="0"/>
          <w:iCs w:val="0"/>
          <w:sz w:val="22"/>
          <w:szCs w:val="22"/>
          <w:rtl w:val="0"/>
        </w:rPr>
        <w:t xml:space="preserve">These ideas have already been tested. Project Helvetia connected a DLT securities platform to an existing RTGS system, and separately issued wCBDC on the platform itself [12][13]. Project Jura put central bank money on a ledger in a cross-border setting [15]. The Eurosystem ran three interoperability solutions linking DLT platforms to TARGET services, then announced a dual-track strategy for wholesale DLT settlement [16][22]. Central bank money can reach a tokenised market; the pilots have shown that. The open question is how to organise the arrangement when the securities leg, the cash leg and the authorities responsible for each may sit in different technical and institutional domains.</w:t>
      </w:r>
      <w:r w:rsidDel="00000000" w:rsidR="00000000" w:rsidRPr="00000000">
        <w:rPr>
          <w:rtl w:val="0"/>
        </w:rPr>
      </w:r>
    </w:p>
    <w:p w:rsidR="00000000" w:rsidDel="00000000" w:rsidP="00000000" w:rsidRDefault="00000000" w:rsidRPr="00000000" w14:paraId="000000BE">
      <w:pPr>
        <w:pStyle w:val="Heading2"/>
        <w:numPr>
          <w:ilvl w:val="1"/>
          <w:numId w:val="1"/>
        </w:numPr>
        <w:ind w:left="0" w:firstLine="0"/>
        <w:rPr/>
      </w:pPr>
      <w:bookmarkStart w:colFirst="0" w:colLast="0" w:name="_p08cqgxy99ek" w:id="2"/>
      <w:bookmarkEnd w:id="2"/>
      <w:r w:rsidDel="00000000" w:rsidR="00000000" w:rsidRPr="00000000">
        <w:rPr>
          <w:rtl w:val="0"/>
        </w:rPr>
        <w:t xml:space="preserve">Practical problem and research motivation</w:t>
      </w:r>
    </w:p>
    <w:p w:rsidR="00000000" w:rsidDel="00000000" w:rsidP="00000000" w:rsidRDefault="00000000" w:rsidRPr="00000000" w14:paraId="000000BF">
      <w:pPr>
        <w:rPr/>
      </w:pPr>
      <w:r w:rsidDel="00000000" w:rsidR="00000000" w:rsidRPr="00000000">
        <w:rPr>
          <w:rFonts w:ascii="Times New Roman" w:cs="Times New Roman" w:eastAsia="Times New Roman" w:hAnsi="Times New Roman"/>
          <w:i w:val="0"/>
          <w:iCs w:val="0"/>
          <w:sz w:val="22"/>
          <w:szCs w:val="22"/>
          <w:rtl w:val="0"/>
        </w:rPr>
        <w:t xml:space="preserve">Every securities trade carries two promises: the seller owes the security, the buyer owes the cash. Should one transfer become final while the other does not, the party that moved first has given up value and received nothing in return. This is the principal risk that the PFMI require an exchange-of-value settlement system to eliminate, by making the finality of each leg conditional on the finality of the other [11]. A tokenised bond market changes nothing in that respect, even where the bond is held on a DLT platform and the cash in a separate RTGS system.</w:t>
      </w:r>
      <w:r w:rsidDel="00000000" w:rsidR="00000000" w:rsidRPr="00000000">
        <w:rPr>
          <w:rtl w:val="0"/>
        </w:rPr>
      </w:r>
    </w:p>
    <w:p w:rsidR="00000000" w:rsidDel="00000000" w:rsidP="00000000" w:rsidRDefault="00000000" w:rsidRPr="00000000" w14:paraId="000000C0">
      <w:pPr>
        <w:rPr/>
      </w:pPr>
      <w:r w:rsidDel="00000000" w:rsidR="00000000" w:rsidRPr="00000000">
        <w:rPr>
          <w:rFonts w:ascii="Times New Roman" w:cs="Times New Roman" w:eastAsia="Times New Roman" w:hAnsi="Times New Roman"/>
          <w:i w:val="0"/>
          <w:iCs w:val="0"/>
          <w:sz w:val="22"/>
          <w:szCs w:val="22"/>
          <w:rtl w:val="0"/>
        </w:rPr>
        <w:t xml:space="preserve">Take the case of Bank A, which sells a tokenised corporate bond to Bank B for EUR 1 million. The bond must move from A's securities account to B's account, while EUR 1 million moves from B's cash account to A's account. When both balances are maintained on one platform, one transaction may update both legs or neither. When the cash leg remains in an RTGS system, however, the securities platform must coordinate with an external authoritative system. Messages may be delayed, rejected or lost; a timeout may occur after one leg has been locked; and the legal moment of finality may differ across the two infrastructures. A safe arrangement must therefore define not only the successful path but also rejection, recovery and intervention paths [7][8][11], and the timeout paths that a lock-based design makes necessary [9].</w:t>
      </w:r>
      <w:r w:rsidDel="00000000" w:rsidR="00000000" w:rsidRPr="00000000">
        <w:rPr>
          <w:rtl w:val="0"/>
        </w:rPr>
      </w:r>
    </w:p>
    <w:p w:rsidR="00000000" w:rsidDel="00000000" w:rsidP="00000000" w:rsidRDefault="00000000" w:rsidRPr="00000000" w14:paraId="000000C1">
      <w:pPr>
        <w:rPr/>
      </w:pPr>
      <w:r w:rsidDel="00000000" w:rsidR="00000000" w:rsidRPr="00000000">
        <w:rPr>
          <w:rFonts w:ascii="Times New Roman" w:cs="Times New Roman" w:eastAsia="Times New Roman" w:hAnsi="Times New Roman"/>
          <w:i w:val="0"/>
          <w:iCs w:val="0"/>
          <w:sz w:val="22"/>
          <w:szCs w:val="22"/>
          <w:rtl w:val="0"/>
        </w:rPr>
        <w:t xml:space="preserve">The settlement asset is the second choice. Cash in commercial bank money is easier to plug in, but it brings back the credit and liquidity risk of the private bank that issues it. Cash in CeBM removes that risk and raises its own question: does the CeBM stay in the RTGS system, or does it move onto the ledger as wCBDC [11][12][13][17]? The answer decides where the authoritative cash record lives, how the two legs are tied together, who carries the operational work, and how much control the central bank keeps [16][17][21].</w:t>
      </w:r>
      <w:r w:rsidDel="00000000" w:rsidR="00000000" w:rsidRPr="00000000">
        <w:rPr>
          <w:rtl w:val="0"/>
        </w:rPr>
      </w:r>
    </w:p>
    <w:p w:rsidR="00000000" w:rsidDel="00000000" w:rsidP="00000000" w:rsidRDefault="00000000" w:rsidRPr="00000000" w14:paraId="000000C2">
      <w:pPr>
        <w:rPr/>
      </w:pPr>
      <w:r w:rsidDel="00000000" w:rsidR="00000000" w:rsidRPr="00000000">
        <w:rPr>
          <w:rFonts w:ascii="Times New Roman" w:cs="Times New Roman" w:eastAsia="Times New Roman" w:hAnsi="Times New Roman"/>
          <w:i w:val="0"/>
          <w:iCs w:val="0"/>
          <w:sz w:val="22"/>
          <w:szCs w:val="22"/>
          <w:rtl w:val="0"/>
        </w:rPr>
        <w:t xml:space="preserve">A bank or an infrastructure choosing between these designs must justify that choice on five counts: what the infrastructure costs, how far it depends on an outside system, when the transfer becomes final in law [8][11], how much liquidity it ties up [6][17], and how much control the central bank keeps [20]. Setting the pilots side by side by name does not settle the matter, since each was built under a mandate and a legal regime of its own. There is no common and traceable basis on which to tell the features the requirements impose apart from those that remain a choice, one that context has to justify.</w:t>
      </w:r>
      <w:r w:rsidDel="00000000" w:rsidR="00000000" w:rsidRPr="00000000">
        <w:rPr>
          <w:rtl w:val="0"/>
        </w:rPr>
      </w:r>
    </w:p>
    <w:p w:rsidR="00000000" w:rsidDel="00000000" w:rsidP="00000000" w:rsidRDefault="00000000" w:rsidRPr="00000000" w14:paraId="000000C3">
      <w:pPr>
        <w:pStyle w:val="Heading2"/>
        <w:numPr>
          <w:ilvl w:val="1"/>
          <w:numId w:val="1"/>
        </w:numPr>
        <w:ind w:left="0" w:firstLine="0"/>
        <w:rPr/>
      </w:pPr>
      <w:bookmarkStart w:colFirst="0" w:colLast="0" w:name="_yzyv25dooi7t" w:id="3"/>
      <w:bookmarkEnd w:id="3"/>
      <w:r w:rsidDel="00000000" w:rsidR="00000000" w:rsidRPr="00000000">
        <w:rPr>
          <w:rtl w:val="0"/>
        </w:rPr>
        <w:t xml:space="preserve">Objective and scope</w:t>
      </w:r>
    </w:p>
    <w:p w:rsidR="00000000" w:rsidDel="00000000" w:rsidP="00000000" w:rsidRDefault="00000000" w:rsidRPr="00000000" w14:paraId="000000C4">
      <w:pPr>
        <w:rPr/>
      </w:pPr>
      <w:r w:rsidDel="00000000" w:rsidR="00000000" w:rsidRPr="00000000">
        <w:rPr>
          <w:rFonts w:ascii="Times New Roman" w:cs="Times New Roman" w:eastAsia="Times New Roman" w:hAnsi="Times New Roman"/>
          <w:i w:val="0"/>
          <w:iCs w:val="0"/>
          <w:sz w:val="22"/>
          <w:szCs w:val="22"/>
          <w:rtl w:val="0"/>
        </w:rPr>
        <w:t xml:space="preserve">This thesis has two aims: to build a reference framework for comparing DvP settlement architectures for tokenised corporate bonds in central bank money, and to apply it. It first extracts architecture-level requirements from normative, institutional and academic sources. It sorts those requirements into a functional framework, marks the design parameters they leave open, specifies candidate architectures that differ structurally, and tests them through a proof of concept and documentary evidence. </w:t>
      </w:r>
      <w:r w:rsidDel="00000000" w:rsidR="00000000" w:rsidRPr="00000000">
        <w:rPr>
          <w:rtl w:val="0"/>
        </w:rPr>
      </w:r>
    </w:p>
    <w:p w:rsidR="00000000" w:rsidDel="00000000" w:rsidP="00000000" w:rsidRDefault="00000000" w:rsidRPr="00000000" w14:paraId="000000C5">
      <w:pPr>
        <w:rPr/>
      </w:pPr>
      <w:r w:rsidDel="00000000" w:rsidR="00000000" w:rsidRPr="00000000">
        <w:rPr>
          <w:rFonts w:ascii="Times New Roman" w:cs="Times New Roman" w:eastAsia="Times New Roman" w:hAnsi="Times New Roman"/>
          <w:i w:val="0"/>
          <w:iCs w:val="0"/>
          <w:sz w:val="22"/>
          <w:szCs w:val="22"/>
          <w:rtl w:val="0"/>
        </w:rPr>
        <w:t xml:space="preserve">The scope is deliberately narrow, in four respects.</w:t>
      </w:r>
      <w:r w:rsidDel="00000000" w:rsidR="00000000" w:rsidRPr="00000000">
        <w:rPr>
          <w:rtl w:val="0"/>
        </w:rPr>
      </w:r>
    </w:p>
    <w:p w:rsidR="00000000" w:rsidDel="00000000" w:rsidP="00000000" w:rsidRDefault="00000000" w:rsidRPr="00000000" w14:paraId="000000C6">
      <w:pPr>
        <w:numPr>
          <w:ilvl w:val="0"/>
          <w:numId w:val="2"/>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Environment: permissioned infrastructures operated within a regulated banking environment.</w:t>
      </w:r>
      <w:r w:rsidDel="00000000" w:rsidR="00000000" w:rsidRPr="00000000">
        <w:rPr>
          <w:rtl w:val="0"/>
        </w:rPr>
      </w:r>
    </w:p>
    <w:p w:rsidR="00000000" w:rsidDel="00000000" w:rsidP="00000000" w:rsidRDefault="00000000" w:rsidRPr="00000000" w14:paraId="000000C7">
      <w:pPr>
        <w:numPr>
          <w:ilvl w:val="0"/>
          <w:numId w:val="2"/>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Asset class: tokenised corporate bonds; issuance, trading, custody business models and asset servicing are considered only where they constrain settlement.</w:t>
      </w:r>
      <w:r w:rsidDel="00000000" w:rsidR="00000000" w:rsidRPr="00000000">
        <w:rPr>
          <w:rtl w:val="0"/>
        </w:rPr>
      </w:r>
    </w:p>
    <w:p w:rsidR="00000000" w:rsidDel="00000000" w:rsidP="00000000" w:rsidRDefault="00000000" w:rsidRPr="00000000" w14:paraId="000000C8">
      <w:pPr>
        <w:numPr>
          <w:ilvl w:val="0"/>
          <w:numId w:val="2"/>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Settlement asset: wholesale central bank money, either conventional CeBM held in an RTGS system or wCBDC issued or represented on a ledger.</w:t>
      </w:r>
      <w:r w:rsidDel="00000000" w:rsidR="00000000" w:rsidRPr="00000000">
        <w:rPr>
          <w:rtl w:val="0"/>
        </w:rPr>
      </w:r>
    </w:p>
    <w:p w:rsidR="00000000" w:rsidDel="00000000" w:rsidP="00000000" w:rsidRDefault="00000000" w:rsidRPr="00000000" w14:paraId="000000C9">
      <w:pPr>
        <w:numPr>
          <w:ilvl w:val="0"/>
          <w:numId w:val="2"/>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Setting and object: domestic, single-currency settlement, with the settlement architecture - rather than monetary policy, retail CBDC or cross-border foreign-exchange settlement - as the unit of design.</w:t>
      </w: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i w:val="0"/>
          <w:iCs w:val="0"/>
          <w:sz w:val="22"/>
          <w:szCs w:val="22"/>
          <w:rtl w:val="0"/>
        </w:rPr>
        <w:t xml:space="preserve">The same limits apply to the proof of concept, whose only purpose is to show that a single coordination mechanism, with the control paths around it, can be built and run. Nothing is claimed about cybersecurity at production grade, about legal recognition, about operational resilience or throughput, or about connecting to a live RTGS system. These exclusions are written into the evaluation protocol in Chapter 3.</w:t>
      </w:r>
      <w:r w:rsidDel="00000000" w:rsidR="00000000" w:rsidRPr="00000000">
        <w:rPr>
          <w:rtl w:val="0"/>
        </w:rPr>
      </w:r>
    </w:p>
    <w:p w:rsidR="00000000" w:rsidDel="00000000" w:rsidP="00000000" w:rsidRDefault="00000000" w:rsidRPr="00000000" w14:paraId="000000CB">
      <w:pPr>
        <w:pStyle w:val="Heading2"/>
        <w:numPr>
          <w:ilvl w:val="1"/>
          <w:numId w:val="1"/>
        </w:numPr>
        <w:ind w:left="0" w:firstLine="0"/>
        <w:rPr/>
      </w:pPr>
      <w:bookmarkStart w:colFirst="0" w:colLast="0" w:name="_c1t3qllmsii1" w:id="4"/>
      <w:bookmarkEnd w:id="4"/>
      <w:r w:rsidDel="00000000" w:rsidR="00000000" w:rsidRPr="00000000">
        <w:rPr>
          <w:rtl w:val="0"/>
        </w:rPr>
        <w:t xml:space="preserve">Thesis structure</w:t>
      </w:r>
    </w:p>
    <w:p w:rsidR="00000000" w:rsidDel="00000000" w:rsidP="00000000" w:rsidRDefault="00000000" w:rsidRPr="00000000" w14:paraId="000000CC">
      <w:pPr>
        <w:rPr/>
      </w:pPr>
      <w:r w:rsidDel="00000000" w:rsidR="00000000" w:rsidRPr="00000000">
        <w:rPr>
          <w:rFonts w:ascii="Times New Roman" w:cs="Times New Roman" w:eastAsia="Times New Roman" w:hAnsi="Times New Roman"/>
          <w:i w:val="0"/>
          <w:iCs w:val="0"/>
          <w:sz w:val="22"/>
          <w:szCs w:val="22"/>
          <w:rtl w:val="0"/>
        </w:rPr>
        <w:t xml:space="preserve">The thesis runs to six chapters. Chapter 1 sets out the setting, the key terms, the motivation and the scope. Chapter 2 reviews the normative, institutional and academic literature, identifies the research gap and derives the research questions from it. Chapter 3 fixes the role of Design Science Research (DSR), the coding and construction procedures and the evaluation criteria. Chapter 4 reports the requirements and presents the framework and the variants built from them. Chapter 5 presents the proof of concept and tests the hypotheses. Chapter 6 answers the questions, discusses what follows and what limits the result, and concludes.</w:t>
      </w:r>
      <w:r w:rsidDel="00000000" w:rsidR="00000000" w:rsidRPr="00000000">
        <w:rPr>
          <w:rtl w:val="0"/>
        </w:rPr>
      </w:r>
    </w:p>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2"/>
          <w:szCs w:val="22"/>
          <w:rtl w:val="0"/>
        </w:rPr>
        <w:t xml:space="preserve">Notation. Six families of codes recur throughout the thesis. R01 to R16 are the sixteen admissibility requirements derived in Chapter 4. L1 to L6 are the six functional layers of the reference framework. D1 to D5 are the design parameters the requirements leave open. B1, B2 and B3 are the three candidate architecture families. H0 to H3 are the analytical hypotheses tested in Chapter 5, and S1 to S5 the scenarios run against the proof of concept.</w:t>
      </w:r>
      <w:r w:rsidDel="00000000" w:rsidR="00000000" w:rsidRPr="00000000">
        <w:rPr>
          <w:rtl w:val="0"/>
        </w:rPr>
      </w:r>
    </w:p>
    <w:p w:rsidR="00000000" w:rsidDel="00000000" w:rsidP="00000000" w:rsidRDefault="00000000" w:rsidRPr="00000000" w14:paraId="000000CE">
      <w:pPr>
        <w:pStyle w:val="Heading2"/>
        <w:numPr>
          <w:ilvl w:val="1"/>
          <w:numId w:val="1"/>
        </w:numPr>
        <w:ind w:left="0" w:firstLine="0"/>
        <w:rPr/>
      </w:pPr>
      <w:bookmarkStart w:colFirst="0" w:colLast="0" w:name="_7n7h7kp59k4f" w:id="5"/>
      <w:bookmarkEnd w:id="5"/>
      <w:r w:rsidDel="00000000" w:rsidR="00000000" w:rsidRPr="00000000">
        <w:rPr>
          <w:rtl w:val="0"/>
        </w:rPr>
        <w:t xml:space="preserve">Chapter summary</w:t>
      </w:r>
    </w:p>
    <w:p w:rsidR="00000000" w:rsidDel="00000000" w:rsidP="00000000" w:rsidRDefault="00000000" w:rsidRPr="00000000" w14:paraId="000000CF">
      <w:pPr>
        <w:rPr/>
      </w:pPr>
      <w:r w:rsidDel="00000000" w:rsidR="00000000" w:rsidRPr="00000000">
        <w:rPr>
          <w:rFonts w:ascii="Times New Roman" w:cs="Times New Roman" w:eastAsia="Times New Roman" w:hAnsi="Times New Roman"/>
          <w:i w:val="0"/>
          <w:iCs w:val="0"/>
          <w:sz w:val="22"/>
          <w:szCs w:val="22"/>
          <w:rtl w:val="0"/>
        </w:rPr>
        <w:t xml:space="preserve">Tokenised securities can be settled in central bank money in several ways, and those ways differ in where the cash sits, how the two legs are tied together and who keeps control. The differences change when the transfer is final, who carries principal risk and who answers for the arrangement. Chapter 2 reviews the evidence needed to see what remains unresolved.</w:t>
      </w:r>
      <w:r w:rsidDel="00000000" w:rsidR="00000000" w:rsidRPr="00000000">
        <w:rPr>
          <w:rtl w:val="0"/>
        </w:rPr>
      </w:r>
    </w:p>
    <w:p w:rsidR="00000000" w:rsidDel="00000000" w:rsidP="00000000" w:rsidRDefault="00000000" w:rsidRPr="00000000" w14:paraId="000000D0">
      <w:pPr>
        <w:pStyle w:val="Heading1"/>
        <w:numPr>
          <w:ilvl w:val="0"/>
          <w:numId w:val="1"/>
        </w:numPr>
        <w:ind w:left="0" w:firstLine="0"/>
        <w:jc w:val="left"/>
        <w:rPr/>
      </w:pPr>
      <w:bookmarkStart w:colFirst="0" w:colLast="0" w:name="_nbyye93oo5g5" w:id="6"/>
      <w:bookmarkEnd w:id="6"/>
      <w:r w:rsidDel="00000000" w:rsidR="00000000" w:rsidRPr="00000000">
        <w:rPr>
          <w:rtl w:val="0"/>
        </w:rPr>
        <w:t xml:space="preserve">State of the Art and Research Questions</w:t>
      </w:r>
    </w:p>
    <w:p w:rsidR="00000000" w:rsidDel="00000000" w:rsidP="00000000" w:rsidRDefault="00000000" w:rsidRPr="00000000" w14:paraId="000000D1">
      <w:pPr>
        <w:pStyle w:val="Heading2"/>
        <w:numPr>
          <w:ilvl w:val="1"/>
          <w:numId w:val="1"/>
        </w:numPr>
        <w:ind w:left="0" w:firstLine="0"/>
        <w:jc w:val="left"/>
        <w:rPr/>
      </w:pPr>
      <w:bookmarkStart w:colFirst="0" w:colLast="0" w:name="_cnzckqo0ndg5" w:id="7"/>
      <w:bookmarkEnd w:id="7"/>
      <w:r w:rsidDel="00000000" w:rsidR="00000000" w:rsidRPr="00000000">
        <w:rPr>
          <w:rtl w:val="0"/>
        </w:rPr>
        <w:t xml:space="preserve">Review design and source selection</w:t>
      </w:r>
    </w:p>
    <w:p w:rsidR="00000000" w:rsidDel="00000000" w:rsidP="00000000" w:rsidRDefault="00000000" w:rsidRPr="00000000" w14:paraId="000000D2">
      <w:pPr>
        <w:rPr/>
      </w:pPr>
      <w:r w:rsidDel="00000000" w:rsidR="00000000" w:rsidRPr="00000000">
        <w:rPr>
          <w:rFonts w:ascii="Times New Roman" w:cs="Times New Roman" w:eastAsia="Times New Roman" w:hAnsi="Times New Roman"/>
          <w:i w:val="0"/>
          <w:iCs w:val="0"/>
          <w:sz w:val="22"/>
          <w:szCs w:val="22"/>
          <w:rtl w:val="0"/>
        </w:rPr>
        <w:t xml:space="preserve">The review maps three things: the requirements that apply to DvP settlement of tokenised securities in central bank money, the mechanisms proposed to tie the two legs together, and the arrangements that have actually been built. Its sources are mixed (peer-reviewed papers, international standards, regulatory reports and pilot documentation), so the study uses a structured multivocal scoping review. It is scoping because it maps concepts, design alternatives and gaps rather than measuring a common causal effect. It is multivocal because a central bank's own report on a system it has built is primary evidence that no journal supplies; such sources are admitted under the quality rules proposed for multivocal reviews [31], transposed here from software engineering to the institutional literature of financial market infrastructures; traceability is a requirement added by this study rather than one of their named criteria.</w:t>
      </w:r>
      <w:r w:rsidDel="00000000" w:rsidR="00000000" w:rsidRPr="00000000">
        <w:rPr>
          <w:rtl w:val="0"/>
        </w:rPr>
      </w:r>
    </w:p>
    <w:p w:rsidR="00000000" w:rsidDel="00000000" w:rsidP="00000000" w:rsidRDefault="00000000" w:rsidRPr="00000000" w14:paraId="000000D3">
      <w:pPr>
        <w:rPr/>
      </w:pPr>
      <w:r w:rsidDel="00000000" w:rsidR="00000000" w:rsidRPr="00000000">
        <w:rPr>
          <w:rFonts w:ascii="Times New Roman" w:cs="Times New Roman" w:eastAsia="Times New Roman" w:hAnsi="Times New Roman"/>
          <w:i w:val="0"/>
          <w:iCs w:val="0"/>
          <w:sz w:val="22"/>
          <w:szCs w:val="22"/>
          <w:rtl w:val="0"/>
        </w:rPr>
        <w:t xml:space="preserve">The search covered work published between 2019 and 2026, and admitted earlier sources by backward snowballing where they set the normative baseline or supplied a core analytical construct. Scopus, Miage Scholar, Web of Science and Google Scholar were searched for peer-reviewed work. Institutional material was collected from the Bank for International Settlements (BIS), the European Central Bank (ECB), the Committee on Payments and Market Infrastructures together with IOSCO (CPMI-IOSCO), and from the national central banks that ran the pilots. All searches used the same query:</w:t>
      </w:r>
      <w:r w:rsidDel="00000000" w:rsidR="00000000" w:rsidRPr="00000000">
        <w:rPr>
          <w:rtl w:val="0"/>
        </w:rPr>
      </w:r>
    </w:p>
    <w:p w:rsidR="00000000" w:rsidDel="00000000" w:rsidP="00000000" w:rsidRDefault="00000000" w:rsidRPr="00000000" w14:paraId="000000D4">
      <w:pPr>
        <w:spacing w:after="160" w:before="80" w:lineRule="auto"/>
        <w:ind w:left="425" w:right="425" w:firstLine="0"/>
        <w:jc w:val="left"/>
        <w:rPr/>
      </w:pPr>
      <w:r w:rsidDel="00000000" w:rsidR="00000000" w:rsidRPr="00000000">
        <w:rPr>
          <w:rFonts w:ascii="Times New Roman" w:cs="Times New Roman" w:eastAsia="Times New Roman" w:hAnsi="Times New Roman"/>
          <w:i w:val="1"/>
          <w:iCs w:val="1"/>
          <w:sz w:val="22"/>
          <w:szCs w:val="22"/>
          <w:rtl w:val="0"/>
        </w:rPr>
        <w:t xml:space="preserve">("delivery-versus-payment" OR "settlement finality" OR "atomic settlement") AND ("tokenisation" OR "security token" OR "bond" OR "wholesale CBDC") AND ("DLT" OR "permissioned" OR "regulated")</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i w:val="0"/>
          <w:iCs w:val="0"/>
          <w:sz w:val="22"/>
          <w:szCs w:val="22"/>
          <w:rtl w:val="0"/>
        </w:rPr>
        <w:t xml:space="preserve">To be included, a source had to deal with at least one of the following: the settlement of tokenised securities, the asset in which the cash leg settles, the mechanism linking the securities leg to the cash leg, or the legal, governance and operational controls that apply to the settlement layer. Work that dealt only with issuance, market access, investment advice or post-settlement servicing was left out, unless it happened to describe a settlement mechanism that could be reused. Practitioner commentary was also left out of the analytical corpus whenever it offered neither an identifiable design nor evidence. Methodological sources were used to shape the research design and for nothing else; none of them was coded as evidence about settlement.</w:t>
      </w:r>
      <w:r w:rsidDel="00000000" w:rsidR="00000000" w:rsidRPr="00000000">
        <w:rPr>
          <w:rtl w:val="0"/>
        </w:rPr>
      </w:r>
    </w:p>
    <w:p w:rsidR="00000000" w:rsidDel="00000000" w:rsidP="00000000" w:rsidRDefault="00000000" w:rsidRPr="00000000" w14:paraId="000000D6">
      <w:pPr>
        <w:rPr/>
      </w:pPr>
      <w:r w:rsidDel="00000000" w:rsidR="00000000" w:rsidRPr="00000000">
        <w:rPr>
          <w:rFonts w:ascii="Times New Roman" w:cs="Times New Roman" w:eastAsia="Times New Roman" w:hAnsi="Times New Roman"/>
          <w:i w:val="0"/>
          <w:iCs w:val="0"/>
          <w:sz w:val="22"/>
          <w:szCs w:val="22"/>
          <w:rtl w:val="0"/>
        </w:rPr>
        <w:t xml:space="preserve">Selection went through four stages, from retrieval to screening on title and abstract, then to a full-text assessment and finally to coding. Twenty-three settlement-relevant sources form the final analytical corpus; the methodological references [29] to [33] sit outside it, and so does the Swiss National Bank's 2025 press release [14b], which is cited in Section 2.3 as a factual update on a pilot already in the corpus and was not coded. The companion coding workbook records what the search returned, which sources were dropped and why, the register each source belongs to, its proximity rating, and the page on which each piece of evidence sits. The review then ran twice over that corpus: a first pass sorted each source and the architecture it describes, and a second pass pulled out requirements, mechanisms, controls and the reasons each source gives. Keeping the two passes apart stops the review from presenting this thesis's own framework as though it had been lifted from one source.</w:t>
      </w:r>
      <w:r w:rsidDel="00000000" w:rsidR="00000000" w:rsidRPr="00000000">
        <w:rPr>
          <w:rtl w:val="0"/>
        </w:rPr>
      </w:r>
    </w:p>
    <w:tbl>
      <w:tblPr>
        <w:tblStyle w:val="Table2"/>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6462"/>
        <w:tblGridChange w:id="0">
          <w:tblGrid>
            <w:gridCol w:w="2324"/>
            <w:gridCol w:w="6462"/>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0D7">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Protocol element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0D8">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Decision applied in this study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Review type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Structured multivocal scoping review: academic, normative, regulatory and institutional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Coverage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Publications dated 2019-2026; earlier foundational sources retained through backward snowballing.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Search locations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Scopus, Web of Science, Google Scholar, BIS, ECB, CPMI-IOSCO and relevant national central banks.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D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Inclusion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Sources addressing tokenised-securities settlement, CeBM/wCBDC, DvP coordination, finality or settlement-level governance/control.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Issuance-, access- or servicing-only work; practitioner commentary without a traceable settlement contribution; methods papers from the evidence corpus.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Selection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Retrieval; title/abstract screening; full-text assessment; coding and traceability record.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Analytical corpus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Twenty-three settlement-relevant sources, supplemented by separate methodological references.</w:t>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2.1 - Literature-review protocol.</w:t>
      </w:r>
    </w:p>
    <w:p w:rsidR="00000000" w:rsidDel="00000000" w:rsidP="00000000" w:rsidRDefault="00000000" w:rsidRPr="00000000" w14:paraId="000000E8">
      <w:pPr>
        <w:pStyle w:val="Heading2"/>
        <w:numPr>
          <w:ilvl w:val="1"/>
          <w:numId w:val="1"/>
        </w:numPr>
        <w:ind w:left="0" w:firstLine="0"/>
        <w:rPr/>
      </w:pPr>
      <w:bookmarkStart w:colFirst="0" w:colLast="0" w:name="_9yyn60exr3hr" w:id="8"/>
      <w:bookmarkEnd w:id="8"/>
      <w:r w:rsidDel="00000000" w:rsidR="00000000" w:rsidRPr="00000000">
        <w:rPr>
          <w:rtl w:val="0"/>
        </w:rPr>
        <w:t xml:space="preserve">Normative baseline: the PFMI</w:t>
      </w:r>
    </w:p>
    <w:p w:rsidR="00000000" w:rsidDel="00000000" w:rsidP="00000000" w:rsidRDefault="00000000" w:rsidRPr="00000000" w14:paraId="000000E9">
      <w:pPr>
        <w:rPr/>
      </w:pPr>
      <w:r w:rsidDel="00000000" w:rsidR="00000000" w:rsidRPr="00000000">
        <w:rPr>
          <w:rFonts w:ascii="Times New Roman" w:cs="Times New Roman" w:eastAsia="Times New Roman" w:hAnsi="Times New Roman"/>
          <w:i w:val="0"/>
          <w:iCs w:val="0"/>
          <w:sz w:val="22"/>
          <w:szCs w:val="22"/>
          <w:rtl w:val="0"/>
        </w:rPr>
        <w:t xml:space="preserve">The Principles for Financial Market Infrastructures (PFMI) are the reference standard for systemically important payment systems, central securities depositories, securities settlement systems, central counterparties and trade repositories [11]. They set out what a sound infrastructure must achieve: a clear legal basis, effective governance, risk management, finality, a safe settlement asset, DvP for linked obligations, operational resilience, controlled access, and safe links to other systems. Three principles carry the settlement objective most directly. Principle 8 fixes when a transfer becomes final; Principle 9 covers what the cash leg settles in, and prefers central bank money where that is practical and available; and Principle 12 requires linked obligations to settle conditionally, so that neither party can lose the principal [11].</w:t>
      </w:r>
      <w:r w:rsidDel="00000000" w:rsidR="00000000" w:rsidRPr="00000000">
        <w:rPr>
          <w:rtl w:val="0"/>
        </w:rPr>
      </w:r>
    </w:p>
    <w:p w:rsidR="00000000" w:rsidDel="00000000" w:rsidP="00000000" w:rsidRDefault="00000000" w:rsidRPr="00000000" w14:paraId="000000EA">
      <w:pPr>
        <w:rPr/>
      </w:pPr>
      <w:r w:rsidDel="00000000" w:rsidR="00000000" w:rsidRPr="00000000">
        <w:rPr>
          <w:rFonts w:ascii="Times New Roman" w:cs="Times New Roman" w:eastAsia="Times New Roman" w:hAnsi="Times New Roman"/>
          <w:i w:val="0"/>
          <w:iCs w:val="0"/>
          <w:sz w:val="22"/>
          <w:szCs w:val="22"/>
          <w:rtl w:val="0"/>
        </w:rPr>
        <w:t xml:space="preserve">Other principles decide whether the arrangement can reach that objective inside a regulated environment. Principle 1 requires a legal basis that will hold up in court, and Principle 2 requires clear governance. Principle 3 requires a framework for the comprehensive management of risks, Principle 11 the integrity of securities issues, which it requires a central securities depository (CSD) to maintain in immobilised or dematerialised form for transfer by book entry, and Principle 17 operational risk. Principle 18 requires objective, risk-based and publicly disclosed participation criteria that permit fair and open access, with the least-restrictive impact on access that circumstances permit, while Principle 20 governs links between systems [11]. Taken together these principles form a defensible baseline of requirements. What they do not do is name a technical topology.</w:t>
      </w:r>
      <w:r w:rsidDel="00000000" w:rsidR="00000000" w:rsidRPr="00000000">
        <w:rPr>
          <w:rtl w:val="0"/>
        </w:rPr>
      </w:r>
    </w:p>
    <w:p w:rsidR="00000000" w:rsidDel="00000000" w:rsidP="00000000" w:rsidRDefault="00000000" w:rsidRPr="00000000" w14:paraId="000000EB">
      <w:pPr>
        <w:rPr/>
      </w:pPr>
      <w:r w:rsidDel="00000000" w:rsidR="00000000" w:rsidRPr="00000000">
        <w:rPr>
          <w:rFonts w:ascii="Times New Roman" w:cs="Times New Roman" w:eastAsia="Times New Roman" w:hAnsi="Times New Roman"/>
          <w:i w:val="0"/>
          <w:iCs w:val="0"/>
          <w:sz w:val="22"/>
          <w:szCs w:val="22"/>
          <w:rtl w:val="0"/>
        </w:rPr>
        <w:t xml:space="preserve">The PFMI separate the outcome from the means, and they qualify that separation themselves: with a few exceptions, the principles do not prescribe a specific tool or arrangement. The exceptions matter here, because they show where the standard is willing to name a mechanism. Principle 11 requires book-entry transfer of immobilised or dematerialised securities, Principle 8 tells a securities settlement system to consider real-time gross or multiple-batch processing, and Principle 22 requires internationally accepted communication procedures and standards [11]. Principle 12 is not among them. It requires the securities transfer and the funds transfer to be conditional on each other, and does not say whether both legs must be written to one ledger, whether the cash must stay in the RTGS system, or whether the two legs should be tied together by a platform-level atomic commit, a trusted trigger or a cryptographic condition. CPMI-IOSCO kept that functional emphasis when they applied the PFMI to stablecoin arrangements, and adapted the control questions to the new setting [23]. IOSCO's review of tokenisation does not apply the PFMI; it reports market practice and risk under the securities-regulation framework, and records that operators have taken materially different approaches to the authoritative record and to settlement [21]. The normative literature thus defines what is admissible, and in doing so leaves room for several mechanisms to reach the same outcome.</w:t>
      </w:r>
      <w:r w:rsidDel="00000000" w:rsidR="00000000" w:rsidRPr="00000000">
        <w:rPr>
          <w:rtl w:val="0"/>
        </w:rPr>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i w:val="0"/>
          <w:iCs w:val="0"/>
          <w:sz w:val="22"/>
          <w:szCs w:val="22"/>
          <w:rtl w:val="0"/>
        </w:rPr>
        <w:t xml:space="preserve">The PFMI do not exhaust the legal environment. Rules written at the level of the instrument, among them the Central Securities Depositories Regulation (CSDR) and MiFID II, also apply, and so do messaging standards such as ISO 20022. Priem sets out how far the CSDR book-entry requirement and the Settlement Finality Directive's notion of a system bear on a DLT-based settlement design [8]. In this study they are treated as boundary conditions or implementation constraints. The PFMI remain the common baseline at settlement level, for the simple reason that they apply to every candidate architecture in the same way.</w:t>
      </w:r>
      <w:r w:rsidDel="00000000" w:rsidR="00000000" w:rsidRPr="00000000">
        <w:rPr>
          <w:rtl w:val="0"/>
        </w:rPr>
      </w:r>
    </w:p>
    <w:p w:rsidR="00000000" w:rsidDel="00000000" w:rsidP="00000000" w:rsidRDefault="00000000" w:rsidRPr="00000000" w14:paraId="000000ED">
      <w:pPr>
        <w:pStyle w:val="Heading2"/>
        <w:numPr>
          <w:ilvl w:val="1"/>
          <w:numId w:val="1"/>
        </w:numPr>
        <w:ind w:left="0" w:firstLine="0"/>
        <w:rPr/>
      </w:pPr>
      <w:bookmarkStart w:colFirst="0" w:colLast="0" w:name="_dy70954izupr" w:id="9"/>
      <w:bookmarkEnd w:id="9"/>
      <w:r w:rsidDel="00000000" w:rsidR="00000000" w:rsidRPr="00000000">
        <w:rPr>
          <w:rtl w:val="0"/>
        </w:rPr>
        <w:t xml:space="preserve">Institutional pilots and programmes</w:t>
      </w:r>
    </w:p>
    <w:p w:rsidR="00000000" w:rsidDel="00000000" w:rsidP="00000000" w:rsidRDefault="00000000" w:rsidRPr="00000000" w14:paraId="000000EE">
      <w:pPr>
        <w:rPr/>
      </w:pPr>
      <w:r w:rsidDel="00000000" w:rsidR="00000000" w:rsidRPr="00000000">
        <w:rPr>
          <w:rFonts w:ascii="Times New Roman" w:cs="Times New Roman" w:eastAsia="Times New Roman" w:hAnsi="Times New Roman"/>
          <w:i w:val="0"/>
          <w:iCs w:val="0"/>
          <w:sz w:val="22"/>
          <w:szCs w:val="22"/>
          <w:rtl w:val="0"/>
        </w:rPr>
        <w:t xml:space="preserve">The closest evidence available on concrete settlement arrangements comes from institutional pilots. In its first phase, Project Helvetia compared two models on the regulated SIX Digital Exchange (SDX). In one, wCBDC was issued on the DLT platform itself. In the other, the platform was linked to the Swiss RTGS system through what the report calls an RTGS link [12]. Phase II went further and integrated the on-ledger model with the core banking systems of five commercial banks [13]. In Phase III the value was no longer simulated: live wCBDC was issued on a regulated third-party platform, and four tokenised bond issuances and one secondary-market transaction had been settled in it by May 2024 [14]. The pilot has since been extended to at least mid-2027 and widened to a second platform whose contribution is a production link from the Swiss RTGS system, settling in conventional central bank money while the wCBDC remains on the first platform [14b]. The sequence is especially informative because the same institutional environment considered both on-ledger and off-ledger cash models rather than converging immediately on one architecture.</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i w:val="0"/>
          <w:iCs w:val="0"/>
          <w:sz w:val="22"/>
          <w:szCs w:val="22"/>
          <w:rtl w:val="0"/>
        </w:rPr>
        <w:t xml:space="preserve">Project Jura ran cross-border, dual-currency settlement on a single Corda platform partitioned into three subnetworks, each with its own issuer and notary node, so that every DvP or PvP transaction required two notaries and each participating central bank kept control of its own money [15]. Two caveats travel with that result: the wCBDCs issued for the experiment did not represent a direct central bank liability, and final settlement of the cash leg was achieved only in the corresponding RTGS systems [15]. Its cross-border and foreign-exchange sides fall outside this thesis, but the way it splits ledger control and settlement authority carries over to a permissioned architecture.</w:t>
      </w: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i w:val="0"/>
          <w:iCs w:val="0"/>
          <w:sz w:val="22"/>
          <w:szCs w:val="22"/>
          <w:rtl w:val="0"/>
        </w:rPr>
        <w:t xml:space="preserve">The Eurosystem's 2024 exploratory work tested the Bundesbank Trigger Solution, the Banque de France DL3S solution and the Banca d'Italia TIPS Hash-Link, each connecting DLT market platforms to existing TARGET services rather than requiring a single DLT record [16]. The subsequent dual-track strategy distinguishes a short-term interoperability track, Pontes, from a longer-term integrated track, Appia [22]. This programme shows that keeping the cash leg in existing central bank infrastructure may be an intentional policy choice rather than a temporary technical defect.</w:t>
      </w:r>
      <w:r w:rsidDel="00000000" w:rsidR="00000000" w:rsidRPr="00000000">
        <w:rPr>
          <w:rtl w:val="0"/>
        </w:rPr>
      </w:r>
    </w:p>
    <w:p w:rsidR="00000000" w:rsidDel="00000000" w:rsidP="00000000" w:rsidRDefault="00000000" w:rsidRPr="00000000" w14:paraId="000000F1">
      <w:pPr>
        <w:rPr/>
      </w:pPr>
      <w:r w:rsidDel="00000000" w:rsidR="00000000" w:rsidRPr="00000000">
        <w:rPr>
          <w:rFonts w:ascii="Times New Roman" w:cs="Times New Roman" w:eastAsia="Times New Roman" w:hAnsi="Times New Roman"/>
          <w:i w:val="0"/>
          <w:iCs w:val="0"/>
          <w:sz w:val="22"/>
          <w:szCs w:val="22"/>
          <w:rtl w:val="0"/>
        </w:rPr>
        <w:t xml:space="preserve">At the more integrated end of the spectrum, the BIS unified-ledger blueprint - a design proposal rather than a running work programme - and the Finternet proposal envisage programmable platforms on which central bank money, commercial bank money and tokenised assets interact within a common infrastructure [20][24]. Project mBridge demonstrated payment-versus-payment on a shared multi-CBDC platform [19]; the BIS transferred that project to the partner central banks in October 2024, after the report cited here. Project Agorá addresses wholesale cross-border payments through a shared programmable platform while preserving jurisdictional control over central bank money, and names securities DvP as future scope rather than testing it [25]. None of these programmes is read here as a domestic securities-DvP implementation. They are kept in the corpus for the architectural and control patterns they document.</w:t>
      </w:r>
      <w:r w:rsidDel="00000000" w:rsidR="00000000" w:rsidRPr="00000000">
        <w:rPr>
          <w:rtl w:val="0"/>
        </w:rPr>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i w:val="0"/>
          <w:iCs w:val="0"/>
          <w:sz w:val="22"/>
          <w:szCs w:val="22"/>
          <w:rtl w:val="0"/>
        </w:rPr>
        <w:t xml:space="preserve">Across these projects the settlement objective is much the same, while the technical and institutional realisations vary [12]-[17][20][22]. The cash leg may stay in RTGS or move on-ledger. The authoritative record may be concentrated in one place or partitioned. Coordination may happen inside a single atomic platform transaction, or it may have to cross an infrastructure boundary. Each project report explains its own design in its own context. None tests the alternatives against one requirement set held constant.</w:t>
      </w:r>
      <w:r w:rsidDel="00000000" w:rsidR="00000000" w:rsidRPr="00000000">
        <w:rPr>
          <w:rtl w:val="0"/>
        </w:rPr>
      </w:r>
    </w:p>
    <w:p w:rsidR="00000000" w:rsidDel="00000000" w:rsidP="00000000" w:rsidRDefault="00000000" w:rsidRPr="00000000" w14:paraId="000000F3">
      <w:pPr>
        <w:pStyle w:val="Heading2"/>
        <w:numPr>
          <w:ilvl w:val="1"/>
          <w:numId w:val="1"/>
        </w:numPr>
        <w:ind w:left="0" w:firstLine="0"/>
        <w:rPr/>
      </w:pPr>
      <w:bookmarkStart w:colFirst="0" w:colLast="0" w:name="_gscvnjpfob6n" w:id="10"/>
      <w:bookmarkEnd w:id="10"/>
      <w:r w:rsidDel="00000000" w:rsidR="00000000" w:rsidRPr="00000000">
        <w:rPr>
          <w:rtl w:val="0"/>
        </w:rPr>
        <w:t xml:space="preserve">Academic literature</w:t>
      </w:r>
    </w:p>
    <w:p w:rsidR="00000000" w:rsidDel="00000000" w:rsidP="00000000" w:rsidRDefault="00000000" w:rsidRPr="00000000" w14:paraId="000000F4">
      <w:pPr>
        <w:rPr/>
      </w:pPr>
      <w:r w:rsidDel="00000000" w:rsidR="00000000" w:rsidRPr="00000000">
        <w:rPr>
          <w:rFonts w:ascii="Times New Roman" w:cs="Times New Roman" w:eastAsia="Times New Roman" w:hAnsi="Times New Roman"/>
          <w:i w:val="0"/>
          <w:iCs w:val="0"/>
          <w:sz w:val="22"/>
          <w:szCs w:val="22"/>
          <w:rtl w:val="0"/>
        </w:rPr>
        <w:t xml:space="preserve">The academic literature supplies three things: formal analysis of settlement risk, descriptions of coordination mechanisms, and studies of how a tokenised bond market should be designed. Chiu and Koeppl model asset settlement on a blockchain and derive an explicit threshold: settlement fails are ruled out only where the maximum default exposure stays below a bound set by the cost of winning the mining race needed to fork the chain, a cost that the block reward and the transaction fees finance. Their own trade-off lies elsewhere, between faster settlement and the transaction fees that make tampering expensive [7]. Their setting is proof of work, so neither result carries over directly to a permissioned wholesale system. What does carry over is the finding that failure paths and incentives belong inside the settlement mechanism, rather than being handled afterwards as an operational matter.</w:t>
      </w:r>
      <w:r w:rsidDel="00000000" w:rsidR="00000000" w:rsidRPr="00000000">
        <w:rPr>
          <w:rtl w:val="0"/>
        </w:rPr>
      </w:r>
    </w:p>
    <w:p w:rsidR="00000000" w:rsidDel="00000000" w:rsidP="00000000" w:rsidRDefault="00000000" w:rsidRPr="00000000" w14:paraId="000000F5">
      <w:pPr>
        <w:rPr/>
      </w:pPr>
      <w:r w:rsidDel="00000000" w:rsidR="00000000" w:rsidRPr="00000000">
        <w:rPr>
          <w:rFonts w:ascii="Times New Roman" w:cs="Times New Roman" w:eastAsia="Times New Roman" w:hAnsi="Times New Roman"/>
          <w:i w:val="0"/>
          <w:iCs w:val="0"/>
          <w:sz w:val="22"/>
          <w:szCs w:val="22"/>
          <w:rtl w:val="0"/>
        </w:rPr>
        <w:t xml:space="preserve">Son and Jang apply the standard cross-ledger hashed time-locked contract (HTLC) construction to securities settlement, and identify the timing and strategic-signature problems that follow, together with the premium that compensates the structurally favoured party [9]. Their design needs no trusted coordinator, and it shows why the timeout windows and the asymmetry between the two participants have to be examined. Benos, Garratt and Gurrola-Perez analyse how DLT changes the economic role of central securities depositories, netting and settlement intermediaries [6]. Priem adds the legal side: legal recognition, settlement finality and compatibility with securities law are preconditions of any design, not features that can be added later [8].</w:t>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i w:val="0"/>
          <w:iCs w:val="0"/>
          <w:sz w:val="22"/>
          <w:szCs w:val="22"/>
          <w:rtl w:val="0"/>
        </w:rPr>
        <w:t xml:space="preserve">Work on tokenisation and CBDC reaches well beyond the settlement layer. Zhang et al. examine tokenisation from a national and institutional standpoint and argue for a gradual, permissioned-consortium path [1], while Tian et al. study the tokenisation of infrastructure assets through a security-token case [3], and Agur, Ari and Dell'Ariccia weigh the design trade-offs of a retail central bank digital currency (CBDC) [10]. Hupel sorts CBDC interoperability into patterns but finds no universal model [4]. Goghie shows how tokenisation moves authority between incumbent banks and the decentralised protocols they connect to [5], a question that turns architectural as soon as critical settlement functions are handed to a third party.</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i w:val="0"/>
          <w:iCs w:val="0"/>
          <w:sz w:val="22"/>
          <w:szCs w:val="22"/>
          <w:rtl w:val="0"/>
        </w:rPr>
        <w:t xml:space="preserve">Cisar et al. are closest to the constructive orientation of this thesis. They derive design principles for blockchain-based bond markets and instantiate a cost-oriented design in an Ethereum prototype that carries a trade through to settlement [26]. Their focus is a single bond-market design, however, and their cash leg is a native coin or an ERC-20 stablecoin: settlement in central bank money is named as a future possibility, neither designed nor evaluated. Belkhiria et al. provide empirical evidence on a tokenised bond transaction and model the process through to a settlement contract, but leave the settlement asset and the cash-leg architecture unspecified [27], while Darwish et al. address post-issuance green-bond impact reporting rather than DvP [28]. The academic literature therefore supplies mechanisms, risks and individual artefacts, but does not construct a complete settlement requirement set and test how many structurally distinct architectures satisfy it.</w:t>
      </w:r>
      <w:r w:rsidDel="00000000" w:rsidR="00000000" w:rsidRPr="00000000">
        <w:rPr>
          <w:rtl w:val="0"/>
        </w:rPr>
      </w:r>
    </w:p>
    <w:p w:rsidR="00000000" w:rsidDel="00000000" w:rsidP="00000000" w:rsidRDefault="00000000" w:rsidRPr="00000000" w14:paraId="000000F8">
      <w:pPr>
        <w:pStyle w:val="Heading2"/>
        <w:numPr>
          <w:ilvl w:val="1"/>
          <w:numId w:val="1"/>
        </w:numPr>
        <w:ind w:left="0" w:firstLine="0"/>
        <w:rPr/>
      </w:pPr>
      <w:bookmarkStart w:colFirst="0" w:colLast="0" w:name="_39avzvbdfj2z" w:id="11"/>
      <w:bookmarkEnd w:id="11"/>
      <w:r w:rsidDel="00000000" w:rsidR="00000000" w:rsidRPr="00000000">
        <w:rPr>
          <w:rtl w:val="0"/>
        </w:rPr>
        <w:t xml:space="preserve">Comparative synthesis</w:t>
      </w:r>
    </w:p>
    <w:p w:rsidR="00000000" w:rsidDel="00000000" w:rsidP="00000000" w:rsidRDefault="00000000" w:rsidRPr="00000000" w14:paraId="000000F9">
      <w:pPr>
        <w:rPr/>
      </w:pPr>
      <w:r w:rsidDel="00000000" w:rsidR="00000000" w:rsidRPr="00000000">
        <w:rPr>
          <w:rFonts w:ascii="Times New Roman" w:cs="Times New Roman" w:eastAsia="Times New Roman" w:hAnsi="Times New Roman"/>
          <w:i w:val="0"/>
          <w:iCs w:val="0"/>
          <w:sz w:val="22"/>
          <w:szCs w:val="22"/>
          <w:rtl w:val="0"/>
        </w:rPr>
        <w:t xml:space="preserve">The pilots and programmes can be read against five descriptive parameters already visible in the corpus [12][15][16][20]: where the cash leg sits, which record is authoritative, how the two legs are tied together, who may participate, and how finely the ledger is partitioned. At this stage the parameters only sort the evidence; Chapter 4 turns them into part of the reference framework.</w:t>
      </w:r>
      <w:r w:rsidDel="00000000" w:rsidR="00000000" w:rsidRPr="00000000">
        <w:rPr>
          <w:rtl w:val="0"/>
        </w:rPr>
      </w:r>
    </w:p>
    <w:tbl>
      <w:tblPr>
        <w:tblStyle w:val="Table3"/>
        <w:tblW w:w="878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2437"/>
        <w:gridCol w:w="2437"/>
        <w:gridCol w:w="2154"/>
        <w:tblGridChange w:id="0">
          <w:tblGrid>
            <w:gridCol w:w="1757"/>
            <w:gridCol w:w="2437"/>
            <w:gridCol w:w="2437"/>
            <w:gridCol w:w="2154"/>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0FA">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Arrangement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0F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Cash and record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0F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Coordination</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0F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Participation / partition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Helvetia II-III [13][14]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On-ledger wCBDC; DLT-native securities record on SDX.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Single-platform transaction under the platform validation model.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Regulated platform; controlled access and token contracts.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Jura [15]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On-ledger dual-currency wCBDC; platform and asset registry.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Atomic exchange on-platform via dual-notary signing; final settlement in the RTGS systems and the asset registry.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Permissioned subnetworks preserve central-bank control.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Unified-ledger blueprint [20][24]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Tokenised money and assets within a common programmable infrastructure.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Ledger-native conditional execution.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Regulated participants; logically partitioned common record.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Pontes / Eurosystem work [16][22]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Cash remains in TARGET; market asset record remains external.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Cross-system trigger or synchronisation, as documented in the exploratory work [16].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RTGS access regime; separate infrastructures.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mBridge [19]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Multiple CBDCs on a shared platform; payment rather than securities DvP.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PvP on a common ledger.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1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Permissioned multi-central-bank platform.</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2.2 - Comparative reading of documented arrangements.</w:t>
      </w:r>
    </w:p>
    <w:p w:rsidR="00000000" w:rsidDel="00000000" w:rsidP="00000000" w:rsidRDefault="00000000" w:rsidRPr="00000000" w14:paraId="00000113">
      <w:pPr>
        <w:rPr/>
      </w:pPr>
      <w:r w:rsidDel="00000000" w:rsidR="00000000" w:rsidRPr="00000000">
        <w:rPr>
          <w:rFonts w:ascii="Times New Roman" w:cs="Times New Roman" w:eastAsia="Times New Roman" w:hAnsi="Times New Roman"/>
          <w:i w:val="0"/>
          <w:iCs w:val="0"/>
          <w:sz w:val="22"/>
          <w:szCs w:val="22"/>
          <w:rtl w:val="0"/>
        </w:rPr>
        <w:t xml:space="preserve">The comparison shows that the arrangements built so far differ. It does not yet show that the requirements permit the difference. The pilots are not a controlled comparison: their mandates, legal settings, asset classes and central bank policies all vary at once. Nor can the PFMI settle the question alone, because they state outcomes at a higher level than any mechanism. One requirement set has to be derived first, then applied to each candidate architecture in the same way.</w:t>
      </w:r>
      <w:r w:rsidDel="00000000" w:rsidR="00000000" w:rsidRPr="00000000">
        <w:rPr>
          <w:rtl w:val="0"/>
        </w:rPr>
      </w:r>
    </w:p>
    <w:p w:rsidR="00000000" w:rsidDel="00000000" w:rsidP="00000000" w:rsidRDefault="00000000" w:rsidRPr="00000000" w14:paraId="00000114">
      <w:pPr>
        <w:pStyle w:val="Heading2"/>
        <w:numPr>
          <w:ilvl w:val="1"/>
          <w:numId w:val="1"/>
        </w:numPr>
        <w:ind w:left="0" w:firstLine="0"/>
        <w:rPr/>
      </w:pPr>
      <w:bookmarkStart w:colFirst="0" w:colLast="0" w:name="_x98z7nuila8w" w:id="12"/>
      <w:bookmarkEnd w:id="12"/>
      <w:r w:rsidDel="00000000" w:rsidR="00000000" w:rsidRPr="00000000">
        <w:rPr>
          <w:rtl w:val="0"/>
        </w:rPr>
        <w:t xml:space="preserve">Research gap</w:t>
      </w:r>
    </w:p>
    <w:p w:rsidR="00000000" w:rsidDel="00000000" w:rsidP="00000000" w:rsidRDefault="00000000" w:rsidRPr="00000000" w14:paraId="00000115">
      <w:pPr>
        <w:rPr/>
      </w:pPr>
      <w:r w:rsidDel="00000000" w:rsidR="00000000" w:rsidRPr="00000000">
        <w:rPr>
          <w:rFonts w:ascii="Times New Roman" w:cs="Times New Roman" w:eastAsia="Times New Roman" w:hAnsi="Times New Roman"/>
          <w:i w:val="0"/>
          <w:iCs w:val="0"/>
          <w:sz w:val="22"/>
          <w:szCs w:val="22"/>
          <w:rtl w:val="0"/>
        </w:rPr>
        <w:t xml:space="preserve">The three families of evidence meet at one unresolved point. The normative literature fixes the settlement objective without fixing a mechanism. The institutional projects each demonstrate a mechanism, but always inside their own context. The academic studies analyse a particular risk or optimise a particular design, without holding one traceable requirement set constant across several settlement architectures. The literature therefore never establishes whether the requirements that apply to DvP settlement in central bank money point to one architecture or admit several structurally distinct ones.</w:t>
      </w:r>
      <w:r w:rsidDel="00000000" w:rsidR="00000000" w:rsidRPr="00000000">
        <w:rPr>
          <w:rtl w:val="0"/>
        </w:rPr>
      </w:r>
    </w:p>
    <w:p w:rsidR="00000000" w:rsidDel="00000000" w:rsidP="00000000" w:rsidRDefault="00000000" w:rsidRPr="00000000" w14:paraId="00000116">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Research gap. </w:t>
      </w:r>
      <w:r w:rsidDel="00000000" w:rsidR="00000000" w:rsidRPr="00000000">
        <w:rPr>
          <w:rFonts w:ascii="Times New Roman" w:cs="Times New Roman" w:eastAsia="Times New Roman" w:hAnsi="Times New Roman"/>
          <w:b w:val="0"/>
          <w:bCs w:val="0"/>
          <w:sz w:val="22"/>
          <w:szCs w:val="22"/>
          <w:rtl w:val="0"/>
        </w:rPr>
        <w:t xml:space="preserve">No traceable, settlement-level reference framework holds a common set of admissibility requirements constant and uses it to establish whether one architecture, or several structurally distinct ones, can support DvP settlement of tokenised corporate bonds in central bank money inside a regulated, permissioned environment.</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color w:val="000000"/>
          <w:sz w:val="22"/>
          <w:szCs w:val="22"/>
          <w:rtl w:val="0"/>
        </w:rPr>
        <w:t xml:space="preserve">This particular gap was preferred to others for reasons that are partly practical. A Master's thesis can close it with documentary evidence and design artefacts, without relying on data or resources that a student cannot obtain. It also bears directly on a choice that central banks and market infrastructures are making now, the same choice that separates the Eurosystem's two tracks, Pontes and Appia [16][22], and it ties that choice back to the PFMI. Lastly, the comparison it calls for is one that could be shown to be wrong. Larger questions stay open, such as what tokenisation does to liquidity over time, how it changes investment banking, and where authority ends up. They need different data and lie outside this study.</w:t>
      </w:r>
      <w:r w:rsidDel="00000000" w:rsidR="00000000" w:rsidRPr="00000000">
        <w:rPr>
          <w:rtl w:val="0"/>
        </w:rPr>
      </w:r>
    </w:p>
    <w:p w:rsidR="00000000" w:rsidDel="00000000" w:rsidP="00000000" w:rsidRDefault="00000000" w:rsidRPr="00000000" w14:paraId="00000118">
      <w:pPr>
        <w:pStyle w:val="Heading2"/>
        <w:numPr>
          <w:ilvl w:val="1"/>
          <w:numId w:val="1"/>
        </w:numPr>
        <w:ind w:left="0" w:firstLine="0"/>
        <w:rPr/>
      </w:pPr>
      <w:bookmarkStart w:colFirst="0" w:colLast="0" w:name="_2f8nd68ex8u5" w:id="13"/>
      <w:bookmarkEnd w:id="13"/>
      <w:r w:rsidDel="00000000" w:rsidR="00000000" w:rsidRPr="00000000">
        <w:rPr>
          <w:rtl w:val="0"/>
        </w:rPr>
        <w:t xml:space="preserve">Research question and sub-questions</w:t>
      </w:r>
    </w:p>
    <w:p w:rsidR="00000000" w:rsidDel="00000000" w:rsidP="00000000" w:rsidRDefault="00000000" w:rsidRPr="00000000" w14:paraId="00000119">
      <w:pPr>
        <w:rPr/>
      </w:pPr>
      <w:r w:rsidDel="00000000" w:rsidR="00000000" w:rsidRPr="00000000">
        <w:rPr>
          <w:rFonts w:ascii="Times New Roman" w:cs="Times New Roman" w:eastAsia="Times New Roman" w:hAnsi="Times New Roman"/>
          <w:i w:val="0"/>
          <w:iCs w:val="0"/>
          <w:sz w:val="22"/>
          <w:szCs w:val="22"/>
          <w:rtl w:val="0"/>
        </w:rPr>
        <w:t xml:space="preserve">The gap leads to the following research question:</w:t>
      </w:r>
      <w:r w:rsidDel="00000000" w:rsidR="00000000" w:rsidRPr="00000000">
        <w:rPr>
          <w:rtl w:val="0"/>
        </w:rPr>
      </w:r>
    </w:p>
    <w:p w:rsidR="00000000" w:rsidDel="00000000" w:rsidP="00000000" w:rsidRDefault="00000000" w:rsidRPr="00000000" w14:paraId="0000011A">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RQ. </w:t>
      </w:r>
      <w:r w:rsidDel="00000000" w:rsidR="00000000" w:rsidRPr="00000000">
        <w:rPr>
          <w:rFonts w:ascii="Times New Roman" w:cs="Times New Roman" w:eastAsia="Times New Roman" w:hAnsi="Times New Roman"/>
          <w:sz w:val="22"/>
          <w:szCs w:val="22"/>
          <w:rtl w:val="0"/>
        </w:rPr>
        <w:t xml:space="preserve">Do the admissibility requirements applicable to DvP settlement of tokenised corporate bonds in central bank money within a regulated, permissioned environment determine a single settlement architecture, or can several structurally distinct architectures satisfy them? If several are admissible, which contextual factors govern the residual choice between them?</w:t>
      </w:r>
      <w:r w:rsidDel="00000000" w:rsidR="00000000" w:rsidRPr="00000000">
        <w:rPr>
          <w:rtl w:val="0"/>
        </w:rPr>
      </w:r>
    </w:p>
    <w:p w:rsidR="00000000" w:rsidDel="00000000" w:rsidP="00000000" w:rsidRDefault="00000000" w:rsidRPr="00000000" w14:paraId="0000011B">
      <w:pPr>
        <w:rPr/>
      </w:pPr>
      <w:r w:rsidDel="00000000" w:rsidR="00000000" w:rsidRPr="00000000">
        <w:rPr>
          <w:rFonts w:ascii="Times New Roman" w:cs="Times New Roman" w:eastAsia="Times New Roman" w:hAnsi="Times New Roman"/>
          <w:i w:val="0"/>
          <w:iCs w:val="0"/>
          <w:sz w:val="22"/>
          <w:szCs w:val="22"/>
          <w:rtl w:val="0"/>
        </w:rPr>
        <w:t xml:space="preserve">Three sub-questions follow, in the order in which the work was carried out:</w:t>
      </w:r>
      <w:r w:rsidDel="00000000" w:rsidR="00000000" w:rsidRPr="00000000">
        <w:rPr>
          <w:rtl w:val="0"/>
        </w:rPr>
      </w:r>
    </w:p>
    <w:p w:rsidR="00000000" w:rsidDel="00000000" w:rsidP="00000000" w:rsidRDefault="00000000" w:rsidRPr="00000000" w14:paraId="0000011C">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SQ1. </w:t>
      </w:r>
      <w:r w:rsidDel="00000000" w:rsidR="00000000" w:rsidRPr="00000000">
        <w:rPr>
          <w:rFonts w:ascii="Times New Roman" w:cs="Times New Roman" w:eastAsia="Times New Roman" w:hAnsi="Times New Roman"/>
          <w:sz w:val="22"/>
          <w:szCs w:val="22"/>
          <w:rtl w:val="0"/>
        </w:rPr>
        <w:t xml:space="preserve">Which architecture-level requirements can be derived from the normative, institutional and academic corpus, and which of them are constitutive of admissibility?</w:t>
      </w:r>
      <w:r w:rsidDel="00000000" w:rsidR="00000000" w:rsidRPr="00000000">
        <w:rPr>
          <w:rtl w:val="0"/>
        </w:rPr>
      </w:r>
    </w:p>
    <w:p w:rsidR="00000000" w:rsidDel="00000000" w:rsidP="00000000" w:rsidRDefault="00000000" w:rsidRPr="00000000" w14:paraId="0000011D">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SQ2. </w:t>
      </w:r>
      <w:r w:rsidDel="00000000" w:rsidR="00000000" w:rsidRPr="00000000">
        <w:rPr>
          <w:rFonts w:ascii="Times New Roman" w:cs="Times New Roman" w:eastAsia="Times New Roman" w:hAnsi="Times New Roman"/>
          <w:sz w:val="22"/>
          <w:szCs w:val="22"/>
          <w:rtl w:val="0"/>
        </w:rPr>
        <w:t xml:space="preserve">Which structurally distinct architecture families satisfy every core requirement, through which coordination mechanisms do they produce DvP, and along which design parameters do they differ?</w:t>
      </w:r>
      <w:r w:rsidDel="00000000" w:rsidR="00000000" w:rsidRPr="00000000">
        <w:rPr>
          <w:rtl w:val="0"/>
        </w:rPr>
      </w:r>
    </w:p>
    <w:p w:rsidR="00000000" w:rsidDel="00000000" w:rsidP="00000000" w:rsidRDefault="00000000" w:rsidRPr="00000000" w14:paraId="0000011E">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SQ3.</w:t>
      </w:r>
      <w:r w:rsidDel="00000000" w:rsidR="00000000" w:rsidRPr="00000000">
        <w:rPr>
          <w:b w:val="1"/>
          <w:bCs w:val="1"/>
          <w:rtl w:val="0"/>
        </w:rPr>
        <w:t xml:space="preserve"> </w:t>
      </w:r>
      <w:r w:rsidDel="00000000" w:rsidR="00000000" w:rsidRPr="00000000">
        <w:rPr>
          <w:rtl w:val="0"/>
        </w:rPr>
        <w:t xml:space="preserve">What evidence is there that the admissible architectures can be built, and how does the strength of that evidence differ across them?</w:t>
      </w:r>
    </w:p>
    <w:p w:rsidR="00000000" w:rsidDel="00000000" w:rsidP="00000000" w:rsidRDefault="00000000" w:rsidRPr="00000000" w14:paraId="0000011F">
      <w:pPr>
        <w:spacing w:after="140" w:before="60" w:lineRule="auto"/>
        <w:ind w:left="425" w:right="227" w:firstLine="0"/>
        <w:rPr/>
      </w:pPr>
      <w:r w:rsidDel="00000000" w:rsidR="00000000" w:rsidRPr="00000000">
        <w:rPr>
          <w:rtl w:val="0"/>
        </w:rPr>
      </w:r>
    </w:p>
    <w:p w:rsidR="00000000" w:rsidDel="00000000" w:rsidP="00000000" w:rsidRDefault="00000000" w:rsidRPr="00000000" w14:paraId="00000120">
      <w:pPr>
        <w:spacing w:after="120" w:before="0" w:line="269" w:lineRule="auto"/>
        <w:ind w:left="0" w:right="0" w:firstLine="0"/>
        <w:jc w:val="both"/>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SQ1 establishes the common requirement set used throughout the rest of the study. SQ2 then applies it, asking how many architectures satisfy it and, where several do, whether they differ in more than name. SQ3 addresses a different issue: the gap between a design that appears sound on paper and one whose flows have actually been tested, either in this study or in arrangements documented elsewhere. Together, the three sub-questions make the main research question operational without assuming in advance whether the answer will point to a single architecture or several.</w:t>
      </w:r>
    </w:p>
    <w:p w:rsidR="00000000" w:rsidDel="00000000" w:rsidP="00000000" w:rsidRDefault="00000000" w:rsidRPr="00000000" w14:paraId="00000121">
      <w:pPr>
        <w:pStyle w:val="Heading2"/>
        <w:numPr>
          <w:ilvl w:val="1"/>
          <w:numId w:val="1"/>
        </w:numPr>
        <w:ind w:left="0" w:firstLine="0"/>
        <w:rPr/>
      </w:pPr>
      <w:bookmarkStart w:colFirst="0" w:colLast="0" w:name="_1w5c92fs9tjc" w:id="14"/>
      <w:bookmarkEnd w:id="14"/>
      <w:r w:rsidDel="00000000" w:rsidR="00000000" w:rsidRPr="00000000">
        <w:rPr>
          <w:rtl w:val="0"/>
        </w:rPr>
        <w:t xml:space="preserve">Chapter summary</w:t>
      </w:r>
    </w:p>
    <w:p w:rsidR="00000000" w:rsidDel="00000000" w:rsidP="00000000" w:rsidRDefault="00000000" w:rsidRPr="00000000" w14:paraId="00000122">
      <w:pPr>
        <w:rPr/>
      </w:pPr>
      <w:r w:rsidDel="00000000" w:rsidR="00000000" w:rsidRPr="00000000">
        <w:rPr>
          <w:rFonts w:ascii="Times New Roman" w:cs="Times New Roman" w:eastAsia="Times New Roman" w:hAnsi="Times New Roman"/>
          <w:i w:val="0"/>
          <w:iCs w:val="0"/>
          <w:sz w:val="22"/>
          <w:szCs w:val="22"/>
          <w:rtl w:val="0"/>
        </w:rPr>
        <w:t xml:space="preserve">This chapter has followed a single chain from the evidence to the research question. The PFMI say what settlement must achieve and take no position on the mechanism. The pilot programmes have built architectures that differ in substance, yet their contexts differ too, so they cannot be compared head on. The academic studies contribute mechanisms and risk analyses, but none of them tests several alternatives against a common requirement set. The gap is the absence of that controlled comparison. Chapter 3 now sets out the method used to derive the requirement set, build the comparison, and test the claims that come out of it.</w:t>
      </w:r>
      <w:r w:rsidDel="00000000" w:rsidR="00000000" w:rsidRPr="00000000">
        <w:rPr>
          <w:rtl w:val="0"/>
        </w:rPr>
      </w:r>
    </w:p>
    <w:p w:rsidR="00000000" w:rsidDel="00000000" w:rsidP="00000000" w:rsidRDefault="00000000" w:rsidRPr="00000000" w14:paraId="00000123">
      <w:pPr>
        <w:pStyle w:val="Heading1"/>
        <w:numPr>
          <w:ilvl w:val="0"/>
          <w:numId w:val="1"/>
        </w:numPr>
        <w:spacing w:after="280" w:before="0" w:line="269" w:lineRule="auto"/>
        <w:ind w:left="0" w:right="0" w:firstLine="0"/>
        <w:jc w:val="left"/>
        <w:rPr/>
      </w:pPr>
      <w:bookmarkStart w:colFirst="0" w:colLast="0" w:name="_ts1a60qwrez4" w:id="15"/>
      <w:bookmarkEnd w:id="15"/>
      <w:r w:rsidDel="00000000" w:rsidR="00000000" w:rsidRPr="00000000">
        <w:rPr>
          <w:rtl w:val="0"/>
        </w:rPr>
        <w:t xml:space="preserve">Research Methodology</w:t>
      </w:r>
    </w:p>
    <w:p w:rsidR="00000000" w:rsidDel="00000000" w:rsidP="00000000" w:rsidRDefault="00000000" w:rsidRPr="00000000" w14:paraId="00000124">
      <w:pPr>
        <w:pStyle w:val="Heading2"/>
        <w:numPr>
          <w:ilvl w:val="1"/>
          <w:numId w:val="1"/>
        </w:numPr>
        <w:ind w:left="0" w:firstLine="0"/>
        <w:rPr/>
      </w:pPr>
      <w:bookmarkStart w:colFirst="0" w:colLast="0" w:name="_rrmlf9fmij1d" w:id="16"/>
      <w:bookmarkEnd w:id="16"/>
      <w:r w:rsidDel="00000000" w:rsidR="00000000" w:rsidRPr="00000000">
        <w:rPr>
          <w:rtl w:val="0"/>
        </w:rPr>
        <w:t xml:space="preserve">Overall research design and role of DSR</w:t>
      </w:r>
    </w:p>
    <w:p w:rsidR="00000000" w:rsidDel="00000000" w:rsidP="00000000" w:rsidRDefault="00000000" w:rsidRPr="00000000" w14:paraId="00000125">
      <w:pPr>
        <w:rPr/>
      </w:pPr>
      <w:r w:rsidDel="00000000" w:rsidR="00000000" w:rsidRPr="00000000">
        <w:rPr>
          <w:rFonts w:ascii="Times New Roman" w:cs="Times New Roman" w:eastAsia="Times New Roman" w:hAnsi="Times New Roman"/>
          <w:i w:val="0"/>
          <w:iCs w:val="0"/>
          <w:sz w:val="22"/>
          <w:szCs w:val="22"/>
          <w:rtl w:val="0"/>
        </w:rPr>
        <w:t xml:space="preserve">The study runs in sequence. The scoping review in Chapter 2 establishes what is known and assembles the corpus. Coding that corpus produces the common requirement set. Design Science Research (DSR) then builds the reference framework and the candidate architectures. An evaluation stage finally tests the resulting claims against a proof of concept and against pilots central banks have documented. The chain is therefore: review, then requirements, then design, then validation, then an answer to the research question.</w:t>
      </w:r>
      <w:r w:rsidDel="00000000" w:rsidR="00000000" w:rsidRPr="00000000">
        <w:rPr>
          <w:rtl w:val="0"/>
        </w:rPr>
      </w:r>
    </w:p>
    <w:p w:rsidR="00000000" w:rsidDel="00000000" w:rsidP="00000000" w:rsidRDefault="00000000" w:rsidRPr="00000000" w14:paraId="00000126">
      <w:pPr>
        <w:rPr/>
      </w:pPr>
      <w:r w:rsidDel="00000000" w:rsidR="00000000" w:rsidRPr="00000000">
        <w:rPr>
          <w:rFonts w:ascii="Times New Roman" w:cs="Times New Roman" w:eastAsia="Times New Roman" w:hAnsi="Times New Roman"/>
          <w:i w:val="0"/>
          <w:iCs w:val="0"/>
          <w:sz w:val="22"/>
          <w:szCs w:val="22"/>
          <w:rtl w:val="0"/>
        </w:rPr>
        <w:t xml:space="preserve">Wieringa's Design Science Methodology for Information Systems and Software Engineering [29] is a reference methodology for research whose output is a built artefact rather than an observation. Its design cycle (problem investigation, treatment design, treatment validation) is adopted here because it separates knowledge questions from design problems, the distinction on which this thesis rests. The wider engineering cycle, which adds treatment implementation and implementation evaluation, is not followed: those two phases belong to deployment rather than to research. DSR is used in that sense only: it is not the method by which the literature was searched, and it does not cover every activity in the thesis. Its role starts where the state of the art and the derived requirements are turned into artefacts. Those artefacts (the requirement set, the reference framework, the candidate architectures and the proof of concept) are the means of answering a knowledge question: do the requirements determine the architecture [29]?</w:t>
      </w:r>
      <w:r w:rsidDel="00000000" w:rsidR="00000000" w:rsidRPr="00000000">
        <w:rPr>
          <w:rtl w:val="0"/>
        </w:rPr>
      </w:r>
    </w:p>
    <w:p w:rsidR="00000000" w:rsidDel="00000000" w:rsidP="00000000" w:rsidRDefault="00000000" w:rsidRPr="00000000" w14:paraId="00000127">
      <w:pPr>
        <w:rPr/>
      </w:pPr>
      <w:r w:rsidDel="00000000" w:rsidR="00000000" w:rsidRPr="00000000">
        <w:rPr>
          <w:rFonts w:ascii="Times New Roman" w:cs="Times New Roman" w:eastAsia="Times New Roman" w:hAnsi="Times New Roman"/>
          <w:i w:val="0"/>
          <w:iCs w:val="0"/>
          <w:sz w:val="22"/>
          <w:szCs w:val="22"/>
          <w:rtl w:val="0"/>
        </w:rPr>
        <w:t xml:space="preserve">Observing the pilots cannot answer that question, and this is why the study builds an artefact. Every pilot binds one architecture to one legal, technical and institutional context, and all three vary from one pilot to the next. The only way to hold the requirements constant is to build one shared artefact and apply it, unchanged, to each candidate mechanism in turn. Other methods were considered and set aside. A statistical experiment needs a pool of comparable deployments, and the pool here is small and heterogeneous. A survey would capture what experts believe, which is a different thing from whether a requirement logically forces an architecture. Action research would improve one organisation's system, when the aim is to compare a whole space of architectures.</w:t>
      </w:r>
      <w:r w:rsidDel="00000000" w:rsidR="00000000" w:rsidRPr="00000000">
        <w:rPr>
          <w:rtl w:val="0"/>
        </w:rPr>
      </w:r>
    </w:p>
    <w:tbl>
      <w:tblPr>
        <w:tblStyle w:val="Table4"/>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118"/>
        <w:gridCol w:w="3118"/>
        <w:tblGridChange w:id="0">
          <w:tblGrid>
            <w:gridCol w:w="1984"/>
            <w:gridCol w:w="3118"/>
            <w:gridCol w:w="3118"/>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28">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Research stage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29">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Method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2A">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Output and location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Problem investigation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Structured multivocal scoping review and comparative documentary analysis.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Research gap and RQ/SQ1-SQ3 (Chapter 2).</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2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Requirement derivation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2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Hybrid deductive-inductive coding and harmonisation.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Traceable requirement set (reported in Chapter 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Treatment design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Component mapping, functional grouping and mechanism-based variant specification.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Reference framework, parameters and variants (Chapter 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Treatment validation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Realisation matrix, mechanism comparison, proof of concept and pilot mapping.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Evidence and hypothesis verdicts (Chapter 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3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Synthesis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Cross-stage interpretation bounded by validity limits.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3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Answers, implications, limitations and conclusion (Chapter 6).</w:t>
            </w: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3.1 - Research design mapped to the six-chapter thesis structure.</w:t>
      </w:r>
    </w:p>
    <w:p w:rsidR="00000000" w:rsidDel="00000000" w:rsidP="00000000" w:rsidRDefault="00000000" w:rsidRPr="00000000" w14:paraId="0000013B">
      <w:pPr>
        <w:pStyle w:val="Heading2"/>
        <w:numPr>
          <w:ilvl w:val="1"/>
          <w:numId w:val="1"/>
        </w:numPr>
        <w:ind w:left="0" w:firstLine="0"/>
        <w:rPr/>
      </w:pPr>
      <w:bookmarkStart w:colFirst="0" w:colLast="0" w:name="_o8o7nbl6ui5b" w:id="17"/>
      <w:bookmarkEnd w:id="17"/>
      <w:r w:rsidDel="00000000" w:rsidR="00000000" w:rsidRPr="00000000">
        <w:rPr>
          <w:rtl w:val="0"/>
        </w:rPr>
        <w:t xml:space="preserve">Data sources and evidential roles</w:t>
      </w:r>
    </w:p>
    <w:p w:rsidR="00000000" w:rsidDel="00000000" w:rsidP="00000000" w:rsidRDefault="00000000" w:rsidRPr="00000000" w14:paraId="0000013C">
      <w:pPr>
        <w:rPr/>
      </w:pPr>
      <w:r w:rsidDel="00000000" w:rsidR="00000000" w:rsidRPr="00000000">
        <w:rPr>
          <w:rFonts w:ascii="Times New Roman" w:cs="Times New Roman" w:eastAsia="Times New Roman" w:hAnsi="Times New Roman"/>
          <w:i w:val="0"/>
          <w:iCs w:val="0"/>
          <w:sz w:val="22"/>
          <w:szCs w:val="22"/>
          <w:rtl w:val="0"/>
        </w:rPr>
        <w:t xml:space="preserve">Each register of sources carries a different kind of evidence, and the design keeps them apart. A document stating what an infrastructure ought to achieve is not the same evidence as a report describing a mechanism someone has built. Keeping them apart stops institutional authority from passing as proof that something works, and stops a prototype from passing as proof that it is legally admissible.</w:t>
      </w:r>
      <w:r w:rsidDel="00000000" w:rsidR="00000000" w:rsidRPr="00000000">
        <w:rPr>
          <w:rtl w:val="0"/>
        </w:rPr>
      </w:r>
    </w:p>
    <w:tbl>
      <w:tblPr>
        <w:tblStyle w:val="Table5"/>
        <w:tblW w:w="82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3968"/>
        <w:gridCol w:w="2211"/>
        <w:tblGridChange w:id="0">
          <w:tblGrid>
            <w:gridCol w:w="2040"/>
            <w:gridCol w:w="3968"/>
            <w:gridCol w:w="2211"/>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3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Source register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3E">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Role in the study</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3F">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Principal limitation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Normative and regulatory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Define settlement outcomes, legal and governance constraints, and the admissibility baseline; PFMI [11] are the primary anchor.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State objectives at a high level and, with a few exceptions, do not prescribe a specific tool or arrangement.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 and pilot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Document architectures, transaction flows, control models and reported outcomes [12]-[25].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Project-specific context and selective reporting limit direct comparison.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Peer-reviewed 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Supply formal mechanisms, risk analysis, legal interpretation and design concepts [1][4][5]-[10][26]-[28].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Most studies examine one mechanism or a broader tokenisation problem.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4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Methodological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Define DSR, evaluation, multivocal review and proof-of-concept reasoning [29]-[33].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4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Inform method only; excluded from settlement coding.</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3.2 - Evidential roles assigned to the source registers.</w:t>
      </w:r>
    </w:p>
    <w:p w:rsidR="00000000" w:rsidDel="00000000" w:rsidP="00000000" w:rsidRDefault="00000000" w:rsidRPr="00000000" w14:paraId="0000014D">
      <w:pPr>
        <w:rPr/>
      </w:pPr>
      <w:r w:rsidDel="00000000" w:rsidR="00000000" w:rsidRPr="00000000">
        <w:rPr>
          <w:rFonts w:ascii="Times New Roman" w:cs="Times New Roman" w:eastAsia="Times New Roman" w:hAnsi="Times New Roman"/>
          <w:i w:val="0"/>
          <w:iCs w:val="0"/>
          <w:sz w:val="22"/>
          <w:szCs w:val="22"/>
          <w:rtl w:val="0"/>
        </w:rPr>
        <w:t xml:space="preserve">The PFMI carry the highest normative authority over the settlement-level requirements used here [11]. A pilot report counts as primary evidence for the architecture it describes and for the results the pilot claims for itself. Such a report cannot, on its own, establish that every regulatory objective was met. That is where peer-reviewed work comes in. It is used to interpret the mechanisms and the risks, and to support, qualify or on occasion contradict what an institution says about its own system. On top of its register, each source is given a proximity rating. A source rated High specifies, evaluates or regulates the settlement arrangement as a whole. One rated Medium covers a single component or mechanism. One rated Low offers context and nothing at settlement level. One low-proximity source can never carry a core requirement on its own.</w:t>
      </w:r>
      <w:r w:rsidDel="00000000" w:rsidR="00000000" w:rsidRPr="00000000">
        <w:rPr>
          <w:rtl w:val="0"/>
        </w:rPr>
      </w:r>
    </w:p>
    <w:p w:rsidR="00000000" w:rsidDel="00000000" w:rsidP="00000000" w:rsidRDefault="00000000" w:rsidRPr="00000000" w14:paraId="0000014E">
      <w:pPr>
        <w:pStyle w:val="Heading2"/>
        <w:numPr>
          <w:ilvl w:val="1"/>
          <w:numId w:val="1"/>
        </w:numPr>
        <w:ind w:left="0" w:firstLine="0"/>
        <w:rPr/>
      </w:pPr>
      <w:bookmarkStart w:colFirst="0" w:colLast="0" w:name="_w88mzhtkopqz" w:id="18"/>
      <w:bookmarkEnd w:id="18"/>
      <w:r w:rsidDel="00000000" w:rsidR="00000000" w:rsidRPr="00000000">
        <w:rPr>
          <w:rtl w:val="0"/>
        </w:rPr>
        <w:t xml:space="preserve">Operational definitions</w:t>
      </w:r>
    </w:p>
    <w:p w:rsidR="00000000" w:rsidDel="00000000" w:rsidP="00000000" w:rsidRDefault="00000000" w:rsidRPr="00000000" w14:paraId="0000014F">
      <w:pPr>
        <w:rPr/>
      </w:pPr>
      <w:r w:rsidDel="00000000" w:rsidR="00000000" w:rsidRPr="00000000">
        <w:rPr>
          <w:rFonts w:ascii="Times New Roman" w:cs="Times New Roman" w:eastAsia="Times New Roman" w:hAnsi="Times New Roman"/>
          <w:i w:val="0"/>
          <w:iCs w:val="0"/>
          <w:sz w:val="22"/>
          <w:szCs w:val="22"/>
          <w:rtl w:val="0"/>
        </w:rPr>
        <w:t xml:space="preserve">Five definitions connect the research question to observable or constructible evidence.</w:t>
      </w:r>
      <w:r w:rsidDel="00000000" w:rsidR="00000000" w:rsidRPr="00000000">
        <w:rPr>
          <w:rtl w:val="0"/>
        </w:rPr>
      </w:r>
    </w:p>
    <w:p w:rsidR="00000000" w:rsidDel="00000000" w:rsidP="00000000" w:rsidRDefault="00000000" w:rsidRPr="00000000" w14:paraId="00000150">
      <w:pPr>
        <w:rPr/>
      </w:pPr>
      <w:r w:rsidDel="00000000" w:rsidR="00000000" w:rsidRPr="00000000">
        <w:rPr>
          <w:rFonts w:ascii="Times New Roman" w:cs="Times New Roman" w:eastAsia="Times New Roman" w:hAnsi="Times New Roman"/>
          <w:i w:val="0"/>
          <w:iCs w:val="0"/>
          <w:sz w:val="22"/>
          <w:szCs w:val="22"/>
          <w:rtl w:val="0"/>
        </w:rPr>
        <w:t xml:space="preserve">Before those definitions are stated, the arrangement is modelled as a system in Wieringa's sense [29, ch. 8, pp. 73-91]: a set of components whose organisation produces a system-level phenomenon [29]. The phenomenon the arrangement must produce is DvP settlement, in which the securities leg settles if and only if the cash leg settles, with finality. Each component is defined by a capability and a limitation, and the limitations are what the design parameters of Chapter 4 later formalise. Table 3.3 gives the component types. The central bank is an individual component rather than a type; the remaining entries are types that a concrete deployment instantiates.</w:t>
      </w:r>
      <w:r w:rsidDel="00000000" w:rsidR="00000000" w:rsidRPr="00000000">
        <w:rPr>
          <w:rtl w:val="0"/>
        </w:rPr>
      </w:r>
    </w:p>
    <w:tbl>
      <w:tblPr>
        <w:tblStyle w:val="Table6"/>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8"/>
        <w:gridCol w:w="3370"/>
        <w:gridCol w:w="3042"/>
        <w:tblGridChange w:id="0">
          <w:tblGrid>
            <w:gridCol w:w="1808"/>
            <w:gridCol w:w="3370"/>
            <w:gridCol w:w="3042"/>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51">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Component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52">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Capability</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53">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Limitation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54">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Securities domain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5">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Holds and transfers the asset leg; records ownership.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6">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Cannot move cash; acts only on a settlement instruction.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57">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Cash domain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8">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Holds and transfers central bank money with finality.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9">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Its location and finality anchor are not fixed (D1).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5A">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Coordination mechanism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B">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Enforces the DvP guarantee across the two legs.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C">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The way it does so is not fixed (D3); the mechanism lives here.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5D">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Participants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E">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Submit settlement instructions; hold balances.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5F">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Subject to eligibility and access control (D4).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60">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Compliance and control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1">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Enforce eligibility, holding limits and policy.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2">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Pre-validate only; cannot itself settle.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163">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Central bank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4">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Issues the settlement asset, wCBDC where the cash leg is on-ledger; sets access to central bank money; may intervene or suspend.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65">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An individual component; may decline to operate on a third-party ledger.</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3.3 - Component types of the DvP settlement arrangement in central bank money.</w:t>
      </w:r>
    </w:p>
    <w:p w:rsidR="00000000" w:rsidDel="00000000" w:rsidP="00000000" w:rsidRDefault="00000000" w:rsidRPr="00000000" w14:paraId="00000167">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Requirement set R. </w:t>
      </w:r>
      <w:r w:rsidDel="00000000" w:rsidR="00000000" w:rsidRPr="00000000">
        <w:rPr>
          <w:rFonts w:ascii="Times New Roman" w:cs="Times New Roman" w:eastAsia="Times New Roman" w:hAnsi="Times New Roman"/>
          <w:sz w:val="22"/>
          <w:szCs w:val="22"/>
          <w:rtl w:val="0"/>
        </w:rPr>
        <w:t xml:space="preserve">R is the set of architecture-level conditions derived from the corpus. Each requirement is expressed as an outcome or control objective, attached to at least one architectural component and traced to its normative anchor and supporting sources.</w:t>
      </w:r>
      <w:r w:rsidDel="00000000" w:rsidR="00000000" w:rsidRPr="00000000">
        <w:rPr>
          <w:rtl w:val="0"/>
        </w:rPr>
      </w:r>
    </w:p>
    <w:p w:rsidR="00000000" w:rsidDel="00000000" w:rsidP="00000000" w:rsidRDefault="00000000" w:rsidRPr="00000000" w14:paraId="00000168">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Core requirement. </w:t>
      </w:r>
      <w:r w:rsidDel="00000000" w:rsidR="00000000" w:rsidRPr="00000000">
        <w:rPr>
          <w:rFonts w:ascii="Times New Roman" w:cs="Times New Roman" w:eastAsia="Times New Roman" w:hAnsi="Times New Roman"/>
          <w:b w:val="0"/>
          <w:bCs w:val="0"/>
          <w:sz w:val="22"/>
          <w:szCs w:val="22"/>
          <w:rtl w:val="0"/>
        </w:rPr>
        <w:t xml:space="preserve">A requirement counts as core when an arrangement that breaches it can no longer be said to deliver DvP settlement in central bank money within the defined environment. Requirements about robustness, about efficiency or about choices that depend on context are placed in separate classes, and they have no bearing on admissibility.</w:t>
      </w:r>
      <w:r w:rsidDel="00000000" w:rsidR="00000000" w:rsidRPr="00000000">
        <w:rPr>
          <w:rtl w:val="0"/>
        </w:rPr>
      </w:r>
    </w:p>
    <w:p w:rsidR="00000000" w:rsidDel="00000000" w:rsidP="00000000" w:rsidRDefault="00000000" w:rsidRPr="00000000" w14:paraId="00000169">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Admissible architecture. </w:t>
      </w:r>
      <w:r w:rsidDel="00000000" w:rsidR="00000000" w:rsidRPr="00000000">
        <w:rPr>
          <w:rFonts w:ascii="Times New Roman" w:cs="Times New Roman" w:eastAsia="Times New Roman" w:hAnsi="Times New Roman"/>
          <w:sz w:val="22"/>
          <w:szCs w:val="22"/>
          <w:rtl w:val="0"/>
        </w:rPr>
        <w:t xml:space="preserve">An architecture is admissible when, for each core requirement, one can point to a concrete component or interaction within it that meets the requirement, and when no core requirement is contradicted by the architecture.</w:t>
      </w:r>
      <w:r w:rsidDel="00000000" w:rsidR="00000000" w:rsidRPr="00000000">
        <w:rPr>
          <w:rtl w:val="0"/>
        </w:rPr>
      </w:r>
    </w:p>
    <w:p w:rsidR="00000000" w:rsidDel="00000000" w:rsidP="00000000" w:rsidRDefault="00000000" w:rsidRPr="00000000" w14:paraId="0000016A">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Structural distinctness. </w:t>
      </w:r>
      <w:r w:rsidDel="00000000" w:rsidR="00000000" w:rsidRPr="00000000">
        <w:rPr>
          <w:rFonts w:ascii="Times New Roman" w:cs="Times New Roman" w:eastAsia="Times New Roman" w:hAnsi="Times New Roman"/>
          <w:b w:val="0"/>
          <w:bCs w:val="0"/>
          <w:sz w:val="22"/>
          <w:szCs w:val="22"/>
          <w:rtl w:val="0"/>
        </w:rPr>
        <w:t xml:space="preserve">Two architectures are structurally distinct when the mechanisms they use to tie the two legs together cannot be reduced to the same pattern of states and interactions. A different name, a different vendor or a different deployment scale is not enough.</w:t>
      </w:r>
      <w:r w:rsidDel="00000000" w:rsidR="00000000" w:rsidRPr="00000000">
        <w:rPr>
          <w:rtl w:val="0"/>
        </w:rPr>
      </w:r>
    </w:p>
    <w:p w:rsidR="00000000" w:rsidDel="00000000" w:rsidP="00000000" w:rsidRDefault="00000000" w:rsidRPr="00000000" w14:paraId="0000016B">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Realisability. </w:t>
      </w:r>
      <w:r w:rsidDel="00000000" w:rsidR="00000000" w:rsidRPr="00000000">
        <w:rPr>
          <w:rFonts w:ascii="Times New Roman" w:cs="Times New Roman" w:eastAsia="Times New Roman" w:hAnsi="Times New Roman"/>
          <w:b w:val="0"/>
          <w:bCs w:val="0"/>
          <w:sz w:val="22"/>
          <w:szCs w:val="22"/>
          <w:rtl w:val="0"/>
        </w:rPr>
        <w:t xml:space="preserve">An admissible architecture is realisable when its settlement flow and its safe-failure flows can be shown to run, either built here as a proof of concept, or documented in an institutional arrangement that uses the same distinguishing mechanism. Construction, exploration and live deployment carry different weight, and each is reported separately.</w:t>
      </w:r>
      <w:r w:rsidDel="00000000" w:rsidR="00000000" w:rsidRPr="00000000">
        <w:rPr>
          <w:rtl w:val="0"/>
        </w:rPr>
      </w:r>
    </w:p>
    <w:p w:rsidR="00000000" w:rsidDel="00000000" w:rsidP="00000000" w:rsidRDefault="00000000" w:rsidRPr="00000000" w14:paraId="0000016C">
      <w:pPr>
        <w:rPr/>
      </w:pPr>
      <w:r w:rsidDel="00000000" w:rsidR="00000000" w:rsidRPr="00000000">
        <w:rPr>
          <w:rFonts w:ascii="Times New Roman" w:cs="Times New Roman" w:eastAsia="Times New Roman" w:hAnsi="Times New Roman"/>
          <w:i w:val="0"/>
          <w:iCs w:val="0"/>
          <w:sz w:val="22"/>
          <w:szCs w:val="22"/>
          <w:rtl w:val="0"/>
        </w:rPr>
        <w:t xml:space="preserve">The generic architecture and the six-layer framework in Chapter 4 are artefacts built in this thesis. Neither is reproduced from a single publication. Their components are synthesised from the PFMI requirements, from the functions and control patterns the pilots document, and from the mechanism-level distinctions drawn in the academic literature [6][8][9][11] to [25]. Chapter 4 therefore has to trace every layer and every component back to those inputs, rather than cite the diagram as somebody else's model.</w:t>
      </w:r>
      <w:r w:rsidDel="00000000" w:rsidR="00000000" w:rsidRPr="00000000">
        <w:rPr>
          <w:rtl w:val="0"/>
        </w:rPr>
      </w:r>
    </w:p>
    <w:p w:rsidR="00000000" w:rsidDel="00000000" w:rsidP="00000000" w:rsidRDefault="00000000" w:rsidRPr="00000000" w14:paraId="0000016D">
      <w:pPr>
        <w:pStyle w:val="Heading2"/>
        <w:numPr>
          <w:ilvl w:val="1"/>
          <w:numId w:val="1"/>
        </w:numPr>
        <w:ind w:left="0" w:firstLine="0"/>
        <w:rPr/>
      </w:pPr>
      <w:bookmarkStart w:colFirst="0" w:colLast="0" w:name="_fvepid715fpi" w:id="19"/>
      <w:bookmarkEnd w:id="19"/>
      <w:r w:rsidDel="00000000" w:rsidR="00000000" w:rsidRPr="00000000">
        <w:rPr>
          <w:rtl w:val="0"/>
        </w:rPr>
        <w:t xml:space="preserve">Requirement extraction and harmonisation protocol</w:t>
      </w:r>
    </w:p>
    <w:p w:rsidR="00000000" w:rsidDel="00000000" w:rsidP="00000000" w:rsidRDefault="00000000" w:rsidRPr="00000000" w14:paraId="0000016E">
      <w:pPr>
        <w:rPr/>
      </w:pPr>
      <w:r w:rsidDel="00000000" w:rsidR="00000000" w:rsidRPr="00000000">
        <w:rPr>
          <w:rFonts w:ascii="Times New Roman" w:cs="Times New Roman" w:eastAsia="Times New Roman" w:hAnsi="Times New Roman"/>
          <w:i w:val="0"/>
          <w:iCs w:val="0"/>
          <w:sz w:val="22"/>
          <w:szCs w:val="22"/>
          <w:rtl w:val="0"/>
        </w:rPr>
        <w:t xml:space="preserve">The protocol answers SQ1 by coding the corpus twice, deductively and inductively. The deductive pass keeps the authority and the comparability of the PFMI. The inductive pass catches the DLT-specific mechanisms and control problems the PFMI never name. A harmonisation step then merges both streams at the level of the control objective. The unit of analysis is the merged requirement, not a source or a theme: one source may feed several requirements, and one requirement may need converging evidence from several sources.</w:t>
      </w:r>
      <w:r w:rsidDel="00000000" w:rsidR="00000000" w:rsidRPr="00000000">
        <w:rPr>
          <w:rtl w:val="0"/>
        </w:rPr>
      </w:r>
    </w:p>
    <w:p w:rsidR="00000000" w:rsidDel="00000000" w:rsidP="00000000" w:rsidRDefault="00000000" w:rsidRPr="00000000" w14:paraId="0000016F">
      <w:pPr>
        <w:pStyle w:val="Heading3"/>
        <w:numPr>
          <w:ilvl w:val="2"/>
          <w:numId w:val="1"/>
        </w:numPr>
        <w:ind w:left="360" w:hanging="360"/>
        <w:rPr/>
      </w:pPr>
      <w:bookmarkStart w:colFirst="0" w:colLast="0" w:name="_vajercfa5gs3" w:id="20"/>
      <w:bookmarkEnd w:id="20"/>
      <w:r w:rsidDel="00000000" w:rsidR="00000000" w:rsidRPr="00000000">
        <w:rPr>
          <w:rtl w:val="0"/>
        </w:rPr>
        <w:t xml:space="preserve">Deductive coding</w:t>
      </w:r>
    </w:p>
    <w:p w:rsidR="00000000" w:rsidDel="00000000" w:rsidP="00000000" w:rsidRDefault="00000000" w:rsidRPr="00000000" w14:paraId="00000170">
      <w:pPr>
        <w:rPr/>
      </w:pPr>
      <w:r w:rsidDel="00000000" w:rsidR="00000000" w:rsidRPr="00000000">
        <w:rPr>
          <w:rFonts w:ascii="Times New Roman" w:cs="Times New Roman" w:eastAsia="Times New Roman" w:hAnsi="Times New Roman"/>
          <w:i w:val="0"/>
          <w:iCs w:val="0"/>
          <w:sz w:val="22"/>
          <w:szCs w:val="22"/>
          <w:rtl w:val="0"/>
        </w:rPr>
        <w:t xml:space="preserve">Each of the twenty-four PFMI principles is checked against four retention criteria, and a principle is kept when it meets at least two. Setting the bar at two of four keeps out a general obligation that merely brushes against the topic, without setting it so high that real settlement risks drop out. The criteria were fixed before coding started and were applied conservatively. Whenever a principle was ambiguous with respect to a criterion, it was coded as not meeting it.</w:t>
      </w:r>
      <w:r w:rsidDel="00000000" w:rsidR="00000000" w:rsidRPr="00000000">
        <w:rPr>
          <w:rtl w:val="0"/>
        </w:rPr>
      </w:r>
    </w:p>
    <w:tbl>
      <w:tblPr>
        <w:tblStyle w:val="Table7"/>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6292"/>
        <w:tblGridChange w:id="0">
          <w:tblGrid>
            <w:gridCol w:w="2494"/>
            <w:gridCol w:w="6292"/>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71">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Criterion</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72">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Question applied to each PFMI principle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C1 - Settlement cycle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Does the principle bear directly on the securities-versus-payment settlement cycle?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C2 - DLT / tokenisation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Is the principle materially affected by the use of DLT or tokenisation?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C3 - Wholesale central-bank money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Is the principle materially affected by settlement in CeBM or wCBDC?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C4 - Regulated governance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7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Does the principle concern governance, accountability or institutional control in a regulated environment?</w:t>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3.4 - PFMI retention criteria; threshold: at least two of four.</w:t>
      </w:r>
    </w:p>
    <w:p w:rsidR="00000000" w:rsidDel="00000000" w:rsidP="00000000" w:rsidRDefault="00000000" w:rsidRPr="00000000" w14:paraId="0000017C">
      <w:pPr>
        <w:rPr/>
      </w:pPr>
      <w:r w:rsidDel="00000000" w:rsidR="00000000" w:rsidRPr="00000000">
        <w:rPr>
          <w:rFonts w:ascii="Times New Roman" w:cs="Times New Roman" w:eastAsia="Times New Roman" w:hAnsi="Times New Roman"/>
          <w:i w:val="0"/>
          <w:iCs w:val="0"/>
          <w:sz w:val="22"/>
          <w:szCs w:val="22"/>
          <w:rtl w:val="0"/>
        </w:rPr>
        <w:t xml:space="preserve">For each retained principle, every source is coded E, I or N. E means the source addresses the principle explicitly and a page can be recorded for it. I means the source bears on the principle indirectly. N means the source does not engage it in any way that matters to the research question. The code records the relation between a source and a principle. It says nothing about the quality of the source.</w:t>
      </w:r>
      <w:r w:rsidDel="00000000" w:rsidR="00000000" w:rsidRPr="00000000">
        <w:rPr>
          <w:rtl w:val="0"/>
        </w:rPr>
      </w:r>
    </w:p>
    <w:tbl>
      <w:tblPr>
        <w:tblStyle w:val="Table8"/>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6292"/>
        <w:tblGridChange w:id="0">
          <w:tblGrid>
            <w:gridCol w:w="2494"/>
            <w:gridCol w:w="6292"/>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7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Code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7E">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Operational meaning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7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 - Explicit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The source addresses the principle directly and supports a page- or section-level evidence location.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8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 - Implicit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The source bears on the principle indirectly without treating it as an explicit requirement.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8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 - Not applicable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8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The source does not engage the principle in a way relevant to the research question.</w:t>
            </w: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3.5 - Source-by-principle coding scheme.</w:t>
      </w:r>
    </w:p>
    <w:p w:rsidR="00000000" w:rsidDel="00000000" w:rsidP="00000000" w:rsidRDefault="00000000" w:rsidRPr="00000000" w14:paraId="00000186">
      <w:pPr>
        <w:pStyle w:val="Heading3"/>
        <w:numPr>
          <w:ilvl w:val="2"/>
          <w:numId w:val="1"/>
        </w:numPr>
        <w:ind w:left="360" w:hanging="360"/>
        <w:rPr/>
      </w:pPr>
      <w:bookmarkStart w:colFirst="0" w:colLast="0" w:name="_wvrl9ee8jvbo" w:id="21"/>
      <w:bookmarkEnd w:id="21"/>
      <w:r w:rsidDel="00000000" w:rsidR="00000000" w:rsidRPr="00000000">
        <w:rPr>
          <w:rtl w:val="0"/>
        </w:rPr>
        <w:t xml:space="preserve">Inductive coding</w:t>
      </w:r>
    </w:p>
    <w:p w:rsidR="00000000" w:rsidDel="00000000" w:rsidP="00000000" w:rsidRDefault="00000000" w:rsidRPr="00000000" w14:paraId="00000187">
      <w:pPr>
        <w:rPr/>
      </w:pPr>
      <w:r w:rsidDel="00000000" w:rsidR="00000000" w:rsidRPr="00000000">
        <w:rPr>
          <w:rFonts w:ascii="Times New Roman" w:cs="Times New Roman" w:eastAsia="Times New Roman" w:hAnsi="Times New Roman"/>
          <w:i w:val="0"/>
          <w:iCs w:val="0"/>
          <w:sz w:val="22"/>
          <w:szCs w:val="22"/>
          <w:rtl w:val="0"/>
        </w:rPr>
        <w:t xml:space="preserve">In parallel, every settlement-relevant source is open-coded for design content the PFMI do not name well. The coding fields cover the architectural pattern; where the cash leg sits and in what form; which record is authoritative; how the two legs are tied together; who may join; how institutional roles are allocated; how executable code is governed; how systems interoperate; how a migration would run; and how failures are handled. Themes that recur across sources are retained. They include programmability, atomic conditionality, privacy set against supervision, liquidity, and central bank control.</w:t>
      </w:r>
      <w:r w:rsidDel="00000000" w:rsidR="00000000" w:rsidRPr="00000000">
        <w:rPr>
          <w:rtl w:val="0"/>
        </w:rPr>
      </w:r>
    </w:p>
    <w:p w:rsidR="00000000" w:rsidDel="00000000" w:rsidP="00000000" w:rsidRDefault="00000000" w:rsidRPr="00000000" w14:paraId="00000188">
      <w:pPr>
        <w:rPr/>
      </w:pPr>
      <w:r w:rsidDel="00000000" w:rsidR="00000000" w:rsidRPr="00000000">
        <w:rPr>
          <w:rFonts w:ascii="Times New Roman" w:cs="Times New Roman" w:eastAsia="Times New Roman" w:hAnsi="Times New Roman"/>
          <w:i w:val="0"/>
          <w:iCs w:val="0"/>
          <w:sz w:val="22"/>
          <w:szCs w:val="22"/>
          <w:rtl w:val="0"/>
        </w:rPr>
        <w:t xml:space="preserve">The same pass also captures the reasons pilot authors give explicitly for an architectural choice. Such a reason is kept as a contextual factor on two conditions: it must appear in at least two independent sources, and it must explain a design parameter rather than a condition of admissibility. Contextual factors are recorded apart from R. They may explain why an institution chose one admissible architecture over another, but they cannot be turned around afterwards to disqualify a competing one.</w:t>
      </w:r>
      <w:r w:rsidDel="00000000" w:rsidR="00000000" w:rsidRPr="00000000">
        <w:rPr>
          <w:rtl w:val="0"/>
        </w:rPr>
      </w:r>
    </w:p>
    <w:p w:rsidR="00000000" w:rsidDel="00000000" w:rsidP="00000000" w:rsidRDefault="00000000" w:rsidRPr="00000000" w14:paraId="00000189">
      <w:pPr>
        <w:pStyle w:val="Heading3"/>
        <w:numPr>
          <w:ilvl w:val="2"/>
          <w:numId w:val="1"/>
        </w:numPr>
        <w:ind w:left="360" w:hanging="360"/>
        <w:rPr/>
      </w:pPr>
      <w:bookmarkStart w:colFirst="0" w:colLast="0" w:name="_qhz7lf2aqfs0" w:id="22"/>
      <w:bookmarkEnd w:id="22"/>
      <w:r w:rsidDel="00000000" w:rsidR="00000000" w:rsidRPr="00000000">
        <w:rPr>
          <w:rtl w:val="0"/>
        </w:rPr>
        <w:t xml:space="preserve">Harmonisation, priority and traceability</w:t>
      </w:r>
    </w:p>
    <w:p w:rsidR="00000000" w:rsidDel="00000000" w:rsidP="00000000" w:rsidRDefault="00000000" w:rsidRPr="00000000" w14:paraId="0000018A">
      <w:pPr>
        <w:rPr/>
      </w:pPr>
      <w:r w:rsidDel="00000000" w:rsidR="00000000" w:rsidRPr="00000000">
        <w:rPr>
          <w:rFonts w:ascii="Times New Roman" w:cs="Times New Roman" w:eastAsia="Times New Roman" w:hAnsi="Times New Roman"/>
          <w:i w:val="0"/>
          <w:iCs w:val="0"/>
          <w:sz w:val="22"/>
          <w:szCs w:val="22"/>
          <w:rtl w:val="0"/>
        </w:rPr>
        <w:t xml:space="preserve">Candidate requirements from the two passes are merged by control objective, not by wording, so that two ways of saying the same thing are not counted twice. A requirement survives when either several sources converge on it, or a high-authority institutional or normative source states it and at least one academic or comparative source backs it up. A core requirement is never founded on a single low-proximity source.</w:t>
      </w:r>
      <w:r w:rsidDel="00000000" w:rsidR="00000000" w:rsidRPr="00000000">
        <w:rPr>
          <w:rtl w:val="0"/>
        </w:rPr>
      </w:r>
    </w:p>
    <w:p w:rsidR="00000000" w:rsidDel="00000000" w:rsidP="00000000" w:rsidRDefault="00000000" w:rsidRPr="00000000" w14:paraId="0000018B">
      <w:pPr>
        <w:rPr/>
      </w:pPr>
      <w:r w:rsidDel="00000000" w:rsidR="00000000" w:rsidRPr="00000000">
        <w:rPr>
          <w:rFonts w:ascii="Times New Roman" w:cs="Times New Roman" w:eastAsia="Times New Roman" w:hAnsi="Times New Roman"/>
          <w:i w:val="0"/>
          <w:iCs w:val="0"/>
          <w:sz w:val="22"/>
          <w:szCs w:val="22"/>
          <w:rtl w:val="0"/>
        </w:rPr>
        <w:t xml:space="preserve">Every merged requirement is documented in four fields so that it can be traced. The first gives its full statement. The next gives the PFMI principle and the inductive theme it is anchored to. A third names the component or interaction that has to satisfy it, and the last lists the sources that support it, down to the page on which the evidence appears. Priority is a separate judgement from the PFMI retention score. Whether an architecture is admissible at all is decided by the Core requirements alone. Structural requirements shape how it is organised, Conditional requirements apply only in a stated context, and Secondary requirements describe the qualities of an arrangement that has already passed. Efficiency serves to arbitrate between admissible designs and is never treated as a condition of DvP in itself.</w:t>
      </w:r>
      <w:r w:rsidDel="00000000" w:rsidR="00000000" w:rsidRPr="00000000">
        <w:rPr>
          <w:rtl w:val="0"/>
        </w:rPr>
      </w:r>
    </w:p>
    <w:p w:rsidR="00000000" w:rsidDel="00000000" w:rsidP="00000000" w:rsidRDefault="00000000" w:rsidRPr="00000000" w14:paraId="0000018C">
      <w:pPr>
        <w:rPr/>
      </w:pPr>
      <w:r w:rsidDel="00000000" w:rsidR="00000000" w:rsidRPr="00000000">
        <w:rPr>
          <w:rFonts w:ascii="Times New Roman" w:cs="Times New Roman" w:eastAsia="Times New Roman" w:hAnsi="Times New Roman"/>
          <w:i w:val="0"/>
          <w:iCs w:val="0"/>
          <w:sz w:val="22"/>
          <w:szCs w:val="22"/>
          <w:rtl w:val="0"/>
        </w:rPr>
        <w:t xml:space="preserve">Requirements are written as outcomes, except where the corpus consistently prescribes a particular mechanism. A requirement may, for instance, call for settlement in central bank money without settling whether the cash is held in RTGS or represented as wCBDC. That neutrality is not assumed from the outset. The inductive coding tests, for each requirement, whether the evidence converges on a mechanism. A mechanism remains open only when the evidence remains open.</w:t>
      </w:r>
      <w:r w:rsidDel="00000000" w:rsidR="00000000" w:rsidRPr="00000000">
        <w:rPr>
          <w:rtl w:val="0"/>
        </w:rPr>
      </w:r>
    </w:p>
    <w:p w:rsidR="00000000" w:rsidDel="00000000" w:rsidP="00000000" w:rsidRDefault="00000000" w:rsidRPr="00000000" w14:paraId="0000018D">
      <w:pPr>
        <w:pStyle w:val="Heading3"/>
        <w:numPr>
          <w:ilvl w:val="2"/>
          <w:numId w:val="1"/>
        </w:numPr>
        <w:ind w:left="360" w:hanging="360"/>
        <w:rPr/>
      </w:pPr>
      <w:bookmarkStart w:colFirst="0" w:colLast="0" w:name="_a4ipf15uty5j" w:id="23"/>
      <w:bookmarkEnd w:id="23"/>
      <w:r w:rsidDel="00000000" w:rsidR="00000000" w:rsidRPr="00000000">
        <w:rPr>
          <w:rtl w:val="0"/>
        </w:rPr>
        <w:t xml:space="preserve">Reliability procedure</w:t>
      </w:r>
    </w:p>
    <w:p w:rsidR="00000000" w:rsidDel="00000000" w:rsidP="00000000" w:rsidRDefault="00000000" w:rsidRPr="00000000" w14:paraId="0000018E">
      <w:pPr>
        <w:rPr/>
      </w:pPr>
      <w:r w:rsidDel="00000000" w:rsidR="00000000" w:rsidRPr="00000000">
        <w:rPr>
          <w:rFonts w:ascii="Times New Roman" w:cs="Times New Roman" w:eastAsia="Times New Roman" w:hAnsi="Times New Roman"/>
          <w:i w:val="0"/>
          <w:iCs w:val="0"/>
          <w:sz w:val="22"/>
          <w:szCs w:val="22"/>
          <w:rtl w:val="0"/>
        </w:rPr>
        <w:t xml:space="preserve">The analysis was conducted by one primary coder, so no inter-coder reliability statistic is claimed. Four measures improve dependability without overstating independence: the coding rules were fixed before the final pass; each E code and each consolidated requirement is linked to an evidence location; a second coding pass was conducted after an interval and divergences were resolved against the source text; and the supervisor reviewed a sample of decisions. The complete workbook, requirement sheets and change record are included in the companion materials so that another researcher can reproduce or contest each decision.</w:t>
      </w:r>
      <w:r w:rsidDel="00000000" w:rsidR="00000000" w:rsidRPr="00000000">
        <w:rPr>
          <w:rtl w:val="0"/>
        </w:rPr>
      </w:r>
    </w:p>
    <w:p w:rsidR="00000000" w:rsidDel="00000000" w:rsidP="00000000" w:rsidRDefault="00000000" w:rsidRPr="00000000" w14:paraId="0000018F">
      <w:pPr>
        <w:pStyle w:val="Heading2"/>
        <w:numPr>
          <w:ilvl w:val="1"/>
          <w:numId w:val="1"/>
        </w:numPr>
        <w:ind w:left="0" w:firstLine="0"/>
        <w:rPr/>
      </w:pPr>
      <w:bookmarkStart w:colFirst="0" w:colLast="0" w:name="_qs3ppz6ot0yh" w:id="24"/>
      <w:bookmarkEnd w:id="24"/>
      <w:r w:rsidDel="00000000" w:rsidR="00000000" w:rsidRPr="00000000">
        <w:rPr>
          <w:rtl w:val="0"/>
        </w:rPr>
        <w:t xml:space="preserve">Treatment-design protocol</w:t>
      </w:r>
    </w:p>
    <w:p w:rsidR="00000000" w:rsidDel="00000000" w:rsidP="00000000" w:rsidRDefault="00000000" w:rsidRPr="00000000" w14:paraId="00000190">
      <w:pPr>
        <w:rPr/>
      </w:pPr>
      <w:r w:rsidDel="00000000" w:rsidR="00000000" w:rsidRPr="00000000">
        <w:rPr>
          <w:rFonts w:ascii="Times New Roman" w:cs="Times New Roman" w:eastAsia="Times New Roman" w:hAnsi="Times New Roman"/>
          <w:i w:val="0"/>
          <w:iCs w:val="0"/>
          <w:sz w:val="22"/>
          <w:szCs w:val="22"/>
          <w:rtl w:val="0"/>
        </w:rPr>
        <w:t xml:space="preserve">The treatment-design stage transforms R into an architectural comparison in five steps. This is the point at which Wieringa's design cycle is applied [29, ch. 3, pp. 27-34].</w:t>
      </w:r>
      <w:r w:rsidDel="00000000" w:rsidR="00000000" w:rsidRPr="00000000">
        <w:rPr>
          <w:rtl w:val="0"/>
        </w:rPr>
      </w:r>
    </w:p>
    <w:p w:rsidR="00000000" w:rsidDel="00000000" w:rsidP="00000000" w:rsidRDefault="00000000" w:rsidRPr="00000000" w14:paraId="00000191">
      <w:pPr>
        <w:numPr>
          <w:ilvl w:val="0"/>
          <w:numId w:val="3"/>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Map each requirement to the component or interaction that must realise its control objective. Components are defined by capabilities and limitations rather than by vendor products.</w:t>
      </w:r>
      <w:r w:rsidDel="00000000" w:rsidR="00000000" w:rsidRPr="00000000">
        <w:rPr>
          <w:rtl w:val="0"/>
        </w:rPr>
      </w:r>
    </w:p>
    <w:p w:rsidR="00000000" w:rsidDel="00000000" w:rsidP="00000000" w:rsidRDefault="00000000" w:rsidRPr="00000000" w14:paraId="00000192">
      <w:pPr>
        <w:numPr>
          <w:ilvl w:val="0"/>
          <w:numId w:val="3"/>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Group related components and requirements into functional layers. The six-layer framework reported in Chapter 4 is the result of this synthesis and must retain a trace from every layer to its underlying requirements and sources.</w:t>
      </w:r>
      <w:r w:rsidDel="00000000" w:rsidR="00000000" w:rsidRPr="00000000">
        <w:rPr>
          <w:rtl w:val="0"/>
        </w:rPr>
      </w:r>
    </w:p>
    <w:p w:rsidR="00000000" w:rsidDel="00000000" w:rsidP="00000000" w:rsidRDefault="00000000" w:rsidRPr="00000000" w14:paraId="00000193">
      <w:pPr>
        <w:numPr>
          <w:ilvl w:val="0"/>
          <w:numId w:val="3"/>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Identify the decisions the requirement set leaves open. Comparing the pilots yields five: where the cash leg sits, which record is authoritative, how the two legs are tied together, who may participate, and how finely the ledger is partitioned.</w:t>
      </w:r>
      <w:r w:rsidDel="00000000" w:rsidR="00000000" w:rsidRPr="00000000">
        <w:rPr>
          <w:rtl w:val="0"/>
        </w:rPr>
      </w:r>
    </w:p>
    <w:p w:rsidR="00000000" w:rsidDel="00000000" w:rsidP="00000000" w:rsidRDefault="00000000" w:rsidRPr="00000000" w14:paraId="00000194">
      <w:pPr>
        <w:numPr>
          <w:ilvl w:val="0"/>
          <w:numId w:val="3"/>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Construct candidate architecture families by varying the coordination mechanism while maintaining the common core requirements. The current corpus supports a synchronised trigger family, an integrated single-platform family and a cross-ledger conditional-transfer family.</w:t>
      </w:r>
      <w:r w:rsidDel="00000000" w:rsidR="00000000" w:rsidRPr="00000000">
        <w:rPr>
          <w:rtl w:val="0"/>
        </w:rPr>
      </w:r>
    </w:p>
    <w:p w:rsidR="00000000" w:rsidDel="00000000" w:rsidP="00000000" w:rsidRDefault="00000000" w:rsidRPr="00000000" w14:paraId="00000195">
      <w:pPr>
        <w:numPr>
          <w:ilvl w:val="0"/>
          <w:numId w:val="3"/>
        </w:numPr>
        <w:spacing w:after="80" w:lineRule="auto"/>
        <w:ind w:left="425" w:hanging="198"/>
        <w:jc w:val="left"/>
        <w:rPr/>
      </w:pPr>
      <w:r w:rsidDel="00000000" w:rsidR="00000000" w:rsidRPr="00000000">
        <w:rPr>
          <w:rFonts w:ascii="Times New Roman" w:cs="Times New Roman" w:eastAsia="Times New Roman" w:hAnsi="Times New Roman"/>
          <w:i w:val="0"/>
          <w:iCs w:val="0"/>
          <w:sz w:val="22"/>
          <w:szCs w:val="22"/>
          <w:rtl w:val="0"/>
        </w:rPr>
        <w:t xml:space="preserve">Fill in a matrix with one row per requirement and one column per variant. A cell counts as satisfied only when a named component or interaction implements the requirement; a descriptive similarity or a project label does not.</w:t>
      </w:r>
      <w:r w:rsidDel="00000000" w:rsidR="00000000" w:rsidRPr="00000000">
        <w:rPr>
          <w:rtl w:val="0"/>
        </w:rPr>
      </w:r>
    </w:p>
    <w:p w:rsidR="00000000" w:rsidDel="00000000" w:rsidP="00000000" w:rsidRDefault="00000000" w:rsidRPr="00000000" w14:paraId="00000196">
      <w:pPr>
        <w:rPr/>
      </w:pPr>
      <w:r w:rsidDel="00000000" w:rsidR="00000000" w:rsidRPr="00000000">
        <w:rPr>
          <w:rFonts w:ascii="Times New Roman" w:cs="Times New Roman" w:eastAsia="Times New Roman" w:hAnsi="Times New Roman"/>
          <w:i w:val="0"/>
          <w:iCs w:val="0"/>
          <w:sz w:val="22"/>
          <w:szCs w:val="22"/>
          <w:rtl w:val="0"/>
        </w:rPr>
        <w:t xml:space="preserve">The generic architecture is therefore the author's own synthesis. Chapter 4 introduces it only after the requirement results, names the sources behind each component, and presents the framework once rather than twice at two levels of detail. Requirement extraction, layer construction and variant specification sit in one chapter because they are successive views of the same artefact.</w:t>
      </w:r>
      <w:r w:rsidDel="00000000" w:rsidR="00000000" w:rsidRPr="00000000">
        <w:rPr>
          <w:rtl w:val="0"/>
        </w:rPr>
      </w:r>
    </w:p>
    <w:p w:rsidR="00000000" w:rsidDel="00000000" w:rsidP="00000000" w:rsidRDefault="00000000" w:rsidRPr="00000000" w14:paraId="00000197">
      <w:pPr>
        <w:pStyle w:val="Heading2"/>
        <w:numPr>
          <w:ilvl w:val="1"/>
          <w:numId w:val="1"/>
        </w:numPr>
        <w:ind w:left="0" w:firstLine="0"/>
        <w:rPr/>
      </w:pPr>
      <w:bookmarkStart w:colFirst="0" w:colLast="0" w:name="_zh8ntohh0ya4" w:id="25"/>
      <w:bookmarkEnd w:id="25"/>
      <w:r w:rsidDel="00000000" w:rsidR="00000000" w:rsidRPr="00000000">
        <w:rPr>
          <w:rtl w:val="0"/>
        </w:rPr>
        <w:t xml:space="preserve">Evaluation protocol</w:t>
      </w:r>
    </w:p>
    <w:p w:rsidR="00000000" w:rsidDel="00000000" w:rsidP="00000000" w:rsidRDefault="00000000" w:rsidRPr="00000000" w14:paraId="00000198">
      <w:pPr>
        <w:pStyle w:val="Heading3"/>
        <w:numPr>
          <w:ilvl w:val="2"/>
          <w:numId w:val="1"/>
        </w:numPr>
        <w:ind w:left="360" w:hanging="360"/>
        <w:rPr/>
      </w:pPr>
      <w:bookmarkStart w:colFirst="0" w:colLast="0" w:name="_jv05ip9ldkj6" w:id="26"/>
      <w:bookmarkEnd w:id="26"/>
      <w:r w:rsidDel="00000000" w:rsidR="00000000" w:rsidRPr="00000000">
        <w:rPr>
          <w:rtl w:val="0"/>
        </w:rPr>
        <w:t xml:space="preserve">Analytical hypotheses</w:t>
      </w:r>
    </w:p>
    <w:p w:rsidR="00000000" w:rsidDel="00000000" w:rsidP="00000000" w:rsidRDefault="00000000" w:rsidRPr="00000000" w14:paraId="00000199">
      <w:pPr>
        <w:rPr/>
      </w:pPr>
      <w:r w:rsidDel="00000000" w:rsidR="00000000" w:rsidRPr="00000000">
        <w:rPr>
          <w:rFonts w:ascii="Times New Roman" w:cs="Times New Roman" w:eastAsia="Times New Roman" w:hAnsi="Times New Roman"/>
          <w:i w:val="0"/>
          <w:iCs w:val="0"/>
          <w:sz w:val="22"/>
          <w:szCs w:val="22"/>
          <w:rtl w:val="0"/>
        </w:rPr>
        <w:t xml:space="preserve">Four analytical propositions carry the research question. These are not statistical hypotheses and no significance test applies to them. H0 holds that the requirements determine the architecture. H1 to H3 describe the observations that would defeat that proposition or qualify it.</w:t>
      </w:r>
      <w:r w:rsidDel="00000000" w:rsidR="00000000" w:rsidRPr="00000000">
        <w:rPr>
          <w:rtl w:val="0"/>
        </w:rPr>
      </w:r>
    </w:p>
    <w:tbl>
      <w:tblPr>
        <w:tblStyle w:val="Table9"/>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3855"/>
        <w:gridCol w:w="3118"/>
        <w:tblGridChange w:id="0">
          <w:tblGrid>
            <w:gridCol w:w="1814"/>
            <w:gridCol w:w="3855"/>
            <w:gridCol w:w="3118"/>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9A">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9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Proposition</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9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Decision rule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9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H0 - Determination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All admissible architectures produce DvP through one structurally equivalent mechanism.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9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Retained only if fewer than two admissible, structurally non-equivalent mechanisms remain.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H1 - Multiplicity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At least three candidate families satisfy every core requirement.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All core cells in the realisation matrix must be satisfied for B1, B2 and B3; otherwise report the reduced admissible set.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H2 - Non-equivalence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The admissible families enforce DvP through mechanisms with non-reducible state and interaction properties.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Each family must exhibit a distinguishing mechanism property that is absent from the others; equivalent families must be merged.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H3 - Realisability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At least one admissible architecture is realisable by construction, while the others receive mechanism-level corroboration from documented arrangements.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PoC scenarios must preserve the DvP invariant; pilot matches must satisfy the pre-defined mechanism criterion and be labelled by evidential level.</w:t>
            </w: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3.6 - Analytical hypotheses and pre-specified decision rules.</w:t>
      </w:r>
    </w:p>
    <w:p w:rsidR="00000000" w:rsidDel="00000000" w:rsidP="00000000" w:rsidRDefault="00000000" w:rsidRPr="00000000" w14:paraId="000001AA">
      <w:pPr>
        <w:pStyle w:val="Heading3"/>
        <w:numPr>
          <w:ilvl w:val="2"/>
          <w:numId w:val="1"/>
        </w:numPr>
        <w:ind w:left="360" w:hanging="360"/>
        <w:rPr/>
      </w:pPr>
      <w:bookmarkStart w:colFirst="0" w:colLast="0" w:name="_8hgk28e2hq43" w:id="27"/>
      <w:bookmarkEnd w:id="27"/>
      <w:r w:rsidDel="00000000" w:rsidR="00000000" w:rsidRPr="00000000">
        <w:rPr>
          <w:rtl w:val="0"/>
        </w:rPr>
        <w:t xml:space="preserve">Realisation and non-equivalence tests</w:t>
      </w:r>
    </w:p>
    <w:p w:rsidR="00000000" w:rsidDel="00000000" w:rsidP="00000000" w:rsidRDefault="00000000" w:rsidRPr="00000000" w14:paraId="000001AB">
      <w:pPr>
        <w:rPr/>
      </w:pPr>
      <w:r w:rsidDel="00000000" w:rsidR="00000000" w:rsidRPr="00000000">
        <w:rPr>
          <w:rFonts w:ascii="Times New Roman" w:cs="Times New Roman" w:eastAsia="Times New Roman" w:hAnsi="Times New Roman"/>
          <w:i w:val="0"/>
          <w:iCs w:val="0"/>
          <w:sz w:val="22"/>
          <w:szCs w:val="22"/>
          <w:rtl w:val="0"/>
        </w:rPr>
        <w:t xml:space="preserve">The multiplicity test (H1) is a table. The sixteen requirements form its rows and the three candidate architectures its columns. In each cell the same question has to be answered: which component or interaction of this architecture delivers this requirement, on the strength of what evidence, and with what risk left over? For an architecture to pass, a concrete mechanism must be named in every one of its core cells. One empty core cell is enough to fail it. The rows for Structural, Conditional and Secondary requirements are completed as well, but their role is different: they show the trade-offs between the architectures that have already passed.</w:t>
      </w:r>
      <w:r w:rsidDel="00000000" w:rsidR="00000000" w:rsidRPr="00000000">
        <w:rPr>
          <w:rtl w:val="0"/>
        </w:rPr>
      </w:r>
    </w:p>
    <w:p w:rsidR="00000000" w:rsidDel="00000000" w:rsidP="00000000" w:rsidRDefault="00000000" w:rsidRPr="00000000" w14:paraId="000001AC">
      <w:pPr>
        <w:rPr/>
      </w:pPr>
      <w:r w:rsidDel="00000000" w:rsidR="00000000" w:rsidRPr="00000000">
        <w:rPr>
          <w:rFonts w:ascii="Times New Roman" w:cs="Times New Roman" w:eastAsia="Times New Roman" w:hAnsi="Times New Roman"/>
          <w:i w:val="0"/>
          <w:iCs w:val="0"/>
          <w:sz w:val="22"/>
          <w:szCs w:val="22"/>
          <w:rtl w:val="0"/>
        </w:rPr>
        <w:t xml:space="preserve">H2 is tested by looking at the mechanisms themselves, and not at the names of the technologies. In B1, conditionality has to be rebuilt across an infrastructure boundary, which a trusted coordinator does with the help of defined recovery actions. In B2 a single platform commit writes both legs or writes neither. In B3 there is no trusted coordinator at all; instead, linked cryptographic conditions and nested time windows span the two ledgers. The labels are given no weight in this test. Should the analysis of state transitions and interactions reveal that two candidates enforce conditionality in the same way, the two are merged, and the multiplicity reported is reduced accordingly.</w:t>
      </w:r>
      <w:r w:rsidDel="00000000" w:rsidR="00000000" w:rsidRPr="00000000">
        <w:rPr>
          <w:rtl w:val="0"/>
        </w:rPr>
      </w:r>
    </w:p>
    <w:p w:rsidR="00000000" w:rsidDel="00000000" w:rsidP="00000000" w:rsidRDefault="00000000" w:rsidRPr="00000000" w14:paraId="000001AD">
      <w:pPr>
        <w:pStyle w:val="Heading3"/>
        <w:numPr>
          <w:ilvl w:val="2"/>
          <w:numId w:val="1"/>
        </w:numPr>
        <w:ind w:left="360" w:hanging="360"/>
        <w:rPr/>
      </w:pPr>
      <w:bookmarkStart w:colFirst="0" w:colLast="0" w:name="_lml7s3sq4ed1" w:id="28"/>
      <w:bookmarkEnd w:id="28"/>
      <w:r w:rsidDel="00000000" w:rsidR="00000000" w:rsidRPr="00000000">
        <w:rPr>
          <w:rtl w:val="0"/>
        </w:rPr>
        <w:t xml:space="preserve">Proof of concept and pilot-based validation</w:t>
      </w:r>
    </w:p>
    <w:p w:rsidR="00000000" w:rsidDel="00000000" w:rsidP="00000000" w:rsidRDefault="00000000" w:rsidRPr="00000000" w14:paraId="000001AE">
      <w:pPr>
        <w:rPr/>
      </w:pPr>
      <w:r w:rsidDel="00000000" w:rsidR="00000000" w:rsidRPr="00000000">
        <w:rPr>
          <w:rFonts w:ascii="Times New Roman" w:cs="Times New Roman" w:eastAsia="Times New Roman" w:hAnsi="Times New Roman"/>
          <w:i w:val="0"/>
          <w:iCs w:val="0"/>
          <w:sz w:val="22"/>
          <w:szCs w:val="22"/>
          <w:rtl w:val="0"/>
        </w:rPr>
        <w:t xml:space="preserve">H3 combines two evidential modes. In the construction mode, B2 is implemented on Hyperledger Fabric, chosen because its transaction-validation model can express atomicity that is native to the ledger. The proof of concept consists of a bounded settlement state machine, run through five classes of scenario: successful settlement, release after a business timeout, release after a safety timeout, rejection on compliance grounds and rejection on eligibility grounds. The scenarios also exercise the control paths reserved to the central bank. A single invariant decides acceptance: whatever terminal state is reached, the bond tokens have moved if, and only if, the wCBDC tokens have moved too. Chapter 5 is expected to report the test artefact itself, a selection of execution logs and the ledger states before and after each run, rather than narrative verdicts alone.</w:t>
      </w:r>
      <w:r w:rsidDel="00000000" w:rsidR="00000000" w:rsidRPr="00000000">
        <w:rPr>
          <w:rtl w:val="0"/>
        </w:rPr>
      </w:r>
    </w:p>
    <w:p w:rsidR="00000000" w:rsidDel="00000000" w:rsidP="00000000" w:rsidRDefault="00000000" w:rsidRPr="00000000" w14:paraId="000001AF">
      <w:pPr>
        <w:rPr/>
      </w:pPr>
      <w:r w:rsidDel="00000000" w:rsidR="00000000" w:rsidRPr="00000000">
        <w:rPr>
          <w:rFonts w:ascii="Times New Roman" w:cs="Times New Roman" w:eastAsia="Times New Roman" w:hAnsi="Times New Roman"/>
          <w:i w:val="0"/>
          <w:iCs w:val="0"/>
          <w:sz w:val="22"/>
          <w:szCs w:val="22"/>
          <w:rtl w:val="0"/>
        </w:rPr>
        <w:t xml:space="preserve">The construction shows that the design can be built and run under the assumptions that were implemented. It shows nothing about readiness for production. Throughput, cyber-resilience, a live connection to an RTGS system, legal finality and operational governance are all left untested. Stating these exclusions openly matters, because a prototype that works is easily mistaken for proof that the system could be deployed. In the philosophy-of-science literature on proof-of-concept research, Elliott separates a prototype, a proof-of-concept demonstration and a post facto demonstration [33], while Kendig distinguishes proof of concept from proof of principle [32]. Elliott's separation is borrowed here, although that literature reasons about scientific models rather than deployed technical systems.</w:t>
      </w:r>
      <w:r w:rsidDel="00000000" w:rsidR="00000000" w:rsidRPr="00000000">
        <w:rPr>
          <w:rtl w:val="0"/>
        </w:rPr>
      </w:r>
    </w:p>
    <w:p w:rsidR="00000000" w:rsidDel="00000000" w:rsidP="00000000" w:rsidRDefault="00000000" w:rsidRPr="00000000" w14:paraId="000001B0">
      <w:pPr>
        <w:rPr/>
      </w:pPr>
      <w:r w:rsidDel="00000000" w:rsidR="00000000" w:rsidRPr="00000000">
        <w:rPr>
          <w:rFonts w:ascii="Times New Roman" w:cs="Times New Roman" w:eastAsia="Times New Roman" w:hAnsi="Times New Roman"/>
          <w:i w:val="0"/>
          <w:iCs w:val="0"/>
          <w:sz w:val="22"/>
          <w:szCs w:val="22"/>
          <w:rtl w:val="0"/>
        </w:rPr>
        <w:t xml:space="preserve">The reference mode works differently. Here B1 and B3 are compared with arrangements that institutions have documented, and a report is counted as an instance of a family only when the coordination design it describes carries that family's distinguishing mechanism. Sharing the same objectives or the same participants is not enough, and neither is the use of DLT on its own. Each match is coded as a live deployment, a real-value pilot, a simulated pilot or an architectural exploration, and a partial match is reported as partial. The evidential level is stated alongside the verdict, so that exploratory evidence cannot be mistaken for proof that the design runs.</w:t>
      </w:r>
      <w:r w:rsidDel="00000000" w:rsidR="00000000" w:rsidRPr="00000000">
        <w:rPr>
          <w:rtl w:val="0"/>
        </w:rPr>
      </w:r>
    </w:p>
    <w:p w:rsidR="00000000" w:rsidDel="00000000" w:rsidP="00000000" w:rsidRDefault="00000000" w:rsidRPr="00000000" w14:paraId="000001B1">
      <w:pPr>
        <w:rPr/>
      </w:pPr>
      <w:r w:rsidDel="00000000" w:rsidR="00000000" w:rsidRPr="00000000">
        <w:rPr>
          <w:rFonts w:ascii="Times New Roman" w:cs="Times New Roman" w:eastAsia="Times New Roman" w:hAnsi="Times New Roman"/>
          <w:i w:val="0"/>
          <w:iCs w:val="0"/>
          <w:sz w:val="22"/>
          <w:szCs w:val="22"/>
          <w:rtl w:val="0"/>
        </w:rPr>
        <w:t xml:space="preserve">The validation design follows the Framework for Evaluation in Design Science (FEDS), which crosses the purpose of an evaluation, formative or summative, with its paradigm, artificial or naturalistic, and describes four strategies as trajectories through that space rather than as its four cells, while allowing that others are possible [30]. This evaluation follows the Technical Risk and Efficacy strategy, which begins with iterative artificial formative evaluation, moves towards artificial summative evaluation and engages more naturalistic evaluation near its end. The proof of concept is artificial and mainly formative: it gives control and transparency, and little realism. The pilot evidence is more naturalistic and summative, but it applies to institutional instances of the mechanisms rather than to the artefact built here. The two modes complement each other; neither substitutes for the other.</w:t>
      </w:r>
      <w:r w:rsidDel="00000000" w:rsidR="00000000" w:rsidRPr="00000000">
        <w:rPr>
          <w:rtl w:val="0"/>
        </w:rPr>
      </w:r>
    </w:p>
    <w:p w:rsidR="00000000" w:rsidDel="00000000" w:rsidP="00000000" w:rsidRDefault="00000000" w:rsidRPr="00000000" w14:paraId="000001B2">
      <w:pPr>
        <w:pStyle w:val="Heading2"/>
        <w:numPr>
          <w:ilvl w:val="1"/>
          <w:numId w:val="1"/>
        </w:numPr>
        <w:ind w:left="0" w:firstLine="0"/>
        <w:rPr/>
      </w:pPr>
      <w:bookmarkStart w:colFirst="0" w:colLast="0" w:name="_55s4y2z0xpct" w:id="29"/>
      <w:bookmarkEnd w:id="29"/>
      <w:r w:rsidDel="00000000" w:rsidR="00000000" w:rsidRPr="00000000">
        <w:rPr>
          <w:rtl w:val="0"/>
        </w:rPr>
        <w:t xml:space="preserve">Threats to validity and reproducibility</w:t>
      </w:r>
    </w:p>
    <w:tbl>
      <w:tblPr>
        <w:tblStyle w:val="Table10"/>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3231"/>
        <w:gridCol w:w="3741"/>
        <w:tblGridChange w:id="0">
          <w:tblGrid>
            <w:gridCol w:w="1814"/>
            <w:gridCol w:w="3231"/>
            <w:gridCol w:w="3741"/>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B3">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Threat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B4">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Risk to the inference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Mitigation and residual limit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Construct validity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 may omit design intent or classify a condition at the wrong level.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Hybrid coding, explicit definitions and traceability; the two-of-four threshold remains a judgement choice.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Coding dependence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One coder may introduce confirmation bias during induction and harmonisation.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Pre-specified rules, delayed second pass, supervisor review of a sample and publication of the workbook; no claim of independent double coding.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Corpus bias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BIS and central-bank sources may be over-represented because pilots are institution-led.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Separate source registers, proximity ratings and reinforcement rule for core requirements.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Validation dependence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The same corpus contributes requirements, variants and pilot corroboration.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Separate evidential roles and decision criteria; the independent PoC covers B2, but documentary dependence remains for B1/B3.</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Artefact realism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 simulated ledger can conceal production, legal and operational constraints.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Limit claims to logical realisability and report excluded production properties explicitly.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External validity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Findings may not transfer to public networks, retail markets or cross-border/multi-currency settlement.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Bound conclusions to permissioned, regulated, domestic corporate-bond settlement.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Conclusion validity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Observed diversity may be overstated as proof that requirements underdetermine architecture.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Apply one requirement set to all candidates, use mechanism-based equivalence and report sensitivity results and failed cells.</w:t>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3.7 - Threats to validity, mitigations and residual limits.</w:t>
      </w:r>
    </w:p>
    <w:p w:rsidR="00000000" w:rsidDel="00000000" w:rsidP="00000000" w:rsidRDefault="00000000" w:rsidRPr="00000000" w14:paraId="000001CC">
      <w:pPr>
        <w:rPr/>
      </w:pPr>
      <w:r w:rsidDel="00000000" w:rsidR="00000000" w:rsidRPr="00000000">
        <w:rPr>
          <w:rFonts w:ascii="Times New Roman" w:cs="Times New Roman" w:eastAsia="Times New Roman" w:hAnsi="Times New Roman"/>
          <w:i w:val="0"/>
          <w:iCs w:val="0"/>
          <w:sz w:val="22"/>
          <w:szCs w:val="22"/>
          <w:rtl w:val="0"/>
        </w:rPr>
        <w:t xml:space="preserve">Reproducibility depends on keeping the evidence chain intact. The companion materials hold the search and screening log, the PFMI retention decisions, the E/I/N matrices, the inductive codebook, the requirement sheets, the full realisation matrix, the architecture contracts, the proof-of-concept source code, the test commands, the execution logs and the ledger-state evidence. The manuscript reports the method and the condensed results; the files carry the detail an auditor would need.</w:t>
      </w:r>
      <w:r w:rsidDel="00000000" w:rsidR="00000000" w:rsidRPr="00000000">
        <w:rPr>
          <w:rtl w:val="0"/>
        </w:rPr>
      </w:r>
    </w:p>
    <w:p w:rsidR="00000000" w:rsidDel="00000000" w:rsidP="00000000" w:rsidRDefault="00000000" w:rsidRPr="00000000" w14:paraId="000001CD">
      <w:pPr>
        <w:pStyle w:val="Heading2"/>
        <w:numPr>
          <w:ilvl w:val="1"/>
          <w:numId w:val="1"/>
        </w:numPr>
        <w:ind w:left="0" w:firstLine="0"/>
        <w:rPr/>
      </w:pPr>
      <w:bookmarkStart w:colFirst="0" w:colLast="0" w:name="_81y5i01q9nw" w:id="30"/>
      <w:bookmarkEnd w:id="30"/>
      <w:r w:rsidDel="00000000" w:rsidR="00000000" w:rsidRPr="00000000">
        <w:rPr>
          <w:rtl w:val="0"/>
        </w:rPr>
        <w:t xml:space="preserve">Research ethics and chapter summary</w:t>
      </w:r>
    </w:p>
    <w:p w:rsidR="00000000" w:rsidDel="00000000" w:rsidP="00000000" w:rsidRDefault="00000000" w:rsidRPr="00000000" w14:paraId="000001CE">
      <w:pPr>
        <w:rPr/>
      </w:pPr>
      <w:r w:rsidDel="00000000" w:rsidR="00000000" w:rsidRPr="00000000">
        <w:rPr>
          <w:rFonts w:ascii="Times New Roman" w:cs="Times New Roman" w:eastAsia="Times New Roman" w:hAnsi="Times New Roman"/>
          <w:i w:val="0"/>
          <w:iCs w:val="0"/>
          <w:sz w:val="22"/>
          <w:szCs w:val="22"/>
          <w:rtl w:val="0"/>
        </w:rPr>
        <w:t xml:space="preserve">Every piece of external material is attributed to its source, and an institutional report is presented at the evidential level it actually reaches. Generative tools may help with drafting and mechanical coding, but the researcher answers for every interpretation, every requirement and every citation. The design needs no confidential transaction data and no personal data. Reproducibility is treated as an ethical obligation as much as a methodological one, because a reader must be able to inspect the evidence behind an architectural claim.</w:t>
      </w:r>
      <w:r w:rsidDel="00000000" w:rsidR="00000000" w:rsidRPr="00000000">
        <w:rPr>
          <w:rtl w:val="0"/>
        </w:rPr>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i w:val="0"/>
          <w:iCs w:val="0"/>
          <w:sz w:val="22"/>
          <w:szCs w:val="22"/>
          <w:rtl w:val="0"/>
        </w:rPr>
        <w:t xml:space="preserve">This chapter has set out the whole route from the research gap to the evidence an answer needs. The scoping review supplies the corpus. Coding it twice produces the requirement set. DSR guides the building of the framework and the variants. Admissibility is tested with the realisation matrix, whether the surviving architectures differ in substance is tested through mechanism analysis, and whether they can be built is tested by construction and by mapping to the pilots. Chapter 4 carries out the first two design stages and presents the requirement set and the reference framework. The verdicts on the hypotheses are held back for Chapter 5.</w:t>
      </w:r>
      <w:r w:rsidDel="00000000" w:rsidR="00000000" w:rsidRPr="00000000">
        <w:rPr>
          <w:rtl w:val="0"/>
        </w:rPr>
      </w:r>
    </w:p>
    <w:p w:rsidR="00000000" w:rsidDel="00000000" w:rsidP="00000000" w:rsidRDefault="00000000" w:rsidRPr="00000000" w14:paraId="000001D0">
      <w:pPr>
        <w:pStyle w:val="Heading1"/>
        <w:numPr>
          <w:ilvl w:val="0"/>
          <w:numId w:val="1"/>
        </w:numPr>
        <w:spacing w:after="280" w:before="0" w:line="269" w:lineRule="auto"/>
        <w:ind w:left="0" w:right="0" w:firstLine="0"/>
        <w:jc w:val="left"/>
        <w:rPr/>
      </w:pPr>
      <w:bookmarkStart w:colFirst="0" w:colLast="0" w:name="_cne7unxl26ht" w:id="31"/>
      <w:bookmarkEnd w:id="31"/>
      <w:r w:rsidDel="00000000" w:rsidR="00000000" w:rsidRPr="00000000">
        <w:rPr>
          <w:rtl w:val="0"/>
        </w:rPr>
        <w:t xml:space="preserve">Reference Architectural Framework and Variants</w:t>
      </w:r>
    </w:p>
    <w:p w:rsidR="00000000" w:rsidDel="00000000" w:rsidP="00000000" w:rsidRDefault="00000000" w:rsidRPr="00000000" w14:paraId="000001D1">
      <w:pPr>
        <w:rPr/>
      </w:pPr>
      <w:r w:rsidDel="00000000" w:rsidR="00000000" w:rsidRPr="00000000">
        <w:rPr>
          <w:rFonts w:ascii="Times New Roman" w:cs="Times New Roman" w:eastAsia="Times New Roman" w:hAnsi="Times New Roman"/>
          <w:i w:val="0"/>
          <w:iCs w:val="0"/>
          <w:sz w:val="22"/>
          <w:szCs w:val="22"/>
          <w:rtl w:val="0"/>
        </w:rPr>
        <w:t xml:space="preserve">This chapter reports the results of the treatment-design stage. It presents the corpus and the requirements drawn from it, builds the functional framework, names the decisions the requirements leave open and specifies three families of architecture. The requirements, the framework and the variants once had a chapter each. They are merged here so that the same artefact is not shown three times at three levels of detail. The chapter ends with the instruments used for the comparison. The verdicts on the hypotheses belong to Chapter 5.</w:t>
      </w:r>
      <w:r w:rsidDel="00000000" w:rsidR="00000000" w:rsidRPr="00000000">
        <w:rPr>
          <w:rtl w:val="0"/>
        </w:rPr>
      </w:r>
    </w:p>
    <w:p w:rsidR="00000000" w:rsidDel="00000000" w:rsidP="00000000" w:rsidRDefault="00000000" w:rsidRPr="00000000" w14:paraId="000001D2">
      <w:pPr>
        <w:pStyle w:val="Heading2"/>
        <w:numPr>
          <w:ilvl w:val="1"/>
          <w:numId w:val="1"/>
        </w:numPr>
        <w:ind w:left="0" w:firstLine="0"/>
        <w:rPr/>
      </w:pPr>
      <w:bookmarkStart w:colFirst="0" w:colLast="0" w:name="_70siejvtygq2" w:id="32"/>
      <w:bookmarkEnd w:id="32"/>
      <w:r w:rsidDel="00000000" w:rsidR="00000000" w:rsidRPr="00000000">
        <w:rPr>
          <w:rtl w:val="0"/>
        </w:rPr>
        <w:t xml:space="preserve">Corpus and requirement-derivation results</w:t>
      </w:r>
    </w:p>
    <w:p w:rsidR="00000000" w:rsidDel="00000000" w:rsidP="00000000" w:rsidRDefault="00000000" w:rsidRPr="00000000" w14:paraId="000001D3">
      <w:pPr>
        <w:rPr/>
      </w:pPr>
      <w:r w:rsidDel="00000000" w:rsidR="00000000" w:rsidRPr="00000000">
        <w:rPr>
          <w:rFonts w:ascii="Times New Roman" w:cs="Times New Roman" w:eastAsia="Times New Roman" w:hAnsi="Times New Roman"/>
          <w:i w:val="0"/>
          <w:iCs w:val="0"/>
          <w:sz w:val="22"/>
          <w:szCs w:val="22"/>
          <w:rtl w:val="0"/>
        </w:rPr>
        <w:t xml:space="preserve">The coded corpus holds twenty-three sources relevant to settlement. The methodological references [29] to [33] guide the research design and were not coded as evidence about settlement. Four sources are kept for context only, and no claim in this thesis rests on any of them. [2] is practitioner commentary on core banking modernisation; it appears in a journal whose declared scope, the environmental sciences, has no bearing on its subject, and the article carries a figure on environmental data stewardship that its own text never invokes. [3] studies the tokenisation of infrastructure assets rather than settlement. [26] and [27] design and measure a bond-market prototype whose cash leg is an on-chain payment token rather than central bank money, and [28] addresses post-issuance impact reporting. Table 4.1 records the register and the proximity rating that each source received under the protocol of Section 3.2. The Swiss National Bank's 2025 press release [14b] updates [14] and is cited in Section 2.3; it was not coded and is not counted in Table 4.1.</w:t>
      </w:r>
      <w:r w:rsidDel="00000000" w:rsidR="00000000" w:rsidRPr="00000000">
        <w:rPr>
          <w:rtl w:val="0"/>
        </w:rPr>
      </w:r>
    </w:p>
    <w:tbl>
      <w:tblPr>
        <w:tblStyle w:val="Table11"/>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4988"/>
        <w:gridCol w:w="1700"/>
        <w:gridCol w:w="1388"/>
        <w:tblGridChange w:id="0">
          <w:tblGrid>
            <w:gridCol w:w="708"/>
            <w:gridCol w:w="4988"/>
            <w:gridCol w:w="1700"/>
            <w:gridCol w:w="1388"/>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1D4">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Ref.</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D5">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D6">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Register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1D7">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Proximity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Zhang, Gong and Zhou (2024): tokenisation of currencies and assets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D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Hupel (2023): CBDC interoperability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D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Goghie (2024): tokenisation and banking authority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Benos, Garratt and Gurrola-Perez (2019): economics of DLT settlement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Chiu and Koeppl (2019): blockchain-based settlement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E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Priem (2020): DLT clearing and settlement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E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Son and Jang (2023): HTLC settlement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Agur, Ari and Dell'Ariccia (2022): retail CBDC design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Academic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Low</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CPSS-IOSCO (2012): PFMI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Normative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F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Project Helvetia I (2020)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Pilot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F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Project Helvetia II (2022)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Pilot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Project Helvetia III / Jordan (2024)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Project Jura (2021)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Pilot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0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Eurosystem exploratory work (2025)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0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Bank of Canada et al. (2025): wholesale central-bank money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Boar et al. (2021): interoperability taxonomy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Project mBridge (2022)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Pilot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1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BIS Annual Economic Report 2025, Chapter III</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1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IOSCO (2025): tokenisation of financial assets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Regulatory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ECB (2025): dual-track strategy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CPMI-IOSCO (2022): PFMI and stablecoin arrangements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Regulatory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2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Carstens and Nilekani (2024): Finternet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2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Project Agorá (2026): programmable wholesale platform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Institutional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4.1 - Coded corpus and evidential proximity.</w:t>
      </w:r>
    </w:p>
    <w:p w:rsidR="00000000" w:rsidDel="00000000" w:rsidP="00000000" w:rsidRDefault="00000000" w:rsidRPr="00000000" w14:paraId="00000235">
      <w:pPr>
        <w:rPr/>
      </w:pPr>
      <w:r w:rsidDel="00000000" w:rsidR="00000000" w:rsidRPr="00000000">
        <w:rPr>
          <w:rFonts w:ascii="Times New Roman" w:cs="Times New Roman" w:eastAsia="Times New Roman" w:hAnsi="Times New Roman"/>
          <w:i w:val="0"/>
          <w:iCs w:val="0"/>
          <w:sz w:val="22"/>
          <w:szCs w:val="22"/>
          <w:rtl w:val="0"/>
        </w:rPr>
        <w:t xml:space="preserve">In the deductive pass, the four criteria of Table 3.4 were applied to each of the twenty-four PFMI principles [11]. Ten principles came out as core and six as secondary, one became an arbitration criterion, and seven were dropped. Retaining a principle and ranking it are two different decisions. The score settles whether a principle stays in the analysis at all. Whether its condition is constitutive of admissible DvP is settled by the substantive rule of Section 3.4.</w:t>
      </w:r>
      <w:r w:rsidDel="00000000" w:rsidR="00000000" w:rsidRPr="00000000">
        <w:rPr>
          <w:rtl w:val="0"/>
        </w:rPr>
      </w:r>
    </w:p>
    <w:tbl>
      <w:tblPr>
        <w:tblStyle w:val="Table12"/>
        <w:tblW w:w="8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3004"/>
        <w:gridCol w:w="453"/>
        <w:gridCol w:w="453"/>
        <w:gridCol w:w="453"/>
        <w:gridCol w:w="453"/>
        <w:gridCol w:w="708"/>
        <w:gridCol w:w="2040"/>
        <w:tblGridChange w:id="0">
          <w:tblGrid>
            <w:gridCol w:w="566"/>
            <w:gridCol w:w="3004"/>
            <w:gridCol w:w="453"/>
            <w:gridCol w:w="453"/>
            <w:gridCol w:w="453"/>
            <w:gridCol w:w="453"/>
            <w:gridCol w:w="708"/>
            <w:gridCol w:w="2040"/>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236">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237">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Principle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238">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C1</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239">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C2</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23A">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C3</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23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C4</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23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Score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23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Decision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3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3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Legal basis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4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Governance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4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4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Framework for the comprehensive management of risks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Credit risk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Secondary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5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5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Collateral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Margin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6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6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Liquidity risk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Secondary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Settlement finality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7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7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Money settlements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Physical deliveries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8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8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 securities depositories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Exchange-of-value settlement systems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9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9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Participant-default rules and procedures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Secondary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Segregation and portability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A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A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General business risk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Secondary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B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Custody and investment risks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B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B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Operational risk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Access and participation requirements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C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C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Tiered participation arrangements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Secondary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FMI links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D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D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Efficiency and effectiveness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Arbitration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E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Communication procedures and standards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Secondary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E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E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Disclosure of rules, key procedures, and market data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2F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Disclosure of market data by trade repositories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2F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Excluded</w:t>
            </w:r>
            <w:r w:rsidDel="00000000" w:rsidR="00000000" w:rsidRPr="00000000">
              <w:rPr>
                <w:rtl w:val="0"/>
              </w:rPr>
            </w:r>
          </w:p>
        </w:tc>
      </w:tr>
    </w:tbl>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4.2 - Retention of the twenty-four PFMI principles; threshold: two criteria of four.</w:t>
      </w:r>
    </w:p>
    <w:p w:rsidR="00000000" w:rsidDel="00000000" w:rsidP="00000000" w:rsidRDefault="00000000" w:rsidRPr="00000000" w14:paraId="000002FF">
      <w:pPr>
        <w:rPr/>
      </w:pPr>
      <w:r w:rsidDel="00000000" w:rsidR="00000000" w:rsidRPr="00000000">
        <w:rPr>
          <w:rFonts w:ascii="Times New Roman" w:cs="Times New Roman" w:eastAsia="Times New Roman" w:hAnsi="Times New Roman"/>
          <w:i w:val="0"/>
          <w:iCs w:val="0"/>
          <w:sz w:val="22"/>
          <w:szCs w:val="22"/>
          <w:rtl w:val="0"/>
        </w:rPr>
        <w:t xml:space="preserve">What the PFMI leave implicit, the inductive pass makes explicit. Six themes come back across the corpus, mostly in the academic literature: programmability [7][9][20][24], atomic settlement and conditionality [7][9][20][21][24], the links between DLT and legacy systems [4][8][18][20], privacy set against supervision [1][6][8][20], scalability [1][6], and cross-border operation [4][15][18][19]. Two more emerge from the pilot and institutional reports: regulatory fragmentation, and the liquidity or escrow that a given design ties up [12] to [25]. Two further codes, market structure and system governance, were carried through the first pass and dropped in the second: on re-reading they proved to be contributions particular to individual articles rather than themes recurring across the corpus, and the workbook records them as such. Cross-border operation is recorded but lies outside the domestic, single-currency scope. Through these themes the retained principles become operational requirements, and no single pilot is allowed to become the baseline.</w:t>
      </w:r>
      <w:r w:rsidDel="00000000" w:rsidR="00000000" w:rsidRPr="00000000">
        <w:rPr>
          <w:rtl w:val="0"/>
        </w:rPr>
      </w:r>
    </w:p>
    <w:p w:rsidR="00000000" w:rsidDel="00000000" w:rsidP="00000000" w:rsidRDefault="00000000" w:rsidRPr="00000000" w14:paraId="00000300">
      <w:pPr>
        <w:pStyle w:val="Heading2"/>
        <w:numPr>
          <w:ilvl w:val="1"/>
          <w:numId w:val="1"/>
        </w:numPr>
        <w:ind w:left="0" w:firstLine="0"/>
        <w:rPr/>
      </w:pPr>
      <w:bookmarkStart w:colFirst="0" w:colLast="0" w:name="_pfpfffwb2lu3" w:id="33"/>
      <w:bookmarkEnd w:id="33"/>
      <w:r w:rsidDel="00000000" w:rsidR="00000000" w:rsidRPr="00000000">
        <w:rPr>
          <w:rtl w:val="0"/>
        </w:rPr>
        <w:t xml:space="preserve">Consolidated requirement set</w:t>
      </w:r>
    </w:p>
    <w:p w:rsidR="00000000" w:rsidDel="00000000" w:rsidP="00000000" w:rsidRDefault="00000000" w:rsidRPr="00000000" w14:paraId="00000301">
      <w:pPr>
        <w:rPr/>
      </w:pPr>
      <w:r w:rsidDel="00000000" w:rsidR="00000000" w:rsidRPr="00000000">
        <w:rPr>
          <w:rFonts w:ascii="Times New Roman" w:cs="Times New Roman" w:eastAsia="Times New Roman" w:hAnsi="Times New Roman"/>
          <w:i w:val="0"/>
          <w:iCs w:val="0"/>
          <w:sz w:val="22"/>
          <w:szCs w:val="22"/>
          <w:rtl w:val="0"/>
        </w:rPr>
        <w:t xml:space="preserve">Merging the two passes at the level of the control objective produces sixteen requirements, R01 to R16. Each names a principal architectural component, its normative and inductive anchors, its priority and the sources behind it. Table 4.3 gives the set in condensed form. The page-level evidence is held in the companion requirement sheets described in Annex A.</w:t>
      </w:r>
      <w:r w:rsidDel="00000000" w:rsidR="00000000" w:rsidRPr="00000000">
        <w:rPr>
          <w:rtl w:val="0"/>
        </w:rPr>
      </w:r>
    </w:p>
    <w:tbl>
      <w:tblPr>
        <w:tblStyle w:val="Table13"/>
        <w:tblW w:w="90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3401"/>
        <w:gridCol w:w="1417"/>
        <w:gridCol w:w="1247"/>
        <w:gridCol w:w="2437"/>
        <w:tblGridChange w:id="0">
          <w:tblGrid>
            <w:gridCol w:w="566"/>
            <w:gridCol w:w="3401"/>
            <w:gridCol w:w="1417"/>
            <w:gridCol w:w="1247"/>
            <w:gridCol w:w="2437"/>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302">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03">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Requirement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04">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Anchor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05">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06">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Key sources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Clear legal basis for ownership, enforceability and finality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 P8, P11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[6][8][11][13][20][21][23][24]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0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Explicit allocation of institutional roles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 P18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0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[1][5][8][13][21][23][24][25]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Permissioned, criteria-based and potentially tiered access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P18, P19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[1][8][11][20][21][25]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Cash leg settles in central bank money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[6][7][11][16][20]-[24]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1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Atomic or conditionally synchronised DvP</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P8, P12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1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[6][7][9][11][20][21][24]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Authoritative record and lifecycle rules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[6][8][11][20][21][24]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Interoperability with RTGS, TARGET, CSD and legacy systems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P20, P22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[4][8][16][20]-[22][24]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Operational-control framework for code, cyber-risk, keys and continuity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P3, P17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2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[6][8][16][21][23]-[25]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2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Intraday liquidity without gridlock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P7, P9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Conditional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[11][16][17][20]</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Failure, default and strategic-behaviour rules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P8, P13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Conditional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[7]-[9][11][16]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Confidentiality balanced with audit and supervision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P3, P17, P18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Conditional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[1][6][8][20][24][25]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3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3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Communication and data standards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Secondary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[4][8][11][18][20][22][24]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Explicit synchronised-versus-integrated choice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P8, P9, P12, P20, P21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[4][6][20]-[22][24]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Enforceable central-bank control over delegated functions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 P17, P18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[13]-[15][17][19][20][23]</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4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Fragmentation limits and migration plan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4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P7, P9, P15, P20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[1][4][6][16][17][20]-[22][24]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5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Compliance-as-code with legally framed human override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P2, P3, P17, P18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Structural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5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[1][5][19]-[21][23][24]</w:t>
            </w:r>
            <w:r w:rsidDel="00000000" w:rsidR="00000000" w:rsidRPr="00000000">
              <w:rPr>
                <w:rtl w:val="0"/>
              </w:rPr>
            </w:r>
          </w:p>
        </w:tc>
      </w:tr>
    </w:tbl>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4.3 - Sixteen consolidated requirements, their anchors, priorities and principal sources.</w:t>
      </w:r>
    </w:p>
    <w:p w:rsidR="00000000" w:rsidDel="00000000" w:rsidP="00000000" w:rsidRDefault="00000000" w:rsidRPr="00000000" w14:paraId="00000358">
      <w:pPr>
        <w:rPr/>
      </w:pPr>
      <w:r w:rsidDel="00000000" w:rsidR="00000000" w:rsidRPr="00000000">
        <w:rPr>
          <w:rFonts w:ascii="Times New Roman" w:cs="Times New Roman" w:eastAsia="Times New Roman" w:hAnsi="Times New Roman"/>
          <w:i w:val="0"/>
          <w:iCs w:val="0"/>
          <w:sz w:val="22"/>
          <w:szCs w:val="22"/>
          <w:rtl w:val="0"/>
        </w:rPr>
        <w:t xml:space="preserve">Of the sixteen, eight are Core: R01 to R07 together with R14. Admissibility turns on these eight and on nothing else. Four requirements are Structural (R08, R13, R15 and R16), three are Conditional (R09 to R11) and one, R12, is Secondary. R13 is deliberately not Core. Requiring that the synchronised-versus-integrated choice be made explicit and justified is a discipline on how an arrangement is documented, not a condition an arrangement must meet to settle DvP in central bank money; treating it as Core would make the thesis assert about that choice the very thing it sets out to test. Two requirements also carry an unusual evidential profile that is better stated than hidden. R14 rests on convergent institutional evidence rather than on the institutional-plus-academic pairing used elsewhere, because no study in the corpus examines a central bank's enforceable control over a delegated settlement function. And the strategic-behaviour clause of R10 is not a PFMI notion at all: it comes from the HTLC failure analysis of [9]. The requirements outside the core still have a job to do in the analysis, since they describe the trade-offs between architectures that already meet the settlement objective. The set as a whole is expressed in terms of outcomes. It calls for central bank money, for DvP, for an authoritative record and for enforceable control. It does not say where the cash record has to reside, nor which atomicity mechanism has to be used, wherever the evidence itself takes no side.</w:t>
      </w:r>
      <w:r w:rsidDel="00000000" w:rsidR="00000000" w:rsidRPr="00000000">
        <w:rPr>
          <w:rtl w:val="0"/>
        </w:rPr>
      </w:r>
    </w:p>
    <w:p w:rsidR="00000000" w:rsidDel="00000000" w:rsidP="00000000" w:rsidRDefault="00000000" w:rsidRPr="00000000" w14:paraId="00000359">
      <w:pPr>
        <w:pStyle w:val="Heading2"/>
        <w:numPr>
          <w:ilvl w:val="1"/>
          <w:numId w:val="1"/>
        </w:numPr>
        <w:ind w:left="0" w:firstLine="0"/>
        <w:rPr/>
      </w:pPr>
      <w:bookmarkStart w:colFirst="0" w:colLast="0" w:name="_8qv468gcb31t" w:id="34"/>
      <w:bookmarkEnd w:id="34"/>
      <w:r w:rsidDel="00000000" w:rsidR="00000000" w:rsidRPr="00000000">
        <w:rPr>
          <w:rtl w:val="0"/>
        </w:rPr>
        <w:t xml:space="preserve">Constructed six-layer reference framework</w:t>
      </w:r>
    </w:p>
    <w:p w:rsidR="00000000" w:rsidDel="00000000" w:rsidP="00000000" w:rsidRDefault="00000000" w:rsidRPr="00000000" w14:paraId="0000035A">
      <w:pPr>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The generic architecture in Figure 4.1 was constructed for this thesis. It does not reproduce any published model. Its components were synthesised from four streams of evidence. From the PFMI come the system-level functions: legal finality, money settlement, exchange-of-value settlement, access, resilience and FMI links [11]. Economic, formal and legal studies specify the securities domain, the cash domain and the coordination mechanisms [6] to [9]. The institutional pilots show how central banks, CSDs, operators and participants allocate those functions in concrete arrangements [12] to [16]. Governance, architecture and platform studies supply the compliance, supervisory and control components [1][4][5][20][21][23] to [25]. The diagram is a picture of the synthesis that Table 4.4 traces source by source.</w:t>
      </w:r>
    </w:p>
    <w:p w:rsidR="00000000" w:rsidDel="00000000" w:rsidP="00000000" w:rsidRDefault="00000000" w:rsidRPr="00000000" w14:paraId="0000035B">
      <w:pPr>
        <w:keepNext w:val="1"/>
        <w:spacing w:after="0" w:lineRule="auto"/>
        <w:jc w:val="center"/>
        <w:rPr/>
      </w:pPr>
      <w:r w:rsidDel="00000000" w:rsidR="00000000" w:rsidRPr="00000000">
        <w:rPr/>
        <w:drawing>
          <wp:inline distB="0" distT="0" distL="114300" distR="114300">
            <wp:extent cx="5760000" cy="3384000"/>
            <wp:effectExtent b="0" l="0" r="0" t="0"/>
            <wp:docPr descr="Figure 4.1 - Author-constructed generic DvP settlement architecture. Sources informing the synthesis are reported in Table 4.4." id="1" name="image1.png"/>
            <a:graphic>
              <a:graphicData uri="http://schemas.openxmlformats.org/drawingml/2006/picture">
                <pic:pic>
                  <pic:nvPicPr>
                    <pic:cNvPr descr="Figure 4.1 - Author-constructed generic DvP settlement architecture. Sources informing the synthesis are reported in Table 4.4." id="0" name="image1.png"/>
                    <pic:cNvPicPr preferRelativeResize="0"/>
                  </pic:nvPicPr>
                  <pic:blipFill>
                    <a:blip r:embed="rId6"/>
                    <a:srcRect b="0" l="0" r="0" t="0"/>
                    <a:stretch>
                      <a:fillRect/>
                    </a:stretch>
                  </pic:blipFill>
                  <pic:spPr>
                    <a:xfrm>
                      <a:off x="0" y="0"/>
                      <a:ext cx="5760000" cy="33840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Figure 4.1 - Author-constructed generic DvP settlement architecture.</w:t>
      </w:r>
    </w:p>
    <w:p w:rsidR="00000000" w:rsidDel="00000000" w:rsidP="00000000" w:rsidRDefault="00000000" w:rsidRPr="00000000" w14:paraId="0000035D">
      <w:pPr>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Figure 4.1 shows which components a DvP arrangement contains. It does not show which of them answers for a given requirement, and the mapping is not one to one: several components may jointly discharge one requirement, and one component may serve several. Admissibility, however, is judged requirement by requirement. A second view is therefore needed, organised not by the component that supplies the assurance but by the class of assurance itself.</w:t>
      </w:r>
    </w:p>
    <w:p w:rsidR="00000000" w:rsidDel="00000000" w:rsidP="00000000" w:rsidRDefault="00000000" w:rsidRPr="00000000" w14:paraId="0000035E">
      <w:pPr>
        <w:rPr/>
      </w:pPr>
      <w:r w:rsidDel="00000000" w:rsidR="00000000" w:rsidRPr="00000000">
        <w:rPr>
          <w:rtl w:val="0"/>
        </w:rPr>
        <w:t xml:space="preserve">The layers group the sixteen requirements according to the class of assurance that discharges them, rather than the component that supplies it. Two requirements share a layer when the same class of assurance answers both, whether that is legal and governance authority, admission and eligibility, coordinated settlement, external linkage, operational and supervisory control, or transition. The grouping was derived from the requirement statements and from nothing else, and it was fixed before any variant had been specified, which prevents an architecture from shaping the very framework that is meant to test it. Each requirement has a primary layer, the one that carries its control objective. Where a requirement is merely exercised in a layer, or where an actor's authority is legally constituted there, that layer is secondary and appears in parentheses. Running R01 to R16 through this rule produces six layers. L1 covers legal and governance matters, L2 participation and access, L3 the coordinated DvP engine, L4 interoperability, L5 operations and resilience, and L6 transition and coexistence. Table 4.4 lists, for each layer, the requirements it carries and the evidence behind its construction.</w:t>
      </w:r>
    </w:p>
    <w:p w:rsidR="00000000" w:rsidDel="00000000" w:rsidP="00000000" w:rsidRDefault="00000000" w:rsidRPr="00000000" w14:paraId="0000035F">
      <w:pPr>
        <w:keepNext w:val="1"/>
        <w:spacing w:after="0" w:lineRule="auto"/>
        <w:jc w:val="center"/>
        <w:rPr/>
      </w:pPr>
      <w:r w:rsidDel="00000000" w:rsidR="00000000" w:rsidRPr="00000000">
        <w:rPr/>
        <w:drawing>
          <wp:inline distB="114300" distT="114300" distL="114300" distR="114300">
            <wp:extent cx="5760000" cy="27504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000" cy="2750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Figure 4.2 - Six-layer functional reference framework.</w:t>
      </w:r>
    </w:p>
    <w:tbl>
      <w:tblPr>
        <w:tblStyle w:val="Table14"/>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3514"/>
        <w:gridCol w:w="3401"/>
        <w:tblGridChange w:id="0">
          <w:tblGrid>
            <w:gridCol w:w="1870"/>
            <w:gridCol w:w="3514"/>
            <w:gridCol w:w="3401"/>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361">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62">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Function and requirements</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63">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Construction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L1 - Legal and governance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Legal basis, role allocation and enforceable central-bank control; R01, R02, R14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PFMI P1, P2, P8, P11, P17, P18 [11]; governance and authority [5][8][13][15][20][23]</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L2 - Participation and access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Admission, eligibility, tiering and compliance under human override; R03, R16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PFMI P18-P19 [11]; permissioning and programmable controls [20][21][25]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L3 - Coordinated DvP engine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Settlement asset, atomicity, record, liquidity, failure handling and pattern choice; R04-R06, R09, R10, R13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PFMI P7-P9, P11-P13, P20-P21 [11]; mechanisms [6][7][9]; pilot implementations [12]-[17]</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6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L4 - Interoperability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Links to RTGS, TARGET, CSDs and standards; R07, R12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6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PFMI P20, P22 [11]; interoperability patterns [4][18][22]</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L5 - Operations and resilience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Operational control, auditability, confidentiality and supervision; R08, R11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PFMI P3, P17-P18 [11]; operational and supervisory controls [6][8][16][21][23]-[25]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7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L6 - Transition and coexistence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Fragmentation limits, coexistence and migration; R15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Liquidity and coexistence evidence [6][16][17][20]-[22][24]</w:t>
            </w:r>
            <w:r w:rsidDel="00000000" w:rsidR="00000000" w:rsidRPr="00000000">
              <w:rPr>
                <w:rtl w:val="0"/>
              </w:rPr>
            </w:r>
          </w:p>
        </w:tc>
      </w:tr>
    </w:tbl>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4.4 - Construction and evidential provenance of the six functional layers.</w:t>
      </w:r>
    </w:p>
    <w:p w:rsidR="00000000" w:rsidDel="00000000" w:rsidP="00000000" w:rsidRDefault="00000000" w:rsidRPr="00000000" w14:paraId="00000377">
      <w:pPr>
        <w:rPr/>
      </w:pPr>
      <w:r w:rsidDel="00000000" w:rsidR="00000000" w:rsidRPr="00000000">
        <w:rPr>
          <w:rFonts w:ascii="Times New Roman" w:cs="Times New Roman" w:eastAsia="Times New Roman" w:hAnsi="Times New Roman"/>
          <w:i w:val="0"/>
          <w:iCs w:val="0"/>
          <w:sz w:val="22"/>
          <w:szCs w:val="22"/>
          <w:rtl w:val="0"/>
        </w:rPr>
        <w:t xml:space="preserve">Between them the six layers cover the whole requirement set, since every requirement has one primary layer. The layers were kept functional by design, in the sense that each one states what has to be assured without ever naming the product that assures it. One of them, L3, differs from the other five in that it houses the atomicity mechanism. The remaining layers carry the institutional and control obligations common to every family, even if the surfaces on which those obligations are discharged shift according to the settlement engine in use.</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Times New Roman" w:cs="Times New Roman" w:eastAsia="Times New Roman" w:hAnsi="Times New Roman"/>
          <w:i w:val="0"/>
          <w:iCs w:val="0"/>
          <w:sz w:val="22"/>
          <w:szCs w:val="22"/>
          <w:rtl w:val="0"/>
        </w:rPr>
        <w:t xml:space="preserve">Under R02, the roles of the central bank, of the market or platform operator, of the CSD or registry, of the participants and of the supervisory authorities all have to be made explicit. The framework places each actor in the layers where its authority is exercised. CPMI-IOSCO name the absence of any entity in control of the transfer function as the governance problem to be solved under Principle 2, where that function is executed as code. They offer one illustration of a sound arrangement: one “owned and operated by one or more identifiable and responsible legal entities that are ultimately controlled by natural persons” [23]. The same guidance puts the point normatively as well, holding that an organisation composed of one or more legal entities ultimately controlled by natural persons is essential for observance of Principle 2 [23]. This framework adopts that reading as a design rule of its own: every critical function must correspond to an identifiable legal entity. The PFMI themselves state no such rule, and observe that one legal entity may perform the functions of more than one type of FMI [11]. Two rules of this framework govern this allocation. The first is role plurality: the layers describe functional roles rather than institutions, so one institution may hold several roles at once. A commercial bank does exactly that when it issues its own bonds and also settles bonds issued by others. The second is structural exclusivity: neither the central bank nor the supervisory authority may also act as a participant, and the same restriction applies to the CSD whenever it endorses the authoritative record. These actors supply the authority against which the eligibility of participants and the validity of settlements are judged. The allocation in Table 4.5 is the same in all three families. What changes is only the number of surfaces through which authority is exercised.</w:t>
      </w:r>
      <w:r w:rsidDel="00000000" w:rsidR="00000000" w:rsidRPr="00000000">
        <w:rPr>
          <w:rtl w:val="0"/>
        </w:rPr>
      </w:r>
    </w:p>
    <w:tbl>
      <w:tblPr>
        <w:tblStyle w:val="Table15"/>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986"/>
        <w:gridCol w:w="4192"/>
        <w:gridCol w:w="1398"/>
        <w:tblGridChange w:id="0">
          <w:tblGrid>
            <w:gridCol w:w="1644"/>
            <w:gridCol w:w="986"/>
            <w:gridCol w:w="4192"/>
            <w:gridCol w:w="1398"/>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37A">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Actor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7B">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Layer(s)</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7C">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Function</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7D">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Requirements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7E">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Central bank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7F">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L1, L3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0">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Issues and redeems wCBDC where the cash leg is on-ledger; sets access to central bank money; holds intervention and stop-settlement rights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1">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R04, R14, R03</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82">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Supervisory authority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3">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L5 (L1)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4">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Read-only observation of settlement events; audit access; no write capability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5">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R11, R08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86">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CSD / notary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7">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L3 (L1)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8">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Operates or endorses the authoritative record; controls issuance and lifecycle events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9">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R06, R01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8A">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Market / platform operator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B">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L3, L4, L5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C">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Operates the platform, its interoperability links and its operational controls, under delegated technical operation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D">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R08, R07, R14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8E">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Issuers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8F">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L2, L3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0">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Register issuances against the prospectus; originate the asset leg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1">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R06, R03</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92">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Participants (banks)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3">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L2, L3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4">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Hold balances on both legs; submit settlement instructions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5">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R03, R05</w:t>
            </w:r>
            <w:r w:rsidDel="00000000" w:rsidR="00000000" w:rsidRPr="00000000">
              <w:rPr>
                <w:rtl w:val="0"/>
              </w:rPr>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4.5 - Institutional roles mapped to layers; secondary layers in parentheses.</w:t>
      </w:r>
    </w:p>
    <w:p w:rsidR="00000000" w:rsidDel="00000000" w:rsidP="00000000" w:rsidRDefault="00000000" w:rsidRPr="00000000" w14:paraId="00000397">
      <w:pPr>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Sections 4.3 and 4.4 state the framework at a level common to every candidate. Where the three families B1, B2 and B3 are named before Section 4.5 specifies them, it is only to show how a common obligation is discharged on different surfaces.</w:t>
      </w:r>
    </w:p>
    <w:p w:rsidR="00000000" w:rsidDel="00000000" w:rsidP="00000000" w:rsidRDefault="00000000" w:rsidRPr="00000000" w14:paraId="00000398">
      <w:pPr>
        <w:rPr/>
      </w:pPr>
      <w:r w:rsidDel="00000000" w:rsidR="00000000" w:rsidRPr="00000000">
        <w:rPr>
          <w:rFonts w:ascii="Times New Roman" w:cs="Times New Roman" w:eastAsia="Times New Roman" w:hAnsi="Times New Roman"/>
          <w:i w:val="0"/>
          <w:iCs w:val="0"/>
          <w:sz w:val="22"/>
          <w:szCs w:val="22"/>
          <w:rtl w:val="0"/>
        </w:rPr>
        <w:t xml:space="preserve">R14 draws a line between delegating technical operation, which is admissible, and delegating institutional control, which is not. The institutional record also shows that governing the software on its own is not enough [20][23]. The control a central bank retains therefore rests on four families of mechanism, and an admissible architecture has to supply all four. Legal instruments are the rulebook and the designation of the arrangement under the applicable finality regime. Contractual instruments are the operator agreements granting audit, intervention and exit rights. No pilot specifies an agreement carrying all three. Helvetia II comes closest: it states that the central bank must retain control and monitoring functions over wCBDC through technical functionalities and contractual arrangements with the platform operator, and names the suspension of individual participants and a global settlement stop, without stating what those arrangements contain [13]. The instrument is therefore stated here as a design rule of this framework, by analogy with those arrangements, with the governance controls Jura records, where the central bank keeps sole discretion over access and over the issuance of its own tokens [15], and with the regulated-platform issuance of Helvetia III [14]. Technical instruments are the operations the platform reserves to the monetary authority, namely minting and burning, a scoped stop-settlement and an eligibility freeze. Observational instruments give supervisors a read-only view that is structurally cut off from any ability to write.</w:t>
      </w:r>
      <w:r w:rsidDel="00000000" w:rsidR="00000000" w:rsidRPr="00000000">
        <w:rPr>
          <w:rtl w:val="0"/>
        </w:rPr>
      </w:r>
    </w:p>
    <w:tbl>
      <w:tblPr>
        <w:tblStyle w:val="Table16"/>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9"/>
        <w:gridCol w:w="2712"/>
        <w:gridCol w:w="986"/>
        <w:gridCol w:w="3043"/>
        <w:tblGridChange w:id="0">
          <w:tblGrid>
            <w:gridCol w:w="1479"/>
            <w:gridCol w:w="2712"/>
            <w:gridCol w:w="986"/>
            <w:gridCol w:w="3043"/>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399">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Control family</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9A">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Instrument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9B">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Layer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9C">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Surface in B1 / B2 / B3</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9D">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Legal-regulatory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E">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Rulebook; designation under the finality regime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9F">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0">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Identical in all three families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A1">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Contractual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2">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Operator agreements: audit, intervention, exit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3">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4">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Identical in all three families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A5">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Technical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6">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Reserved mint and burn; stop-settlement; eligibility freeze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7">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L3 (L2)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8">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B1: two surfaces (DLT and RTGS). B2: one surface. B3: cash register only, ex ante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3A9">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Observational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A">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Read-only supervisory event access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B">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L5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AC">
            <w:pPr>
              <w:spacing w:after="40" w:before="40" w:lineRule="auto"/>
              <w:jc w:val="both"/>
              <w:rPr/>
            </w:pPr>
            <w:r w:rsidDel="00000000" w:rsidR="00000000" w:rsidRPr="00000000">
              <w:rPr>
                <w:rFonts w:ascii="Times New Roman" w:cs="Times New Roman" w:eastAsia="Times New Roman" w:hAnsi="Times New Roman"/>
                <w:b w:val="0"/>
                <w:bCs w:val="0"/>
                <w:sz w:val="18"/>
                <w:szCs w:val="18"/>
                <w:rtl w:val="0"/>
              </w:rPr>
              <w:t xml:space="preserve">B1: two surfaces. B2: one unified surface. B3: two surfaces, correlated by transfer identifier</w:t>
            </w:r>
            <w:r w:rsidDel="00000000" w:rsidR="00000000" w:rsidRPr="00000000">
              <w:rPr>
                <w:rtl w:val="0"/>
              </w:rPr>
            </w:r>
          </w:p>
        </w:tc>
      </w:tr>
    </w:tbl>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4.6 - Central-bank control mechanisms and the geometry of their surfaces.</w:t>
      </w:r>
    </w:p>
    <w:p w:rsidR="00000000" w:rsidDel="00000000" w:rsidP="00000000" w:rsidRDefault="00000000" w:rsidRPr="00000000" w14:paraId="000003AE">
      <w:pPr>
        <w:rPr/>
      </w:pPr>
      <w:r w:rsidDel="00000000" w:rsidR="00000000" w:rsidRPr="00000000">
        <w:rPr>
          <w:rFonts w:ascii="Times New Roman" w:cs="Times New Roman" w:eastAsia="Times New Roman" w:hAnsi="Times New Roman"/>
          <w:i w:val="0"/>
          <w:iCs w:val="0"/>
          <w:sz w:val="22"/>
          <w:szCs w:val="22"/>
          <w:rtl w:val="0"/>
        </w:rPr>
        <w:t xml:space="preserve">All admissible architectures use the same four families, but their geometry depends on the choice made at L3. In B1, control and observation stretch across two infrastructures, and on the cash side they rely on controls the RTGS already provides. That is also why B1 asks the least of the legal framework, since the status of its cash leg is settled already. In B2 the two surfaces collapse into one, and authority takes the form of reserved operations that the platform's validation model enforces. B3 looks different again. Here the central bank governs its own cash register directly, yet between the moment the secret is disclosed and the moment the securities are claimed it has no institutional way of stepping in. Its control therefore stops at the cash register, and it has to be exercised beforehand, through admission rules, ceilings and the parameters of the locks.</w:t>
      </w:r>
      <w:r w:rsidDel="00000000" w:rsidR="00000000" w:rsidRPr="00000000">
        <w:rPr>
          <w:rtl w:val="0"/>
        </w:rPr>
      </w:r>
    </w:p>
    <w:p w:rsidR="00000000" w:rsidDel="00000000" w:rsidP="00000000" w:rsidRDefault="00000000" w:rsidRPr="00000000" w14:paraId="000003AF">
      <w:pPr>
        <w:pStyle w:val="Heading2"/>
        <w:numPr>
          <w:ilvl w:val="1"/>
          <w:numId w:val="1"/>
        </w:numPr>
        <w:ind w:left="0" w:firstLine="0"/>
        <w:rPr/>
      </w:pPr>
      <w:bookmarkStart w:colFirst="0" w:colLast="0" w:name="_g81xvfmg6bxj" w:id="35"/>
      <w:bookmarkEnd w:id="35"/>
      <w:r w:rsidDel="00000000" w:rsidR="00000000" w:rsidRPr="00000000">
        <w:rPr>
          <w:rtl w:val="0"/>
        </w:rPr>
        <w:t xml:space="preserve">Design parameters and admissible architecture space</w:t>
      </w:r>
    </w:p>
    <w:p w:rsidR="00000000" w:rsidDel="00000000" w:rsidP="00000000" w:rsidRDefault="00000000" w:rsidRPr="00000000" w14:paraId="000003B0">
      <w:pPr>
        <w:rPr/>
      </w:pPr>
      <w:r w:rsidDel="00000000" w:rsidR="00000000" w:rsidRPr="00000000">
        <w:rPr>
          <w:rFonts w:ascii="Times New Roman" w:cs="Times New Roman" w:eastAsia="Times New Roman" w:hAnsi="Times New Roman"/>
          <w:i w:val="0"/>
          <w:iCs w:val="0"/>
          <w:sz w:val="22"/>
          <w:szCs w:val="22"/>
          <w:rtl w:val="0"/>
        </w:rPr>
        <w:t xml:space="preserve">Once the requirements are fixed, the choices that remain can be captured in five parameters. A named requirement leaves each of them open, and each takes at least two different values somewhere in the record, unless a value is flagged as programmatic. Among the five, D3 weighs most. It fixes the mechanism that produces DvP, and in doing so it decides whether two architectures differ in substance. The remaining four describe the deployment that is built around that mechanism.</w:t>
      </w:r>
      <w:r w:rsidDel="00000000" w:rsidR="00000000" w:rsidRPr="00000000">
        <w:rPr>
          <w:rtl w:val="0"/>
        </w:rPr>
      </w:r>
    </w:p>
    <w:tbl>
      <w:tblPr>
        <w:tblStyle w:val="Table17"/>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
        <w:gridCol w:w="1927"/>
        <w:gridCol w:w="3288"/>
        <w:gridCol w:w="3061"/>
        <w:tblGridChange w:id="0">
          <w:tblGrid>
            <w:gridCol w:w="793"/>
            <w:gridCol w:w="1927"/>
            <w:gridCol w:w="3288"/>
            <w:gridCol w:w="3061"/>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3B1">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Parameter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B2">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Question</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B3">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Admissible values</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B4">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Open under /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Where does the cash leg reside?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Off-ledger in RTGS through a link; on-ledger as wCBDC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R04; Helvetia I-II, Jura and Eurosystem work [12][13][15][16]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Which register is authoritative?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CSD-primary with DLT mirror; native DLT under CSD authority; CSD as a node in a broader record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R06; institutional spectrum [12][15][16][20][24]</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B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How is DvP produced?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B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Trusted trigger and recovery; platform atomic commit; cross-ledger HTLC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R05; [9][12][16]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Who participates and how?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Direct participation; tiered or sponsored access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R03; [20][25]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C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How is the record partitioned?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Separate infrastructures; one platform with distinct contracts; unified multi-partition record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C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R06 and R11; [15][20][24]</w:t>
            </w:r>
            <w:r w:rsidDel="00000000" w:rsidR="00000000" w:rsidRPr="00000000">
              <w:rPr>
                <w:rtl w:val="0"/>
              </w:rPr>
            </w:r>
          </w:p>
        </w:tc>
      </w:tr>
    </w:tbl>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4.7 - Five design parameters, admissible values and evidential basis.</w:t>
      </w:r>
    </w:p>
    <w:p w:rsidR="00000000" w:rsidDel="00000000" w:rsidP="00000000" w:rsidRDefault="00000000" w:rsidRPr="00000000" w14:paraId="000003CA">
      <w:pPr>
        <w:rPr/>
      </w:pPr>
      <w:r w:rsidDel="00000000" w:rsidR="00000000" w:rsidRPr="00000000">
        <w:rPr>
          <w:rFonts w:ascii="Times New Roman" w:cs="Times New Roman" w:eastAsia="Times New Roman" w:hAnsi="Times New Roman"/>
          <w:i w:val="0"/>
          <w:iCs w:val="0"/>
          <w:sz w:val="22"/>
          <w:szCs w:val="22"/>
          <w:rtl w:val="0"/>
        </w:rPr>
        <w:t xml:space="preserve">These parameters constrain one another. Since a trigger coordinates across an infrastructure boundary, B1 necessarily keeps the cash leg in RTGS and runs on separate supports. Since a platform-native atomic commit can only work when both legs are in one validation domain, B2 is necessarily on-ledger and confined to a single platform. An HTLC, for its part, presupposes two registers that can hold locks, tied to the same secret and to time windows nested one inside the other. D4 stays largely orthogonal, since direct or tiered participation can be arranged around any of the settlement mechanisms, Principle 18 stating access and participation requirements without reference to the mechanism that settles [11]. These coherence constraints cut the theoretical Cartesian product down to the three families with evidence behind them, shown in Table 4.8.</w:t>
      </w:r>
      <w:r w:rsidDel="00000000" w:rsidR="00000000" w:rsidRPr="00000000">
        <w:rPr>
          <w:rtl w:val="0"/>
        </w:rPr>
      </w:r>
    </w:p>
    <w:tbl>
      <w:tblPr>
        <w:tblStyle w:val="Table18"/>
        <w:tblW w:w="906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474"/>
        <w:gridCol w:w="1814"/>
        <w:gridCol w:w="2324"/>
        <w:gridCol w:w="1757"/>
        <w:tblGridChange w:id="0">
          <w:tblGrid>
            <w:gridCol w:w="1700"/>
            <w:gridCol w:w="1474"/>
            <w:gridCol w:w="1814"/>
            <w:gridCol w:w="2324"/>
            <w:gridCol w:w="1757"/>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3C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Family</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C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D1: cash</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C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D2: record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CE">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D3: mechanism</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CF">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D5: partition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B1 - Synchronised trigger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RTGS, off-ledger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CSD primary with DLT mirror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Coordinator: lock, trigger, confirm and recover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Separate infrastructures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B2 - Integrated platform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wCBDC on platform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Ledger under CSD authority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One platform-native atomic commit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Single platform; unified record as limit case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D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B3 - Cross-ledger HTLC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Distinct lock-capable cash register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Native record per register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Hash-lock plus nested time-locks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D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Two correlated registers</w:t>
            </w:r>
            <w:r w:rsidDel="00000000" w:rsidR="00000000" w:rsidRPr="00000000">
              <w:rPr>
                <w:rtl w:val="0"/>
              </w:rPr>
            </w:r>
          </w:p>
        </w:tc>
      </w:tr>
    </w:tbl>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4.8 - Parameter signatures of the three architecture families. D4 remains open in each family.</w:t>
      </w:r>
    </w:p>
    <w:p w:rsidR="00000000" w:rsidDel="00000000" w:rsidP="00000000" w:rsidRDefault="00000000" w:rsidRPr="00000000" w14:paraId="000003E0">
      <w:pPr>
        <w:pStyle w:val="Heading2"/>
        <w:numPr>
          <w:ilvl w:val="1"/>
          <w:numId w:val="1"/>
        </w:numPr>
        <w:ind w:left="0" w:firstLine="0"/>
        <w:rPr/>
      </w:pPr>
      <w:bookmarkStart w:colFirst="0" w:colLast="0" w:name="_lt23yime4uot" w:id="36"/>
      <w:bookmarkEnd w:id="36"/>
      <w:r w:rsidDel="00000000" w:rsidR="00000000" w:rsidRPr="00000000">
        <w:rPr>
          <w:rtl w:val="0"/>
        </w:rPr>
        <w:t xml:space="preserve">Three architectural variants</w:t>
      </w:r>
    </w:p>
    <w:p w:rsidR="00000000" w:rsidDel="00000000" w:rsidP="00000000" w:rsidRDefault="00000000" w:rsidRPr="00000000" w14:paraId="000003E1">
      <w:pPr>
        <w:rPr/>
      </w:pPr>
      <w:r w:rsidDel="00000000" w:rsidR="00000000" w:rsidRPr="00000000">
        <w:rPr>
          <w:rFonts w:ascii="Times New Roman" w:cs="Times New Roman" w:eastAsia="Times New Roman" w:hAnsi="Times New Roman"/>
          <w:i w:val="0"/>
          <w:iCs w:val="0"/>
          <w:sz w:val="22"/>
          <w:szCs w:val="22"/>
          <w:rtl w:val="0"/>
        </w:rPr>
        <w:t xml:space="preserve">Each family receives one specification, and the three share a notation. I-flows carry issuance and instructions. T-flows belong to the trigger family, O-flows to the integrated family and H-flows to the HTLC family. C-flows carry central-bank control, and S-flows carry supervisory observation. The full interface contracts are part of the companion materials. The manuscript keeps only the states and interactions that the comparison needs.</w:t>
      </w:r>
      <w:r w:rsidDel="00000000" w:rsidR="00000000" w:rsidRPr="00000000">
        <w:rPr>
          <w:rtl w:val="0"/>
        </w:rPr>
      </w:r>
    </w:p>
    <w:p w:rsidR="00000000" w:rsidDel="00000000" w:rsidP="00000000" w:rsidRDefault="00000000" w:rsidRPr="00000000" w14:paraId="000003E2">
      <w:pPr>
        <w:pStyle w:val="Heading3"/>
        <w:numPr>
          <w:ilvl w:val="2"/>
          <w:numId w:val="1"/>
        </w:numPr>
        <w:ind w:left="360" w:hanging="360"/>
        <w:rPr/>
      </w:pPr>
      <w:bookmarkStart w:colFirst="0" w:colLast="0" w:name="_ermf0fwqj7xb" w:id="37"/>
      <w:bookmarkEnd w:id="37"/>
      <w:r w:rsidDel="00000000" w:rsidR="00000000" w:rsidRPr="00000000">
        <w:rPr>
          <w:rtl w:val="0"/>
        </w:rPr>
        <w:t xml:space="preserve">B1 - Synchronised trigger with cash in RTGS</w:t>
      </w:r>
    </w:p>
    <w:p w:rsidR="00000000" w:rsidDel="00000000" w:rsidP="00000000" w:rsidRDefault="00000000" w:rsidRPr="00000000" w14:paraId="000003E3">
      <w:pPr>
        <w:rPr/>
      </w:pPr>
      <w:r w:rsidDel="00000000" w:rsidR="00000000" w:rsidRPr="00000000">
        <w:rPr>
          <w:rFonts w:ascii="Times New Roman" w:cs="Times New Roman" w:eastAsia="Times New Roman" w:hAnsi="Times New Roman"/>
          <w:i w:val="0"/>
          <w:iCs w:val="0"/>
          <w:sz w:val="22"/>
          <w:szCs w:val="22"/>
          <w:rtl w:val="0"/>
        </w:rPr>
        <w:t xml:space="preserve">B1 keeps the CSD as the authoritative securities record, uses a permissioned DLT as a synchronised mirror of it, and leaves the cash leg in RTGS. A co-signed instruction locks the seller's securities. An accountable coordinator - the term is this framework's, not the pilots' - then issues a third-party payment instruction to the RTGS, an ISO 20022 gateway translating between the two systems in both directions [12], and waits for a status. A settled status releases the securities and updates the authoritative record, while a confirmed rejection returns the locked securities to the seller. A timeout by itself does not undo the lock. What it does is open an idempotent status enquiry followed by a reconciliation procedure. The reason is that an RTGS transfer, once made, is irrevocable, and an automatic rollback of the securities after such a transfer would not be safe.</w:t>
      </w: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i w:val="0"/>
          <w:iCs w:val="0"/>
          <w:sz w:val="22"/>
          <w:szCs w:val="22"/>
        </w:rPr>
        <w:sectPr>
          <w:headerReference r:id="rId8" w:type="default"/>
          <w:headerReference r:id="rId9" w:type="first"/>
          <w:footerReference r:id="rId10" w:type="default"/>
          <w:footerReference r:id="rId11" w:type="first"/>
          <w:pgSz w:h="16838" w:w="11906" w:orient="portrait"/>
          <w:pgMar w:bottom="1247" w:top="1304" w:left="1417" w:right="1417" w:header="680" w:footer="680"/>
          <w:pgNumType w:start="0"/>
          <w:titlePg w:val="1"/>
        </w:sectPr>
      </w:pPr>
      <w:r w:rsidDel="00000000" w:rsidR="00000000" w:rsidRPr="00000000">
        <w:rPr>
          <w:rFonts w:ascii="Times New Roman" w:cs="Times New Roman" w:eastAsia="Times New Roman" w:hAnsi="Times New Roman"/>
          <w:i w:val="0"/>
          <w:iCs w:val="0"/>
          <w:sz w:val="22"/>
          <w:szCs w:val="22"/>
          <w:rtl w:val="0"/>
        </w:rPr>
        <w:t xml:space="preserve">The invariant in this family is protocol atomicity under bounded recovery. An intermediate state does exist, in which the securities are frozen while the outcome on the cash side is still unknown. The coordinator is institutionally bound to bring that state to a close, either by confirming the transfer or by running the recovery procedure. The price is two control and observation surfaces and a permanent duty of reconciliation. The gain is that very little legal change is needed, since the cash leg already settles under the finality regime of the RTGS. The mechanism is documented in the configuration Helvetia I calls the RTGS link, its second proof of concept, which links the SDX platform to the Swiss RTGS [12] and which the Swiss National Bank later described as a synchronised approach to settlement [14], and in the Eurosystem's Trigger Solution [16][22]. The words trigger and synchronised belong to those later sources, not to the Helvetia I report itself.</w:t>
      </w:r>
    </w:p>
    <w:p w:rsidR="00000000" w:rsidDel="00000000" w:rsidP="00000000" w:rsidRDefault="00000000" w:rsidRPr="00000000" w14:paraId="000003E5">
      <w:pPr>
        <w:rPr/>
      </w:pPr>
      <w:r w:rsidDel="00000000" w:rsidR="00000000" w:rsidRPr="00000000">
        <w:rPr/>
        <w:drawing>
          <wp:inline distB="114300" distT="114300" distL="114300" distR="114300">
            <wp:extent cx="9720000" cy="51912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9720000" cy="5191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E6">
      <w:pPr>
        <w:spacing w:after="160" w:before="80" w:line="240" w:lineRule="auto"/>
        <w:jc w:val="center"/>
        <w:rPr/>
        <w:sectPr>
          <w:headerReference r:id="rId13" w:type="default"/>
          <w:headerReference r:id="rId14" w:type="first"/>
          <w:footerReference r:id="rId15" w:type="default"/>
          <w:footerReference r:id="rId16" w:type="first"/>
          <w:type w:val="nextPage"/>
          <w:pgSz w:h="11906" w:w="16838" w:orient="landscape"/>
          <w:pgMar w:bottom="720" w:top="720" w:left="720" w:right="720" w:header="480" w:footer="480"/>
        </w:sectPr>
      </w:pPr>
      <w:r w:rsidDel="00000000" w:rsidR="00000000" w:rsidRPr="00000000">
        <w:rPr>
          <w:b w:val="1"/>
          <w:bCs w:val="1"/>
          <w:i w:val="1"/>
          <w:iCs w:val="1"/>
          <w:sz w:val="19"/>
          <w:szCs w:val="19"/>
          <w:rtl w:val="0"/>
        </w:rPr>
        <w:t xml:space="preserve">Figure 4.3 - Coordination mechanism of variant B1: synchronised trigger with the cash leg in RTGS. </w:t>
      </w:r>
      <w:r w:rsidDel="00000000" w:rsidR="00000000" w:rsidRPr="00000000">
        <w:rPr>
          <w:rtl w:val="0"/>
        </w:rPr>
      </w:r>
    </w:p>
    <w:p w:rsidR="00000000" w:rsidDel="00000000" w:rsidP="00000000" w:rsidRDefault="00000000" w:rsidRPr="00000000" w14:paraId="000003E7">
      <w:pPr>
        <w:pStyle w:val="Heading3"/>
        <w:numPr>
          <w:ilvl w:val="2"/>
          <w:numId w:val="1"/>
        </w:numPr>
        <w:ind w:left="360" w:hanging="360"/>
        <w:rPr/>
      </w:pPr>
      <w:bookmarkStart w:colFirst="0" w:colLast="0" w:name="_wknib0ofdlim" w:id="38"/>
      <w:bookmarkEnd w:id="38"/>
      <w:r w:rsidDel="00000000" w:rsidR="00000000" w:rsidRPr="00000000">
        <w:rPr>
          <w:rtl w:val="0"/>
        </w:rPr>
        <w:t xml:space="preserve">B2 - Integrated on-ledger platform commit</w:t>
      </w:r>
    </w:p>
    <w:p w:rsidR="00000000" w:rsidDel="00000000" w:rsidP="00000000" w:rsidRDefault="00000000" w:rsidRPr="00000000" w14:paraId="000003E8">
      <w:pPr>
        <w:rPr/>
      </w:pPr>
      <w:r w:rsidDel="00000000" w:rsidR="00000000" w:rsidRPr="00000000">
        <w:rPr>
          <w:rFonts w:ascii="Times New Roman" w:cs="Times New Roman" w:eastAsia="Times New Roman" w:hAnsi="Times New Roman"/>
          <w:i w:val="0"/>
          <w:iCs w:val="0"/>
          <w:sz w:val="22"/>
          <w:szCs w:val="22"/>
          <w:rtl w:val="0"/>
        </w:rPr>
        <w:t xml:space="preserve">B2 does away with the infrastructure boundary. Securities and native wCBDC sit on one permissioned platform, whose ledger is the authoritative record under the authority of the CSD. A settlement contract invokes the securities contract and the cash contract within a single transaction. The compliance and eligibility checks act as preconditions, after which validation either commits the two transfers together or commits nothing. ISO 20022 retains a role at the edges of the platform, though it has left the critical DvP path.</w:t>
      </w: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i w:val="0"/>
          <w:iCs w:val="0"/>
          <w:sz w:val="22"/>
          <w:szCs w:val="22"/>
        </w:rPr>
        <w:sectPr>
          <w:headerReference r:id="rId17" w:type="default"/>
          <w:headerReference r:id="rId18" w:type="first"/>
          <w:footerReference r:id="rId19" w:type="default"/>
          <w:footerReference r:id="rId20" w:type="first"/>
          <w:type w:val="nextPage"/>
          <w:pgSz w:h="16838" w:w="11906" w:orient="portrait"/>
          <w:pgMar w:bottom="1247" w:top="1304" w:left="1417" w:right="1417" w:header="680" w:footer="680"/>
        </w:sectPr>
      </w:pPr>
      <w:r w:rsidDel="00000000" w:rsidR="00000000" w:rsidRPr="00000000">
        <w:rPr>
          <w:rFonts w:ascii="Times New Roman" w:cs="Times New Roman" w:eastAsia="Times New Roman" w:hAnsi="Times New Roman"/>
          <w:i w:val="0"/>
          <w:iCs w:val="0"/>
          <w:sz w:val="22"/>
          <w:szCs w:val="22"/>
          <w:rtl w:val="0"/>
        </w:rPr>
        <w:t xml:space="preserve">Here the invariant is transactional atomicity. Because the validation model of the platform either writes both legs or throws the transaction out, there is no intermediate state in which one settled leg could be exposed on its own. The central bank exercises its authority on a single control surface, through the reserved operations of issuance and redemption of the settlement asset, called minting and burning in the implementation of Chapter 5, together with suspension. Helvetia III reports the issuance of live wCBDC on a regulated third-party platform, in a speech rather than in a design document [14]; Helvetia II documents the design in the test environments of production systems [13], and Jura documents it in a near-real setting with real-value transactions, though there the cash leg reached finality only in the RTGS systems [15]. Chapter 5 adds construction evidence from the proof of concept.</w:t>
      </w:r>
    </w:p>
    <w:p w:rsidR="00000000" w:rsidDel="00000000" w:rsidP="00000000" w:rsidRDefault="00000000" w:rsidRPr="00000000" w14:paraId="000003EA">
      <w:pPr>
        <w:rPr/>
      </w:pPr>
      <w:r w:rsidDel="00000000" w:rsidR="00000000" w:rsidRPr="00000000">
        <w:rPr/>
        <w:drawing>
          <wp:inline distB="114300" distT="114300" distL="114300" distR="114300">
            <wp:extent cx="9720000" cy="5544000"/>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9720000" cy="554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EB">
      <w:pPr>
        <w:spacing w:after="160" w:before="80" w:line="240" w:lineRule="auto"/>
        <w:jc w:val="center"/>
        <w:rPr/>
        <w:sectPr>
          <w:headerReference r:id="rId22" w:type="default"/>
          <w:headerReference r:id="rId23" w:type="first"/>
          <w:footerReference r:id="rId24" w:type="default"/>
          <w:footerReference r:id="rId25" w:type="first"/>
          <w:type w:val="nextPage"/>
          <w:pgSz w:h="11906" w:w="16838" w:orient="landscape"/>
          <w:pgMar w:bottom="720" w:top="720" w:left="720" w:right="720" w:header="480" w:footer="480"/>
        </w:sectPr>
      </w:pPr>
      <w:r w:rsidDel="00000000" w:rsidR="00000000" w:rsidRPr="00000000">
        <w:rPr>
          <w:b w:val="1"/>
          <w:bCs w:val="1"/>
          <w:i w:val="1"/>
          <w:iCs w:val="1"/>
          <w:sz w:val="19"/>
          <w:szCs w:val="19"/>
          <w:rtl w:val="0"/>
        </w:rPr>
        <w:t xml:space="preserve">Figure 4.4 - Coordination mechanism of variant B2: integrated on-ledger platform commit.</w:t>
      </w:r>
      <w:r w:rsidDel="00000000" w:rsidR="00000000" w:rsidRPr="00000000">
        <w:rPr>
          <w:rtl w:val="0"/>
        </w:rPr>
      </w:r>
    </w:p>
    <w:p w:rsidR="00000000" w:rsidDel="00000000" w:rsidP="00000000" w:rsidRDefault="00000000" w:rsidRPr="00000000" w14:paraId="000003EC">
      <w:pPr>
        <w:pStyle w:val="Heading3"/>
        <w:numPr>
          <w:ilvl w:val="2"/>
          <w:numId w:val="1"/>
        </w:numPr>
        <w:ind w:left="360" w:hanging="360"/>
        <w:rPr/>
      </w:pPr>
      <w:bookmarkStart w:colFirst="0" w:colLast="0" w:name="_8vawelbrqi4v" w:id="39"/>
      <w:bookmarkEnd w:id="39"/>
      <w:r w:rsidDel="00000000" w:rsidR="00000000" w:rsidRPr="00000000">
        <w:rPr>
          <w:rtl w:val="0"/>
        </w:rPr>
        <w:t xml:space="preserve">B3 - Cross-ledger hashed time-locked contracts</w:t>
      </w:r>
    </w:p>
    <w:p w:rsidR="00000000" w:rsidDel="00000000" w:rsidP="00000000" w:rsidRDefault="00000000" w:rsidRPr="00000000" w14:paraId="000003ED">
      <w:pPr>
        <w:rPr/>
      </w:pPr>
      <w:r w:rsidDel="00000000" w:rsidR="00000000" w:rsidRPr="00000000">
        <w:rPr>
          <w:rFonts w:ascii="Times New Roman" w:cs="Times New Roman" w:eastAsia="Times New Roman" w:hAnsi="Times New Roman"/>
          <w:i w:val="0"/>
          <w:iCs w:val="0"/>
          <w:sz w:val="22"/>
          <w:szCs w:val="22"/>
          <w:rtl w:val="0"/>
        </w:rPr>
        <w:t xml:space="preserve">B3 uses two sovereign registers and no trusted coordinator. The seller locks the securities under a hash h until a time T_sec. Once it has verified that lock, the buyer locks the cash under the same hash for a shorter window, T_cash. The seller then reveals the secret s in order to claim the cash. Because H(s) = h is now public, the buyer is able to use s to claim the securities before T_sec expires. If the secret is never revealed, each lock eventually refunds its original holder. The construction is not theirs: Son and Jang credit the hashed time-locked contract to Poon and Dryja and the atomic-swap protocol built on it to Herlihy, whose analysis they fault for leaving out the economic incentives of the participants. What they add is that missing layer. They show that the swap is asymmetric by construction, since the party who learns the secret late is always the one exposed, model the resulting failure by late signature, and carry over from the atomic-swap optionality literature a premium borne by the initiator, which their model turns into a penalty calibrated so that failure becomes rare [9]. TIPS Hash-Link documents the principle in an institutional setting [16].</w:t>
      </w: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i w:val="0"/>
          <w:iCs w:val="0"/>
          <w:sz w:val="22"/>
          <w:szCs w:val="22"/>
        </w:rPr>
        <w:sectPr>
          <w:headerReference r:id="rId26" w:type="default"/>
          <w:headerReference r:id="rId27" w:type="first"/>
          <w:footerReference r:id="rId28" w:type="default"/>
          <w:footerReference r:id="rId29" w:type="first"/>
          <w:type w:val="nextPage"/>
          <w:pgSz w:h="16838" w:w="11906" w:orient="portrait"/>
          <w:pgMar w:bottom="1247" w:top="1304" w:left="1417" w:right="1417" w:header="680" w:footer="680"/>
        </w:sectPr>
      </w:pPr>
      <w:r w:rsidDel="00000000" w:rsidR="00000000" w:rsidRPr="00000000">
        <w:rPr>
          <w:rFonts w:ascii="Times New Roman" w:cs="Times New Roman" w:eastAsia="Times New Roman" w:hAnsi="Times New Roman"/>
          <w:i w:val="0"/>
          <w:iCs w:val="0"/>
          <w:sz w:val="22"/>
          <w:szCs w:val="22"/>
          <w:rtl w:val="0"/>
        </w:rPr>
        <w:t xml:space="preserve">The invariant is conditional cryptographic atomicity, and it rests on a liveness assumption. After the seller has claimed the cash, the disclosure of s puts the buyer in a position to claim the securities, but nothing forces the buyer to act. If the buyer fails to act before T_sec, the outcome may be mixed, unless delegated claiming, an obligation in the rulebook or a residual service discharges the liveness assumption. Central-bank intervention is direct only on the cash register, and mostly takes place in advance. TIPS Hash-Link demonstrates the mechanism, but the configuration it documents settles on a platform set up for the exercise in the likeness of TIPS, outside the perimeter of TARGET Services, rather than on a dedicated wCBDC ledger, and it remains exploratory [16].</w:t>
      </w:r>
    </w:p>
    <w:p w:rsidR="00000000" w:rsidDel="00000000" w:rsidP="00000000" w:rsidRDefault="00000000" w:rsidRPr="00000000" w14:paraId="000003EF">
      <w:pPr>
        <w:rPr/>
      </w:pPr>
      <w:r w:rsidDel="00000000" w:rsidR="00000000" w:rsidRPr="00000000">
        <w:rPr/>
        <w:drawing>
          <wp:inline distB="114300" distT="114300" distL="114300" distR="114300">
            <wp:extent cx="9720000" cy="5695200"/>
            <wp:effectExtent b="0" l="0" r="0" t="0"/>
            <wp:docPr id="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9720000" cy="5695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sectPr>
          <w:headerReference r:id="rId31" w:type="default"/>
          <w:headerReference r:id="rId32" w:type="first"/>
          <w:footerReference r:id="rId33" w:type="default"/>
          <w:footerReference r:id="rId34" w:type="first"/>
          <w:type w:val="nextPage"/>
          <w:pgSz w:h="11906" w:w="16838" w:orient="landscape"/>
          <w:pgMar w:bottom="720" w:top="720" w:left="720" w:right="720" w:header="480" w:footer="480"/>
        </w:sect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Figure 4.5 - Coordination mechanism of variant B3: cross-ledger hashed time-locked contracts. </w:t>
      </w:r>
    </w:p>
    <w:p w:rsidR="00000000" w:rsidDel="00000000" w:rsidP="00000000" w:rsidRDefault="00000000" w:rsidRPr="00000000" w14:paraId="000003F1">
      <w:pPr>
        <w:pStyle w:val="Heading2"/>
        <w:numPr>
          <w:ilvl w:val="1"/>
          <w:numId w:val="1"/>
        </w:numPr>
        <w:ind w:left="0" w:firstLine="0"/>
        <w:rPr/>
      </w:pPr>
      <w:bookmarkStart w:colFirst="0" w:colLast="0" w:name="_kzc5ssgx7qw" w:id="40"/>
      <w:bookmarkEnd w:id="40"/>
      <w:r w:rsidDel="00000000" w:rsidR="00000000" w:rsidRPr="00000000">
        <w:rPr>
          <w:rtl w:val="0"/>
        </w:rPr>
        <w:t xml:space="preserve">Realisation matrix and structural comparison</w:t>
      </w:r>
    </w:p>
    <w:p w:rsidR="00000000" w:rsidDel="00000000" w:rsidP="00000000" w:rsidRDefault="00000000" w:rsidRPr="00000000" w14:paraId="000003F2">
      <w:pPr>
        <w:rPr/>
      </w:pPr>
      <w:r w:rsidDel="00000000" w:rsidR="00000000" w:rsidRPr="00000000">
        <w:rPr>
          <w:rFonts w:ascii="Times New Roman" w:cs="Times New Roman" w:eastAsia="Times New Roman" w:hAnsi="Times New Roman"/>
          <w:i w:val="0"/>
          <w:iCs w:val="0"/>
          <w:sz w:val="22"/>
          <w:szCs w:val="22"/>
          <w:rtl w:val="0"/>
        </w:rPr>
        <w:t xml:space="preserve">The comparison now applies the common framework, once. Table 4.9 sets out the observable properties that tell the three mechanisms apart. Table 4.10 then names, for each core requirement, the component or interaction that delivers it. This chapter records the mappings and the qualifications and issues no verdicts. That division is what removes the repetition between specification and evaluation found in the earlier draft.</w:t>
      </w:r>
      <w:r w:rsidDel="00000000" w:rsidR="00000000" w:rsidRPr="00000000">
        <w:rPr>
          <w:rtl w:val="0"/>
        </w:rPr>
      </w:r>
    </w:p>
    <w:tbl>
      <w:tblPr>
        <w:tblStyle w:val="Table19"/>
        <w:tblW w:w="89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2409"/>
        <w:gridCol w:w="2409"/>
        <w:gridCol w:w="2409"/>
        <w:tblGridChange w:id="0">
          <w:tblGrid>
            <w:gridCol w:w="1757"/>
            <w:gridCol w:w="2409"/>
            <w:gridCol w:w="2409"/>
            <w:gridCol w:w="2409"/>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3F3">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Dimension</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F4">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B1 - Trigger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F5">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B2 - Integrated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3F6">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B3 - HTLC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Cash location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RTGS, off-ledger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Native wCBDC on platform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Distinct cash register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DvP guarantor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Accountable coordinator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Platform validation model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3F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Contracts bound by one secret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3F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Intermediate 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Securities locked pending cash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None within settlement transaction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Both legs escrowed during windows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0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Failure semantics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Rollback on confirmed rejection; enquiry on timeout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Failed transaction writes neither leg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Refund on expiry; liveness risk after revelation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0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Messaging on critical path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Yes: ISO 20022 trigger and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 external edges only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 on-register locks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0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Reconciliation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Permanent CSD-record / DLT-mirror duty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None between settlement supports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0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Correlation across two native records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0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Control surfaces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Two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Cash register directly; securities side ex ante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Legal demand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Lowest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Recognition of wCBDC and ledger record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Recognition of conditional finality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1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Evidence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Helvetia I; Eurosystem; Pontes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Helvetia II-III; Jura; PoC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1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TIPS Hash-Link; formal model</w:t>
            </w:r>
            <w:r w:rsidDel="00000000" w:rsidR="00000000" w:rsidRPr="00000000">
              <w:rPr>
                <w:rtl w:val="0"/>
              </w:rPr>
            </w:r>
          </w:p>
        </w:tc>
      </w:tr>
    </w:tbl>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4.9 - Structural comparison of the three variants.</w:t>
      </w:r>
    </w:p>
    <w:tbl>
      <w:tblPr>
        <w:tblStyle w:val="Table20"/>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2775"/>
        <w:gridCol w:w="2775"/>
        <w:gridCol w:w="2415"/>
        <w:tblGridChange w:id="0">
          <w:tblGrid>
            <w:gridCol w:w="1095"/>
            <w:gridCol w:w="2775"/>
            <w:gridCol w:w="2775"/>
            <w:gridCol w:w="2415"/>
          </w:tblGrid>
        </w:tblGridChange>
      </w:tblGrid>
      <w:tr>
        <w:trPr>
          <w:cantSplit w:val="1"/>
          <w:trHeight w:val="431.982421875" w:hRule="atLeast"/>
          <w:tblHeader w:val="1"/>
        </w:trPr>
        <w:tc>
          <w:tcPr>
            <w:shd w:fill="e7e6e6" w:val="clear"/>
            <w:tcMar>
              <w:top w:w="90.0" w:type="dxa"/>
              <w:bottom w:w="90.0" w:type="dxa"/>
            </w:tcMar>
            <w:vAlign w:val="center"/>
          </w:tcPr>
          <w:p w:rsidR="00000000" w:rsidDel="00000000" w:rsidP="00000000" w:rsidRDefault="00000000" w:rsidRPr="00000000" w14:paraId="0000041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Core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1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B1 - Trigger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1E">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B2 - Integrated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1F">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B3 - HTLC</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2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RTGS finality; CSD record updated after confirmed cash status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Finality at platform commit; ledger is authoritative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Finality depends on legal recognition of lock-conditioned transfer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2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Named roles across DLT, coordinator, CSD and RTGS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Organisation-level policies on one permissioned platform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Each operator governs its register; rulebook allocates protocol duties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2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Securities eligibility plus existing RTGS access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Single onboarding with central-bank authority over cash access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Two access lists must remain aligned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2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Cash remains in RTGS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 bank issues native wCBDC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2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 bank governs the cash register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Lock-trigger-confirm with recovery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One transaction transfers both legs or neither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Shared secret and nested time-locks; liveness qualification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CSD record plus reconciled DLT mirror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Ledger is the authoritative record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Native authoritative record on each register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ISO 20022 bridge on the critical path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On-ramp and external messaging at the edges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On-register locks with external interfaces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3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Central-bank and supervisor controls across two surfaces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Reserved pause, mint and burn operations on one surface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3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Direct control of cash register; no mid-protocol securities intervention</w:t>
            </w: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4.10 - Condensed core-requirement realisation matrix.</w:t>
      </w:r>
    </w:p>
    <w:p w:rsidR="00000000" w:rsidDel="00000000" w:rsidP="00000000" w:rsidRDefault="00000000" w:rsidRPr="00000000" w14:paraId="00000441">
      <w:pPr>
        <w:rPr/>
      </w:pPr>
      <w:r w:rsidDel="00000000" w:rsidR="00000000" w:rsidRPr="00000000">
        <w:rPr>
          <w:rFonts w:ascii="Times New Roman" w:cs="Times New Roman" w:eastAsia="Times New Roman" w:hAnsi="Times New Roman"/>
          <w:i w:val="0"/>
          <w:iCs w:val="0"/>
          <w:sz w:val="22"/>
          <w:szCs w:val="22"/>
          <w:rtl w:val="0"/>
        </w:rPr>
        <w:t xml:space="preserve">For B1 and B2, every core row can be answered by a mechanism at the level of the specification, with no qualification attached. The same cannot be said of B3, which carries three qualifications worth stating. Its answer to R01 stands only if the law recognises an asset that has been transferred conditionally. Its answer to R05 stands only if the liveness assumption is discharged. And its answer to R14 gives the central bank direct control over the cash register while leaving it no way into the securities register once the protocol is under way. The non-core rows add consistent differences in liquidity, in the handling of failures, in supervisory geometry, in operational burden, in migration and in how deeply compliance is written into the code. All of this feeds the hypothesis evaluation in Chapter 5 and does not form a second set of verdicts here.</w:t>
      </w:r>
      <w:r w:rsidDel="00000000" w:rsidR="00000000" w:rsidRPr="00000000">
        <w:rPr>
          <w:rtl w:val="0"/>
        </w:rPr>
      </w:r>
    </w:p>
    <w:p w:rsidR="00000000" w:rsidDel="00000000" w:rsidP="00000000" w:rsidRDefault="00000000" w:rsidRPr="00000000" w14:paraId="00000442">
      <w:pPr>
        <w:pStyle w:val="Heading2"/>
        <w:numPr>
          <w:ilvl w:val="1"/>
          <w:numId w:val="1"/>
        </w:numPr>
        <w:ind w:left="0" w:firstLine="0"/>
        <w:rPr/>
      </w:pPr>
      <w:bookmarkStart w:colFirst="0" w:colLast="0" w:name="_w69rwdfzkz6w" w:id="41"/>
      <w:bookmarkEnd w:id="41"/>
      <w:r w:rsidDel="00000000" w:rsidR="00000000" w:rsidRPr="00000000">
        <w:rPr>
          <w:rtl w:val="0"/>
        </w:rPr>
        <w:t xml:space="preserve">Chapter summary</w:t>
      </w:r>
    </w:p>
    <w:p w:rsidR="00000000" w:rsidDel="00000000" w:rsidP="00000000" w:rsidRDefault="00000000" w:rsidRPr="00000000" w14:paraId="00000443">
      <w:pPr>
        <w:rPr/>
      </w:pPr>
      <w:r w:rsidDel="00000000" w:rsidR="00000000" w:rsidRPr="00000000">
        <w:rPr>
          <w:rFonts w:ascii="Times New Roman" w:cs="Times New Roman" w:eastAsia="Times New Roman" w:hAnsi="Times New Roman"/>
          <w:i w:val="0"/>
          <w:iCs w:val="0"/>
          <w:sz w:val="22"/>
          <w:szCs w:val="22"/>
          <w:rtl w:val="0"/>
        </w:rPr>
        <w:t xml:space="preserve">The treatment-design stage has produced a single traceable artefact, viewed at increasingly concrete levels: sixteen requirements, six functional layers, five design parameters and three candidate specifications. The framework is the author's own and was built from normative, academic and institutional sources. B1 rebuilds DvP through a coordinator working across an RTGS boundary. B2 commits both legs on one platform. B3 binds two registers together with cryptographic locks. Their mappings and their qualifications are now fixed. Chapter 5 brings the proof-of-concept results and the pilot evidence together and tests the hypotheses once.</w:t>
      </w:r>
      <w:r w:rsidDel="00000000" w:rsidR="00000000" w:rsidRPr="00000000">
        <w:rPr>
          <w:rtl w:val="0"/>
        </w:rPr>
      </w:r>
    </w:p>
    <w:p w:rsidR="00000000" w:rsidDel="00000000" w:rsidP="00000000" w:rsidRDefault="00000000" w:rsidRPr="00000000" w14:paraId="00000444">
      <w:pPr>
        <w:pStyle w:val="Heading1"/>
        <w:numPr>
          <w:ilvl w:val="0"/>
          <w:numId w:val="1"/>
        </w:numPr>
        <w:spacing w:after="280" w:before="0" w:line="269" w:lineRule="auto"/>
        <w:ind w:left="0" w:right="0" w:firstLine="0"/>
        <w:jc w:val="left"/>
        <w:rPr/>
      </w:pPr>
      <w:bookmarkStart w:colFirst="0" w:colLast="0" w:name="_jp86mb4oeoe8" w:id="42"/>
      <w:bookmarkEnd w:id="42"/>
      <w:r w:rsidDel="00000000" w:rsidR="00000000" w:rsidRPr="00000000">
        <w:rPr>
          <w:rtl w:val="0"/>
        </w:rPr>
        <w:t xml:space="preserve">Proof of Concept and Evaluation</w:t>
      </w:r>
    </w:p>
    <w:p w:rsidR="00000000" w:rsidDel="00000000" w:rsidP="00000000" w:rsidRDefault="00000000" w:rsidRPr="00000000" w14:paraId="00000445">
      <w:pPr>
        <w:rPr/>
      </w:pPr>
      <w:r w:rsidDel="00000000" w:rsidR="00000000" w:rsidRPr="00000000">
        <w:rPr>
          <w:rFonts w:ascii="Times New Roman" w:cs="Times New Roman" w:eastAsia="Times New Roman" w:hAnsi="Times New Roman"/>
          <w:i w:val="0"/>
          <w:iCs w:val="0"/>
          <w:sz w:val="22"/>
          <w:szCs w:val="22"/>
          <w:rtl w:val="0"/>
        </w:rPr>
        <w:t xml:space="preserve">This chapter gathers the construction evidence and the hypothesis test in one place. Sections 5.1 to 5.4 document the proof of concept built for B2 and the results of running it. Section 5.5 then tests H1, H2, H3 and H0 in a single pass, drawing on the mappings of Chapter 4, on the implementation evidence and on the pilot record. Section 5.6 reports the sensitivity analysis and the limits, including what the material supplied with the manuscript can and cannot support.</w:t>
      </w:r>
      <w:r w:rsidDel="00000000" w:rsidR="00000000" w:rsidRPr="00000000">
        <w:rPr>
          <w:rtl w:val="0"/>
        </w:rPr>
      </w:r>
    </w:p>
    <w:p w:rsidR="00000000" w:rsidDel="00000000" w:rsidP="00000000" w:rsidRDefault="00000000" w:rsidRPr="00000000" w14:paraId="00000446">
      <w:pPr>
        <w:pStyle w:val="Heading2"/>
        <w:numPr>
          <w:ilvl w:val="1"/>
          <w:numId w:val="1"/>
        </w:numPr>
        <w:ind w:left="0" w:firstLine="0"/>
        <w:rPr/>
      </w:pPr>
      <w:bookmarkStart w:colFirst="0" w:colLast="0" w:name="_4esogr1kpl2c" w:id="43"/>
      <w:bookmarkEnd w:id="43"/>
      <w:r w:rsidDel="00000000" w:rsidR="00000000" w:rsidRPr="00000000">
        <w:rPr>
          <w:rtl w:val="0"/>
        </w:rPr>
        <w:t xml:space="preserve">Objective, scope and platform choice</w:t>
      </w:r>
    </w:p>
    <w:p w:rsidR="00000000" w:rsidDel="00000000" w:rsidP="00000000" w:rsidRDefault="00000000" w:rsidRPr="00000000" w14:paraId="00000447">
      <w:pPr>
        <w:rPr/>
      </w:pPr>
      <w:r w:rsidDel="00000000" w:rsidR="00000000" w:rsidRPr="00000000">
        <w:rPr>
          <w:rFonts w:ascii="Times New Roman" w:cs="Times New Roman" w:eastAsia="Times New Roman" w:hAnsi="Times New Roman"/>
          <w:i w:val="0"/>
          <w:iCs w:val="0"/>
          <w:sz w:val="22"/>
          <w:szCs w:val="22"/>
          <w:rtl w:val="0"/>
        </w:rPr>
        <w:t xml:space="preserve">The proof of concept tests whether the integrated B2 mechanism is logically realisable. Acceptance is judged against the DvP invariant. In every terminal state that can be reached, the bond tokens have moved exactly when the wCBDC tokens have moved, and not otherwise. Atomic commit comes with the platform, so the construction also exercises the controls that might otherwise let a single leg through on its own, namely the eligibility and compliance checks, the operations reserved to the central bank, the proposal guards and the bounded release of escrow. Nothing is claimed regarding production throughput, cyber-resilience at production grade, live integration with an RTGS, legal finality or operational readiness. For those dimensions the evidence is institutional and comes from Helvetia II and III and from Jura rather than from the prototype [13] to [15].</w:t>
      </w:r>
      <w:r w:rsidDel="00000000" w:rsidR="00000000" w:rsidRPr="00000000">
        <w:rPr>
          <w:rtl w:val="0"/>
        </w:rPr>
      </w:r>
    </w:p>
    <w:p w:rsidR="00000000" w:rsidDel="00000000" w:rsidP="00000000" w:rsidRDefault="00000000" w:rsidRPr="00000000" w14:paraId="00000448">
      <w:pPr>
        <w:rPr/>
      </w:pPr>
      <w:r w:rsidDel="00000000" w:rsidR="00000000" w:rsidRPr="00000000">
        <w:rPr>
          <w:rFonts w:ascii="Times New Roman" w:cs="Times New Roman" w:eastAsia="Times New Roman" w:hAnsi="Times New Roman"/>
          <w:i w:val="0"/>
          <w:iCs w:val="0"/>
          <w:sz w:val="22"/>
          <w:szCs w:val="22"/>
          <w:rtl w:val="0"/>
        </w:rPr>
        <w:t xml:space="preserve">Hyperledger Fabric was chosen because a call from one chaincode to another produces a single shared read/write set. The securities transfer and the cash transfer therefore validate and commit together, or neither commits at all. Endorsement policies scoped to an organisation can reserve minting, burning and pausing to the central-bank organisation, and channels and events give supervisors one place from which to watch. These properties match the B2 specification, and they play the role that the non-validating notary plays in the Corda-based arrangement Helvetia II documents, where that node is operated by the platform operator [13]; the resemblance is functional rather than technical. The interface contracts remain semantic, so another permissioned platform could implement them provided it offered equivalent guarantees of validation and authority.</w:t>
      </w:r>
      <w:r w:rsidDel="00000000" w:rsidR="00000000" w:rsidRPr="00000000">
        <w:rPr>
          <w:rtl w:val="0"/>
        </w:rPr>
      </w:r>
    </w:p>
    <w:p w:rsidR="00000000" w:rsidDel="00000000" w:rsidP="00000000" w:rsidRDefault="00000000" w:rsidRPr="00000000" w14:paraId="00000449">
      <w:pPr>
        <w:pStyle w:val="Heading2"/>
        <w:numPr>
          <w:ilvl w:val="1"/>
          <w:numId w:val="1"/>
        </w:numPr>
        <w:ind w:left="0" w:firstLine="0"/>
        <w:rPr/>
      </w:pPr>
      <w:bookmarkStart w:colFirst="0" w:colLast="0" w:name="_8dumf99tjmh8" w:id="44"/>
      <w:bookmarkEnd w:id="44"/>
      <w:r w:rsidDel="00000000" w:rsidR="00000000" w:rsidRPr="00000000">
        <w:rPr>
          <w:rtl w:val="0"/>
        </w:rPr>
        <w:t xml:space="preserve">Implementation architecture and state machine</w:t>
      </w:r>
    </w:p>
    <w:p w:rsidR="00000000" w:rsidDel="00000000" w:rsidP="00000000" w:rsidRDefault="00000000" w:rsidRPr="00000000" w14:paraId="0000044A">
      <w:pPr>
        <w:rPr/>
      </w:pPr>
      <w:r w:rsidDel="00000000" w:rsidR="00000000" w:rsidRPr="00000000">
        <w:rPr>
          <w:rFonts w:ascii="Times New Roman" w:cs="Times New Roman" w:eastAsia="Times New Roman" w:hAnsi="Times New Roman"/>
          <w:i w:val="0"/>
          <w:iCs w:val="0"/>
          <w:sz w:val="22"/>
          <w:szCs w:val="22"/>
          <w:rtl w:val="0"/>
        </w:rPr>
        <w:t xml:space="preserve">The implementation consists of three chaincodes on one Fabric channel. BondChaincode registers issuance, mints under the authority of the CSD and transfers the securities leg. wCBDCChaincode moves the cash leg, and only CentralBankOrg may mint or burn through it. DvPChaincode is the coordinator. It receives a trade proposal, checks eligibility and compliance, records the confirmation of the counterparty and then invokes the two token transfers within one platform transaction. The participants' order-management systems are represented by a gateway, and the RTGS side of issuance and redemption is simulated by convention. SupervisorOrg can query the state and subscribe to events, but it endorses nothing.</w:t>
      </w:r>
      <w:r w:rsidDel="00000000" w:rsidR="00000000" w:rsidRPr="00000000">
        <w:rPr>
          <w:rtl w:val="0"/>
        </w:rPr>
      </w:r>
    </w:p>
    <w:p w:rsidR="00000000" w:rsidDel="00000000" w:rsidP="00000000" w:rsidRDefault="00000000" w:rsidRPr="00000000" w14:paraId="0000044B">
      <w:pPr>
        <w:rPr/>
      </w:pPr>
      <w:r w:rsidDel="00000000" w:rsidR="00000000" w:rsidRPr="00000000">
        <w:rPr>
          <w:rFonts w:ascii="Times New Roman" w:cs="Times New Roman" w:eastAsia="Times New Roman" w:hAnsi="Times New Roman"/>
          <w:i w:val="0"/>
          <w:iCs w:val="0"/>
          <w:sz w:val="22"/>
          <w:szCs w:val="22"/>
          <w:rtl w:val="0"/>
        </w:rPr>
        <w:t xml:space="preserve">Both token contracts validate the signed proposal and accept settlement calls from DvPChaincode only, so a participant has no way of invoking one leg on its own. The central-bank pause is checked at every transition and creates no new ledger state. The state machine in Table 5.1 is kept deliberately small, so that the invariant can be asserted at every terminal state.</w:t>
      </w:r>
      <w:r w:rsidDel="00000000" w:rsidR="00000000" w:rsidRPr="00000000">
        <w:rPr>
          <w:rtl w:val="0"/>
        </w:rPr>
      </w:r>
    </w:p>
    <w:tbl>
      <w:tblPr>
        <w:tblStyle w:val="Table21"/>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3288"/>
        <w:gridCol w:w="2607"/>
        <w:gridCol w:w="1360"/>
        <w:tblGridChange w:id="0">
          <w:tblGrid>
            <w:gridCol w:w="1814"/>
            <w:gridCol w:w="3288"/>
            <w:gridCol w:w="2607"/>
            <w:gridCol w:w="1360"/>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44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Current state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4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Trigger and guard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4E">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Next state(s)</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4F">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Terminal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5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Instruction received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proposeTrade: pause, eligibility and compliance checks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PROPOSED; REJECTED_INELIGIBLE; REJECTED_COMPLIANCE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 / Yes for rejections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5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PROPOSED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confirmTrade: counterparty co-signature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5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PENDING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executeSettlement: funded atomic swap; otherwise earmark securities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SETTLED; ESCROW_WAITING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SETTLED only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5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ESCROW_WAITING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Retry after funding; or release after business/safety timeout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SETTLED; RELEASED_BUSINESS; RELEASED_SAFETY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5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Any terminal 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No further value-moving transition; replay refused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Unchanged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Yes</w:t>
            </w:r>
            <w:r w:rsidDel="00000000" w:rsidR="00000000" w:rsidRPr="00000000">
              <w:rPr>
                <w:rtl w:val="0"/>
              </w:rPr>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5.1 - Settlement-contract states and transitions.</w:t>
      </w:r>
    </w:p>
    <w:p w:rsidR="00000000" w:rsidDel="00000000" w:rsidP="00000000" w:rsidRDefault="00000000" w:rsidRPr="00000000" w14:paraId="00000465">
      <w:pPr>
        <w:rPr/>
      </w:pPr>
      <w:r w:rsidDel="00000000" w:rsidR="00000000" w:rsidRPr="00000000">
        <w:rPr>
          <w:rFonts w:ascii="Times New Roman" w:cs="Times New Roman" w:eastAsia="Times New Roman" w:hAnsi="Times New Roman"/>
          <w:i w:val="0"/>
          <w:iCs w:val="0"/>
          <w:sz w:val="22"/>
          <w:szCs w:val="22"/>
          <w:rtl w:val="0"/>
        </w:rPr>
        <w:t xml:space="preserve">ESCROW_WAITING is the only state in which value is reserved. When the normal funding window has elapsed, the business timeout permits a release that has been authorised. The safety timeout, which is longer, permits an unconditional release, so that a reservation left unattended cannot persist indefinitely. The swap is modelled as a transition rather than as a state. Both asset transfers sit inside the same Fabric transaction, and for that reason no committed intermediate state can contain a single settled leg.</w:t>
      </w:r>
      <w:r w:rsidDel="00000000" w:rsidR="00000000" w:rsidRPr="00000000">
        <w:rPr>
          <w:rtl w:val="0"/>
        </w:rPr>
      </w:r>
    </w:p>
    <w:p w:rsidR="00000000" w:rsidDel="00000000" w:rsidP="00000000" w:rsidRDefault="00000000" w:rsidRPr="00000000" w14:paraId="00000466">
      <w:pPr>
        <w:pStyle w:val="Heading2"/>
        <w:numPr>
          <w:ilvl w:val="1"/>
          <w:numId w:val="1"/>
        </w:numPr>
        <w:ind w:left="0" w:firstLine="0"/>
        <w:rPr/>
      </w:pPr>
      <w:bookmarkStart w:colFirst="0" w:colLast="0" w:name="_46v5bx2qegjv" w:id="45"/>
      <w:bookmarkEnd w:id="45"/>
      <w:r w:rsidDel="00000000" w:rsidR="00000000" w:rsidRPr="00000000">
        <w:rPr>
          <w:rtl w:val="0"/>
        </w:rPr>
        <w:t xml:space="preserve">Demonstrated scenarios and test protocol</w:t>
      </w:r>
    </w:p>
    <w:p w:rsidR="00000000" w:rsidDel="00000000" w:rsidP="00000000" w:rsidRDefault="00000000" w:rsidRPr="00000000" w14:paraId="00000467">
      <w:pPr>
        <w:rPr/>
      </w:pPr>
      <w:r w:rsidDel="00000000" w:rsidR="00000000" w:rsidRPr="00000000">
        <w:rPr>
          <w:rFonts w:ascii="Times New Roman" w:cs="Times New Roman" w:eastAsia="Times New Roman" w:hAnsi="Times New Roman"/>
          <w:i w:val="0"/>
          <w:iCs w:val="0"/>
          <w:sz w:val="22"/>
          <w:szCs w:val="22"/>
          <w:rtl w:val="0"/>
        </w:rPr>
        <w:t xml:space="preserve">The five principal scenarios were specified before anything was executed. Each has one expected terminal state and serves one explicitly named requirement. Before each scenario the test harness records the securities and cash balances of both counterparties. Once the terminal state is reached, it checks that both legs changed by the instructed amounts in SETTLED, and that neither leg changed in any rejection or release state.</w:t>
      </w:r>
      <w:r w:rsidDel="00000000" w:rsidR="00000000" w:rsidRPr="00000000">
        <w:rPr>
          <w:rtl w:val="0"/>
        </w:rPr>
      </w:r>
    </w:p>
    <w:tbl>
      <w:tblPr>
        <w:tblStyle w:val="Table22"/>
        <w:tblW w:w="878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3628"/>
        <w:gridCol w:w="2097"/>
        <w:gridCol w:w="1247"/>
        <w:tblGridChange w:id="0">
          <w:tblGrid>
            <w:gridCol w:w="1814"/>
            <w:gridCol w:w="3628"/>
            <w:gridCol w:w="2097"/>
            <w:gridCol w:w="1247"/>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468">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Scenario</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69">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Setup</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6A">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Expected state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6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Requirements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6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S1 - Happy path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Funded co-signed instruction; both parties eligible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SETTLED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6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R04, R05, R06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7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S2 - Business timeout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Buyer remains underfunded during business window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RELEASED_BUSINESS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R09, R10</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7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S3 - Safety timeout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Escrow persists beyond the safety window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RELEASED_SAFETY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R10</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7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S4 - Compliance rejection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Instruction breaches encoded transfer restriction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REJECTED_COMPLIANCE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R16</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7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S5 - Eligibility failure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One counterparty is not admitted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REJECTED_INELIGIBLE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7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R03</w:t>
            </w:r>
            <w:r w:rsidDel="00000000" w:rsidR="00000000" w:rsidRPr="00000000">
              <w:rPr>
                <w:rtl w:val="0"/>
              </w:rPr>
            </w:r>
          </w:p>
        </w:tc>
      </w:tr>
    </w:tbl>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5.2 - Demonstrated scenarios and expected outcomes.</w:t>
      </w:r>
    </w:p>
    <w:p w:rsidR="00000000" w:rsidDel="00000000" w:rsidP="00000000" w:rsidRDefault="00000000" w:rsidRPr="00000000" w14:paraId="00000481">
      <w:pPr>
        <w:rPr/>
      </w:pPr>
      <w:r w:rsidDel="00000000" w:rsidR="00000000" w:rsidRPr="00000000">
        <w:rPr>
          <w:rFonts w:ascii="Times New Roman" w:cs="Times New Roman" w:eastAsia="Times New Roman" w:hAnsi="Times New Roman"/>
          <w:i w:val="0"/>
          <w:iCs w:val="0"/>
          <w:sz w:val="22"/>
          <w:szCs w:val="22"/>
          <w:rtl w:val="0"/>
        </w:rPr>
        <w:t xml:space="preserve">Beyond the scenarios in the table, the protocol includes five probes. T2bis takes a trade that is sitting in escrow, funds it through the central-bank on-ramp and retries the settlement. T6 switches the pause on and then checks that a participant is unable to do the same. T7 attempts to mint wCBDC without the authority to do so. T8 attempts to call one token leg directly, without passing through the coordinator. T9 submits a trade that has already settled a second time. Each probe pushes at a boundary, either of authority or of the invariant, and it is at those boundaries that the design is really tested, much more than on the happy path.</w:t>
      </w:r>
      <w:r w:rsidDel="00000000" w:rsidR="00000000" w:rsidRPr="00000000">
        <w:rPr>
          <w:rtl w:val="0"/>
        </w:rPr>
      </w:r>
    </w:p>
    <w:p w:rsidR="00000000" w:rsidDel="00000000" w:rsidP="00000000" w:rsidRDefault="00000000" w:rsidRPr="00000000" w14:paraId="00000482">
      <w:pPr>
        <w:pStyle w:val="Heading2"/>
        <w:numPr>
          <w:ilvl w:val="1"/>
          <w:numId w:val="1"/>
        </w:numPr>
        <w:ind w:left="0" w:firstLine="0"/>
        <w:rPr/>
      </w:pPr>
      <w:bookmarkStart w:colFirst="0" w:colLast="0" w:name="_faaa9qh1kg1e" w:id="46"/>
      <w:bookmarkEnd w:id="46"/>
      <w:r w:rsidDel="00000000" w:rsidR="00000000" w:rsidRPr="00000000">
        <w:rPr>
          <w:rtl w:val="0"/>
        </w:rPr>
        <w:t xml:space="preserve">Execution evidence and results</w:t>
      </w:r>
    </w:p>
    <w:p w:rsidR="00000000" w:rsidDel="00000000" w:rsidP="00000000" w:rsidRDefault="00000000" w:rsidRPr="00000000" w14:paraId="00000483">
      <w:pPr>
        <w:rPr/>
      </w:pPr>
      <w:r w:rsidDel="00000000" w:rsidR="00000000" w:rsidRPr="00000000">
        <w:rPr>
          <w:rFonts w:ascii="Times New Roman" w:cs="Times New Roman" w:eastAsia="Times New Roman" w:hAnsi="Times New Roman"/>
          <w:i w:val="0"/>
          <w:iCs w:val="0"/>
          <w:sz w:val="22"/>
          <w:szCs w:val="22"/>
          <w:rtl w:val="0"/>
        </w:rPr>
        <w:t xml:space="preserve">The run took place on 3 September 2026 through the Fabric Gateway, against a Hyperledger Fabric 2.5 network (peer v2.5.16) made up of five peer organisations, one ordering service and three chaincodes committed on one channel, with nine chaincode servers, one for each endorsing organisation. The suite of ten tests completed with no failures and no errors, in 75.6 seconds of test execution within a harness run of 107.6 seconds. Both figures include deliberate waits for the business and safety timeout windows, and neither is used as a measure of performance. Table 5.3 gives the results of the five scenarios, and Section 5.4.1 reproduces the artefacts that document them.</w:t>
      </w:r>
      <w:r w:rsidDel="00000000" w:rsidR="00000000" w:rsidRPr="00000000">
        <w:rPr>
          <w:rtl w:val="0"/>
        </w:rPr>
      </w:r>
    </w:p>
    <w:tbl>
      <w:tblPr>
        <w:tblStyle w:val="Table23"/>
        <w:tblW w:w="878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2607"/>
        <w:gridCol w:w="2948"/>
        <w:gridCol w:w="1417"/>
        <w:tblGridChange w:id="0">
          <w:tblGrid>
            <w:gridCol w:w="1814"/>
            <w:gridCol w:w="2607"/>
            <w:gridCol w:w="2948"/>
            <w:gridCol w:w="1417"/>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484">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Scenario</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85">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Terminal state reached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86">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Invariant check</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87">
            <w:pPr>
              <w:spacing w:after="0" w:lineRule="auto"/>
              <w:jc w:val="left"/>
              <w:rPr/>
            </w:pPr>
            <w:r w:rsidDel="00000000" w:rsidR="00000000" w:rsidRPr="00000000">
              <w:rPr>
                <w:b w:val="1"/>
                <w:bCs w:val="1"/>
                <w:rtl w:val="0"/>
              </w:rPr>
              <w:t xml:space="preserve">Verdict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8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S1 - Happy path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SETTLED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Both legs moved by the instructed amounts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8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S2 - Business timeout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RELEASED_BUSINESS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Neither leg moved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8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9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S3 - Safety timeout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RELEASED_SAFETY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Neither leg moved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9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S4 - Compliance rejection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REJECTED_COMPLIANCE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Neither leg moved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9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S5 - Eligibility failure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REJECTED_INELIGIBLE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Neither leg moved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9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Pass</w:t>
            </w:r>
            <w:r w:rsidDel="00000000" w:rsidR="00000000" w:rsidRPr="00000000">
              <w:rPr>
                <w:rtl w:val="0"/>
              </w:rPr>
            </w:r>
          </w:p>
        </w:tc>
      </w:tr>
    </w:tbl>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5.3 - Execution results for the five principal scenarios.</w:t>
      </w:r>
    </w:p>
    <w:tbl>
      <w:tblPr>
        <w:tblStyle w:val="Table24"/>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3004"/>
        <w:gridCol w:w="4535"/>
        <w:tblGridChange w:id="0">
          <w:tblGrid>
            <w:gridCol w:w="1247"/>
            <w:gridCol w:w="3004"/>
            <w:gridCol w:w="4535"/>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49D">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Probe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9E">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Property tested</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9F">
            <w:pPr>
              <w:spacing w:after="0" w:lineRule="auto"/>
              <w:jc w:val="left"/>
              <w:rPr/>
            </w:pPr>
            <w:r w:rsidDel="00000000" w:rsidR="00000000" w:rsidRPr="00000000">
              <w:rPr>
                <w:b w:val="1"/>
                <w:bCs w:val="1"/>
                <w:rtl w:val="0"/>
              </w:rPr>
              <w:t xml:space="preserve">Observation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A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T2bis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Funded continuation from escrow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After authorised mint, retry commits both legs and reaches SETTLED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A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Reserved pause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Central-bank pause blocks settlement; participant activation is refused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A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Reserved mint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Participant mint is rejected and total supply remains unchanged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A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One-legged execution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Direct securities-leg invocation is rejected; balances remain unchanged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4A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Replay protection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A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Replay is refused; the previous settlement remains unchanged</w:t>
            </w:r>
            <w:r w:rsidDel="00000000" w:rsidR="00000000" w:rsidRPr="00000000">
              <w:rPr>
                <w:rtl w:val="0"/>
              </w:rPr>
            </w:r>
          </w:p>
        </w:tc>
      </w:tr>
    </w:tbl>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5.4 - Additional control and invariant probes.</w:t>
      </w:r>
    </w:p>
    <w:p w:rsidR="00000000" w:rsidDel="00000000" w:rsidP="00000000" w:rsidRDefault="00000000" w:rsidRPr="00000000" w14:paraId="000004B0">
      <w:pPr>
        <w:pStyle w:val="Heading3"/>
        <w:numPr>
          <w:ilvl w:val="2"/>
          <w:numId w:val="1"/>
        </w:numPr>
        <w:ind w:left="360" w:hanging="360"/>
        <w:rPr/>
      </w:pPr>
      <w:bookmarkStart w:colFirst="0" w:colLast="0" w:name="_b2cbvf2ohy96" w:id="47"/>
      <w:bookmarkEnd w:id="47"/>
      <w:r w:rsidDel="00000000" w:rsidR="00000000" w:rsidRPr="00000000">
        <w:rPr>
          <w:rtl w:val="0"/>
        </w:rPr>
        <w:t xml:space="preserve">Direct evidence of execution</w:t>
      </w:r>
    </w:p>
    <w:p w:rsidR="00000000" w:rsidDel="00000000" w:rsidP="00000000" w:rsidRDefault="00000000" w:rsidRPr="00000000" w14:paraId="000004B1">
      <w:pPr>
        <w:rPr/>
      </w:pPr>
      <w:r w:rsidDel="00000000" w:rsidR="00000000" w:rsidRPr="00000000">
        <w:rPr>
          <w:rFonts w:ascii="Times New Roman" w:cs="Times New Roman" w:eastAsia="Times New Roman" w:hAnsi="Times New Roman"/>
          <w:i w:val="0"/>
          <w:iCs w:val="0"/>
          <w:sz w:val="22"/>
          <w:szCs w:val="22"/>
          <w:rtl w:val="0"/>
        </w:rPr>
        <w:t xml:space="preserve">The results reported above are documented by five artefacts reproduced or published with this section: the state of the running network, the ledger balances before and after the happy path, an excerpt of the test-suite log, an excerpt of the settlement chaincode, and the balances recorded on either side of the two adversarial probes. Each artefact is reported so that a reader can check the claim it supports rather than accept the narrative. The complete package, with setup instructions, versioned dependencies and the commands used to reproduce the run, is published in the companion repository listed in Annex A. The artefacts are reproduced from evidence/00_environment.txt and evidence/01_docker_ps.txt and evidence/02_querycommitted.txt for Figure 5.1, evidence/03_balances_S1 for Table 5.5, evidence/05_junit/TEST-poc.tests.DvPScenariosTest.xml for Figure 5.2, and evidence/03_balances_T8 and evidence/03_balances_T9 for the two probes. The scenario labels in Figure 5.2 are those declared by the test methods; T8's label has since been shortened in the source to drop a manuscript section reference it no longer matched.</w:t>
      </w:r>
      <w:r w:rsidDel="00000000" w:rsidR="00000000" w:rsidRPr="00000000">
        <w:rPr>
          <w:rtl w:val="0"/>
        </w:rPr>
      </w:r>
    </w:p>
    <w:p w:rsidR="00000000" w:rsidDel="00000000" w:rsidP="00000000" w:rsidRDefault="00000000" w:rsidRPr="00000000" w14:paraId="000004B2">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 docker ps --format "table {{.Names}}\t{{.Image}}\t{{.Status}}"</w:t>
      </w:r>
      <w:r w:rsidDel="00000000" w:rsidR="00000000" w:rsidRPr="00000000">
        <w:rPr>
          <w:rtl w:val="0"/>
        </w:rPr>
      </w:r>
    </w:p>
    <w:p w:rsidR="00000000" w:rsidDel="00000000" w:rsidP="00000000" w:rsidRDefault="00000000" w:rsidRPr="00000000" w14:paraId="000004B3">
      <w:pPr>
        <w:keepNext w:val="1"/>
        <w:spacing w:after="0" w:before="0" w:line="240" w:lineRule="auto"/>
        <w:jc w:val="left"/>
        <w:rPr/>
      </w:pPr>
      <w:r w:rsidDel="00000000" w:rsidR="00000000" w:rsidRPr="00000000">
        <w:rPr>
          <w:rtl w:val="0"/>
        </w:rPr>
      </w:r>
    </w:p>
    <w:p w:rsidR="00000000" w:rsidDel="00000000" w:rsidP="00000000" w:rsidRDefault="00000000" w:rsidRPr="00000000" w14:paraId="000004B4">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NAMES                       IMAGE                            STATUS</w:t>
      </w:r>
      <w:r w:rsidDel="00000000" w:rsidR="00000000" w:rsidRPr="00000000">
        <w:rPr>
          <w:rtl w:val="0"/>
        </w:rPr>
      </w:r>
    </w:p>
    <w:p w:rsidR="00000000" w:rsidDel="00000000" w:rsidP="00000000" w:rsidRDefault="00000000" w:rsidRPr="00000000" w14:paraId="000004B5">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dvp-bankb-ccaas             hyperledger/fabric-javaenv:2.5   Up 7 minutes</w:t>
      </w:r>
      <w:r w:rsidDel="00000000" w:rsidR="00000000" w:rsidRPr="00000000">
        <w:rPr>
          <w:rtl w:val="0"/>
        </w:rPr>
      </w:r>
    </w:p>
    <w:p w:rsidR="00000000" w:rsidDel="00000000" w:rsidP="00000000" w:rsidRDefault="00000000" w:rsidRPr="00000000" w14:paraId="000004B6">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dvp-banka-ccaas             hyperledger/fabric-javaenv:2.5   Up 7 minutes</w:t>
      </w:r>
      <w:r w:rsidDel="00000000" w:rsidR="00000000" w:rsidRPr="00000000">
        <w:rPr>
          <w:rtl w:val="0"/>
        </w:rPr>
      </w:r>
    </w:p>
    <w:p w:rsidR="00000000" w:rsidDel="00000000" w:rsidP="00000000" w:rsidRDefault="00000000" w:rsidRPr="00000000" w14:paraId="000004B7">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dvp-centralbank-ccaas       hyperledger/fabric-javaenv:2.5   Up 7 minutes</w:t>
      </w:r>
      <w:r w:rsidDel="00000000" w:rsidR="00000000" w:rsidRPr="00000000">
        <w:rPr>
          <w:rtl w:val="0"/>
        </w:rPr>
      </w:r>
    </w:p>
    <w:p w:rsidR="00000000" w:rsidDel="00000000" w:rsidP="00000000" w:rsidRDefault="00000000" w:rsidRPr="00000000" w14:paraId="000004B8">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wcbdc-bankb-ccaas           hyperledger/fabric-javaenv:2.5   Up 8 minutes</w:t>
      </w:r>
      <w:r w:rsidDel="00000000" w:rsidR="00000000" w:rsidRPr="00000000">
        <w:rPr>
          <w:rtl w:val="0"/>
        </w:rPr>
      </w:r>
    </w:p>
    <w:p w:rsidR="00000000" w:rsidDel="00000000" w:rsidP="00000000" w:rsidRDefault="00000000" w:rsidRPr="00000000" w14:paraId="000004B9">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wcbdc-banka-ccaas           hyperledger/fabric-javaenv:2.5   Up 8 minutes</w:t>
      </w:r>
      <w:r w:rsidDel="00000000" w:rsidR="00000000" w:rsidRPr="00000000">
        <w:rPr>
          <w:rtl w:val="0"/>
        </w:rPr>
      </w:r>
    </w:p>
    <w:p w:rsidR="00000000" w:rsidDel="00000000" w:rsidP="00000000" w:rsidRDefault="00000000" w:rsidRPr="00000000" w14:paraId="000004BA">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wcbdc-centralbank-ccaas     hyperledger/fabric-javaenv:2.5   Up 8 minutes</w:t>
      </w:r>
      <w:r w:rsidDel="00000000" w:rsidR="00000000" w:rsidRPr="00000000">
        <w:rPr>
          <w:rtl w:val="0"/>
        </w:rPr>
      </w:r>
    </w:p>
    <w:p w:rsidR="00000000" w:rsidDel="00000000" w:rsidP="00000000" w:rsidRDefault="00000000" w:rsidRPr="00000000" w14:paraId="000004BB">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bond-bankb-ccaas            hyperledger/fabric-javaenv:2.5   Up 8 minutes</w:t>
      </w:r>
      <w:r w:rsidDel="00000000" w:rsidR="00000000" w:rsidRPr="00000000">
        <w:rPr>
          <w:rtl w:val="0"/>
        </w:rPr>
      </w:r>
    </w:p>
    <w:p w:rsidR="00000000" w:rsidDel="00000000" w:rsidP="00000000" w:rsidRDefault="00000000" w:rsidRPr="00000000" w14:paraId="000004BC">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bond-banka-ccaas            hyperledger/fabric-javaenv:2.5   Up 8 minutes</w:t>
      </w:r>
      <w:r w:rsidDel="00000000" w:rsidR="00000000" w:rsidRPr="00000000">
        <w:rPr>
          <w:rtl w:val="0"/>
        </w:rPr>
      </w:r>
    </w:p>
    <w:p w:rsidR="00000000" w:rsidDel="00000000" w:rsidP="00000000" w:rsidRDefault="00000000" w:rsidRPr="00000000" w14:paraId="000004BD">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bond-csd-ccaas              hyperledger/fabric-javaenv:2.5   Up 8 minutes</w:t>
      </w:r>
      <w:r w:rsidDel="00000000" w:rsidR="00000000" w:rsidRPr="00000000">
        <w:rPr>
          <w:rtl w:val="0"/>
        </w:rPr>
      </w:r>
    </w:p>
    <w:p w:rsidR="00000000" w:rsidDel="00000000" w:rsidP="00000000" w:rsidRDefault="00000000" w:rsidRPr="00000000" w14:paraId="000004BE">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orderer.infra.dvp.poc       hyperledger/fabric-orderer:2.5   Up 33 minutes</w:t>
      </w:r>
      <w:r w:rsidDel="00000000" w:rsidR="00000000" w:rsidRPr="00000000">
        <w:rPr>
          <w:rtl w:val="0"/>
        </w:rPr>
      </w:r>
    </w:p>
    <w:p w:rsidR="00000000" w:rsidDel="00000000" w:rsidP="00000000" w:rsidRDefault="00000000" w:rsidRPr="00000000" w14:paraId="000004BF">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peer0.centralbank.dvp.poc   hyperledger/fabric-peer:2.5      Up 33 minutes</w:t>
      </w:r>
      <w:r w:rsidDel="00000000" w:rsidR="00000000" w:rsidRPr="00000000">
        <w:rPr>
          <w:rtl w:val="0"/>
        </w:rPr>
      </w:r>
    </w:p>
    <w:p w:rsidR="00000000" w:rsidDel="00000000" w:rsidP="00000000" w:rsidRDefault="00000000" w:rsidRPr="00000000" w14:paraId="000004C0">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peer0.csd.dvp.poc           hyperledger/fabric-peer:2.5      Up 33 minutes</w:t>
      </w:r>
      <w:r w:rsidDel="00000000" w:rsidR="00000000" w:rsidRPr="00000000">
        <w:rPr>
          <w:rtl w:val="0"/>
        </w:rPr>
      </w:r>
    </w:p>
    <w:p w:rsidR="00000000" w:rsidDel="00000000" w:rsidP="00000000" w:rsidRDefault="00000000" w:rsidRPr="00000000" w14:paraId="000004C1">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peer0.banka.dvp.poc         hyperledger/fabric-peer:2.5      Up 33 minutes</w:t>
      </w:r>
      <w:r w:rsidDel="00000000" w:rsidR="00000000" w:rsidRPr="00000000">
        <w:rPr>
          <w:rtl w:val="0"/>
        </w:rPr>
      </w:r>
    </w:p>
    <w:p w:rsidR="00000000" w:rsidDel="00000000" w:rsidP="00000000" w:rsidRDefault="00000000" w:rsidRPr="00000000" w14:paraId="000004C2">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peer0.bankb.dvp.poc         hyperledger/fabric-peer:2.5      Up 33 minutes</w:t>
      </w:r>
      <w:r w:rsidDel="00000000" w:rsidR="00000000" w:rsidRPr="00000000">
        <w:rPr>
          <w:rtl w:val="0"/>
        </w:rPr>
      </w:r>
    </w:p>
    <w:p w:rsidR="00000000" w:rsidDel="00000000" w:rsidP="00000000" w:rsidRDefault="00000000" w:rsidRPr="00000000" w14:paraId="000004C3">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peer0.supervisor.dvp.poc    hyperledger/fabric-peer:2.5      Up 33 minutes</w:t>
      </w:r>
      <w:r w:rsidDel="00000000" w:rsidR="00000000" w:rsidRPr="00000000">
        <w:rPr>
          <w:rtl w:val="0"/>
        </w:rPr>
      </w:r>
    </w:p>
    <w:p w:rsidR="00000000" w:rsidDel="00000000" w:rsidP="00000000" w:rsidRDefault="00000000" w:rsidRPr="00000000" w14:paraId="000004C4">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dvp-cli                     hyperledger/fabric-tools:2.5     Up 33 minutes</w:t>
      </w:r>
      <w:r w:rsidDel="00000000" w:rsidR="00000000" w:rsidRPr="00000000">
        <w:rPr>
          <w:rtl w:val="0"/>
        </w:rPr>
      </w:r>
    </w:p>
    <w:p w:rsidR="00000000" w:rsidDel="00000000" w:rsidP="00000000" w:rsidRDefault="00000000" w:rsidRPr="00000000" w14:paraId="000004C5">
      <w:pPr>
        <w:keepNext w:val="1"/>
        <w:spacing w:after="0" w:before="0" w:line="240" w:lineRule="auto"/>
        <w:jc w:val="left"/>
        <w:rPr/>
      </w:pPr>
      <w:r w:rsidDel="00000000" w:rsidR="00000000" w:rsidRPr="00000000">
        <w:rPr>
          <w:rtl w:val="0"/>
        </w:rPr>
      </w:r>
    </w:p>
    <w:p w:rsidR="00000000" w:rsidDel="00000000" w:rsidP="00000000" w:rsidRDefault="00000000" w:rsidRPr="00000000" w14:paraId="000004C6">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 Total conteneurs actifs : 16</w:t>
      </w:r>
      <w:r w:rsidDel="00000000" w:rsidR="00000000" w:rsidRPr="00000000">
        <w:rPr>
          <w:rtl w:val="0"/>
        </w:rPr>
      </w:r>
    </w:p>
    <w:p w:rsidR="00000000" w:rsidDel="00000000" w:rsidP="00000000" w:rsidRDefault="00000000" w:rsidRPr="00000000" w14:paraId="000004C7">
      <w:pPr>
        <w:keepNext w:val="1"/>
        <w:spacing w:after="0" w:before="0" w:line="240" w:lineRule="auto"/>
        <w:jc w:val="left"/>
        <w:rPr/>
      </w:pPr>
      <w:r w:rsidDel="00000000" w:rsidR="00000000" w:rsidRPr="00000000">
        <w:rPr>
          <w:rtl w:val="0"/>
        </w:rPr>
      </w:r>
    </w:p>
    <w:p w:rsidR="00000000" w:rsidDel="00000000" w:rsidP="00000000" w:rsidRDefault="00000000" w:rsidRPr="00000000" w14:paraId="000004C8">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 peer lifecycle chaincode querycommitted -C dvp-channel     (vue depuis CentralBankMSP)</w:t>
      </w:r>
      <w:r w:rsidDel="00000000" w:rsidR="00000000" w:rsidRPr="00000000">
        <w:rPr>
          <w:rtl w:val="0"/>
        </w:rPr>
      </w:r>
    </w:p>
    <w:p w:rsidR="00000000" w:rsidDel="00000000" w:rsidP="00000000" w:rsidRDefault="00000000" w:rsidRPr="00000000" w14:paraId="000004C9">
      <w:pPr>
        <w:keepNext w:val="1"/>
        <w:spacing w:after="0" w:before="0" w:line="240" w:lineRule="auto"/>
        <w:jc w:val="left"/>
        <w:rPr/>
      </w:pPr>
      <w:r w:rsidDel="00000000" w:rsidR="00000000" w:rsidRPr="00000000">
        <w:rPr>
          <w:rtl w:val="0"/>
        </w:rPr>
      </w:r>
    </w:p>
    <w:p w:rsidR="00000000" w:rsidDel="00000000" w:rsidP="00000000" w:rsidRDefault="00000000" w:rsidRPr="00000000" w14:paraId="000004CA">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Committed chaincode definitions on channel 'dvp-channel':</w:t>
      </w:r>
      <w:r w:rsidDel="00000000" w:rsidR="00000000" w:rsidRPr="00000000">
        <w:rPr>
          <w:rtl w:val="0"/>
        </w:rPr>
      </w:r>
    </w:p>
    <w:p w:rsidR="00000000" w:rsidDel="00000000" w:rsidP="00000000" w:rsidRDefault="00000000" w:rsidRPr="00000000" w14:paraId="000004CB">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Name: bond,  Version: 1.1, Sequence: 2, Endorsement Plugin: escc, Validation Plugin: vscc</w:t>
      </w:r>
      <w:r w:rsidDel="00000000" w:rsidR="00000000" w:rsidRPr="00000000">
        <w:rPr>
          <w:rtl w:val="0"/>
        </w:rPr>
      </w:r>
    </w:p>
    <w:p w:rsidR="00000000" w:rsidDel="00000000" w:rsidP="00000000" w:rsidRDefault="00000000" w:rsidRPr="00000000" w14:paraId="000004CC">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Name: dvp,   Version: 1.0, Sequence: 1, Endorsement Plugin: escc, Validation Plugin: vscc</w:t>
      </w:r>
      <w:r w:rsidDel="00000000" w:rsidR="00000000" w:rsidRPr="00000000">
        <w:rPr>
          <w:rtl w:val="0"/>
        </w:rPr>
      </w:r>
    </w:p>
    <w:p w:rsidR="00000000" w:rsidDel="00000000" w:rsidP="00000000" w:rsidRDefault="00000000" w:rsidRPr="00000000" w14:paraId="000004CD">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Name: wcbdc, Version: 1.1, Sequence: 2, Endorsement Plugin: escc, Validation Plugin: vscc</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b w:val="1"/>
          <w:bCs w:val="1"/>
          <w:i w:val="1"/>
          <w:iCs w:val="1"/>
          <w:sz w:val="19"/>
          <w:szCs w:val="19"/>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Figure 5.1 - Running Fabric network: peers, orderer, channel and committed chaincodes. </w:t>
      </w: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Table 5.5 reports the ledger state before and after scenario S1. The figures were read directly from the securities and cash chaincodes through their query functions, and were not inferred from the settlement response. The table is the DvP invariant in numerical form. The seller's securities delta is exactly the negative of the buyer's, the cash delta is exactly the negative in the other direction, and the escrow returns to zero.</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rPr/>
      </w:pPr>
      <w:r w:rsidDel="00000000" w:rsidR="00000000" w:rsidRPr="00000000">
        <w:rPr>
          <w:rtl w:val="0"/>
        </w:rPr>
      </w:r>
    </w:p>
    <w:tbl>
      <w:tblPr>
        <w:tblStyle w:val="Table25"/>
        <w:tblW w:w="82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6"/>
        <w:gridCol w:w="1972"/>
        <w:gridCol w:w="1233"/>
        <w:gridCol w:w="1233"/>
        <w:gridCol w:w="1316"/>
        <w:tblGridChange w:id="0">
          <w:tblGrid>
            <w:gridCol w:w="2466"/>
            <w:gridCol w:w="1972"/>
            <w:gridCol w:w="1233"/>
            <w:gridCol w:w="1233"/>
            <w:gridCol w:w="1316"/>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4D2">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Account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D3">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Asset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D4">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Before S1</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D5">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After S1</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4D6">
            <w:pPr>
              <w:spacing w:after="40" w:before="40" w:lineRule="auto"/>
              <w:jc w:val="both"/>
              <w:rPr/>
            </w:pPr>
            <w:r w:rsidDel="00000000" w:rsidR="00000000" w:rsidRPr="00000000">
              <w:rPr>
                <w:rFonts w:ascii="Times New Roman" w:cs="Times New Roman" w:eastAsia="Times New Roman" w:hAnsi="Times New Roman"/>
                <w:b w:val="1"/>
                <w:bCs w:val="1"/>
                <w:sz w:val="18"/>
                <w:szCs w:val="18"/>
                <w:rtl w:val="0"/>
              </w:rPr>
              <w:t xml:space="preserve">Delta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4D7">
            <w:pPr>
              <w:spacing w:after="40" w:before="40" w:lineRule="auto"/>
              <w:jc w:val="both"/>
              <w:rPr/>
            </w:pPr>
            <w:r w:rsidDel="00000000" w:rsidR="00000000" w:rsidRPr="00000000">
              <w:rPr>
                <w:b w:val="0"/>
                <w:bCs w:val="0"/>
                <w:rtl w:val="0"/>
              </w:rPr>
              <w:t xml:space="preserve">Seller - securities account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8">
            <w:pPr>
              <w:spacing w:after="40" w:before="40" w:lineRule="auto"/>
              <w:jc w:val="both"/>
              <w:rPr/>
            </w:pPr>
            <w:r w:rsidDel="00000000" w:rsidR="00000000" w:rsidRPr="00000000">
              <w:rPr>
                <w:b w:val="0"/>
                <w:bCs w:val="0"/>
                <w:rtl w:val="0"/>
              </w:rPr>
              <w:t xml:space="preserve">Tokenised bond (FR0001, units)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9">
            <w:pPr>
              <w:spacing w:after="40" w:before="40" w:lineRule="auto"/>
              <w:jc w:val="both"/>
              <w:rPr/>
            </w:pPr>
            <w:r w:rsidDel="00000000" w:rsidR="00000000" w:rsidRPr="00000000">
              <w:rPr>
                <w:b w:val="0"/>
                <w:bCs w:val="0"/>
                <w:rtl w:val="0"/>
              </w:rPr>
              <w:t xml:space="preserve">700 000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A">
            <w:pPr>
              <w:spacing w:after="40" w:before="40" w:lineRule="auto"/>
              <w:jc w:val="both"/>
              <w:rPr/>
            </w:pPr>
            <w:r w:rsidDel="00000000" w:rsidR="00000000" w:rsidRPr="00000000">
              <w:rPr>
                <w:b w:val="0"/>
                <w:bCs w:val="0"/>
                <w:rtl w:val="0"/>
              </w:rPr>
              <w:t xml:space="preserve">600 000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B">
            <w:pPr>
              <w:spacing w:after="40" w:before="40" w:lineRule="auto"/>
              <w:jc w:val="both"/>
              <w:rPr/>
            </w:pPr>
            <w:r w:rsidDel="00000000" w:rsidR="00000000" w:rsidRPr="00000000">
              <w:rPr>
                <w:b w:val="0"/>
                <w:bCs w:val="0"/>
                <w:rtl w:val="0"/>
              </w:rPr>
              <w:t xml:space="preserve">-100 000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4DC">
            <w:pPr>
              <w:spacing w:after="40" w:before="40" w:lineRule="auto"/>
              <w:jc w:val="both"/>
              <w:rPr/>
            </w:pPr>
            <w:r w:rsidDel="00000000" w:rsidR="00000000" w:rsidRPr="00000000">
              <w:rPr>
                <w:b w:val="0"/>
                <w:bCs w:val="0"/>
                <w:rtl w:val="0"/>
              </w:rPr>
              <w:t xml:space="preserve">Buyer - securities account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D">
            <w:pPr>
              <w:spacing w:after="40" w:before="40" w:lineRule="auto"/>
              <w:jc w:val="both"/>
              <w:rPr/>
            </w:pPr>
            <w:r w:rsidDel="00000000" w:rsidR="00000000" w:rsidRPr="00000000">
              <w:rPr>
                <w:b w:val="0"/>
                <w:bCs w:val="0"/>
                <w:rtl w:val="0"/>
              </w:rPr>
              <w:t xml:space="preserve">Tokenised bond (FR0001, units)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E">
            <w:pPr>
              <w:spacing w:after="40" w:before="40" w:lineRule="auto"/>
              <w:jc w:val="both"/>
              <w:rPr/>
            </w:pPr>
            <w:r w:rsidDel="00000000" w:rsidR="00000000" w:rsidRPr="00000000">
              <w:rPr>
                <w:b w:val="0"/>
                <w:bCs w:val="0"/>
                <w:rtl w:val="0"/>
              </w:rPr>
              <w:t xml:space="preserve">300 000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DF">
            <w:pPr>
              <w:spacing w:after="40" w:before="40" w:lineRule="auto"/>
              <w:jc w:val="both"/>
              <w:rPr/>
            </w:pPr>
            <w:r w:rsidDel="00000000" w:rsidR="00000000" w:rsidRPr="00000000">
              <w:rPr>
                <w:b w:val="0"/>
                <w:bCs w:val="0"/>
                <w:rtl w:val="0"/>
              </w:rPr>
              <w:t xml:space="preserve">400 000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0">
            <w:pPr>
              <w:spacing w:after="40" w:before="40" w:lineRule="auto"/>
              <w:jc w:val="both"/>
              <w:rPr/>
            </w:pPr>
            <w:r w:rsidDel="00000000" w:rsidR="00000000" w:rsidRPr="00000000">
              <w:rPr>
                <w:b w:val="0"/>
                <w:bCs w:val="0"/>
                <w:rtl w:val="0"/>
              </w:rPr>
              <w:t xml:space="preserve">+100 000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4E1">
            <w:pPr>
              <w:spacing w:after="40" w:before="40" w:lineRule="auto"/>
              <w:jc w:val="both"/>
              <w:rPr/>
            </w:pPr>
            <w:r w:rsidDel="00000000" w:rsidR="00000000" w:rsidRPr="00000000">
              <w:rPr>
                <w:b w:val="0"/>
                <w:bCs w:val="0"/>
                <w:rtl w:val="0"/>
              </w:rPr>
              <w:t xml:space="preserve">Seller - cash account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2">
            <w:pPr>
              <w:spacing w:after="40" w:before="40" w:lineRule="auto"/>
              <w:jc w:val="both"/>
              <w:rPr/>
            </w:pPr>
            <w:r w:rsidDel="00000000" w:rsidR="00000000" w:rsidRPr="00000000">
              <w:rPr>
                <w:b w:val="0"/>
                <w:bCs w:val="0"/>
                <w:rtl w:val="0"/>
              </w:rPr>
              <w:t xml:space="preserve">wCBDC (EUR)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3">
            <w:pPr>
              <w:spacing w:after="40" w:before="40" w:lineRule="auto"/>
              <w:jc w:val="both"/>
              <w:rPr/>
            </w:pPr>
            <w:r w:rsidDel="00000000" w:rsidR="00000000" w:rsidRPr="00000000">
              <w:rPr>
                <w:b w:val="0"/>
                <w:bCs w:val="0"/>
                <w:rtl w:val="0"/>
              </w:rPr>
              <w:t xml:space="preserve">845 000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4">
            <w:pPr>
              <w:spacing w:after="40" w:before="40" w:lineRule="auto"/>
              <w:jc w:val="both"/>
              <w:rPr/>
            </w:pPr>
            <w:r w:rsidDel="00000000" w:rsidR="00000000" w:rsidRPr="00000000">
              <w:rPr>
                <w:b w:val="0"/>
                <w:bCs w:val="0"/>
                <w:rtl w:val="0"/>
              </w:rPr>
              <w:t xml:space="preserve">940 000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5">
            <w:pPr>
              <w:spacing w:after="40" w:before="40" w:lineRule="auto"/>
              <w:jc w:val="both"/>
              <w:rPr/>
            </w:pPr>
            <w:r w:rsidDel="00000000" w:rsidR="00000000" w:rsidRPr="00000000">
              <w:rPr>
                <w:b w:val="0"/>
                <w:bCs w:val="0"/>
                <w:rtl w:val="0"/>
              </w:rPr>
              <w:t xml:space="preserve">+95 000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4E6">
            <w:pPr>
              <w:spacing w:after="40" w:before="40" w:lineRule="auto"/>
              <w:jc w:val="both"/>
              <w:rPr/>
            </w:pPr>
            <w:r w:rsidDel="00000000" w:rsidR="00000000" w:rsidRPr="00000000">
              <w:rPr>
                <w:b w:val="0"/>
                <w:bCs w:val="0"/>
                <w:rtl w:val="0"/>
              </w:rPr>
              <w:t xml:space="preserve">Buyer - cash account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7">
            <w:pPr>
              <w:spacing w:after="40" w:before="40" w:lineRule="auto"/>
              <w:jc w:val="both"/>
              <w:rPr/>
            </w:pPr>
            <w:r w:rsidDel="00000000" w:rsidR="00000000" w:rsidRPr="00000000">
              <w:rPr>
                <w:b w:val="0"/>
                <w:bCs w:val="0"/>
                <w:rtl w:val="0"/>
              </w:rPr>
              <w:t xml:space="preserve">wCBDC (EUR)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8">
            <w:pPr>
              <w:spacing w:after="40" w:before="40" w:lineRule="auto"/>
              <w:jc w:val="both"/>
              <w:rPr/>
            </w:pPr>
            <w:r w:rsidDel="00000000" w:rsidR="00000000" w:rsidRPr="00000000">
              <w:rPr>
                <w:b w:val="0"/>
                <w:bCs w:val="0"/>
                <w:rtl w:val="0"/>
              </w:rPr>
              <w:t xml:space="preserve">655 000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9">
            <w:pPr>
              <w:spacing w:after="40" w:before="40" w:lineRule="auto"/>
              <w:jc w:val="both"/>
              <w:rPr/>
            </w:pPr>
            <w:r w:rsidDel="00000000" w:rsidR="00000000" w:rsidRPr="00000000">
              <w:rPr>
                <w:b w:val="0"/>
                <w:bCs w:val="0"/>
                <w:rtl w:val="0"/>
              </w:rPr>
              <w:t xml:space="preserve">560 000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A">
            <w:pPr>
              <w:spacing w:after="40" w:before="40" w:lineRule="auto"/>
              <w:jc w:val="both"/>
              <w:rPr/>
            </w:pPr>
            <w:r w:rsidDel="00000000" w:rsidR="00000000" w:rsidRPr="00000000">
              <w:rPr>
                <w:b w:val="0"/>
                <w:bCs w:val="0"/>
                <w:rtl w:val="0"/>
              </w:rPr>
              <w:t xml:space="preserve">-95 000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4EB">
            <w:pPr>
              <w:spacing w:after="40" w:before="40" w:lineRule="auto"/>
              <w:jc w:val="both"/>
              <w:rPr/>
            </w:pPr>
            <w:r w:rsidDel="00000000" w:rsidR="00000000" w:rsidRPr="00000000">
              <w:rPr>
                <w:b w:val="0"/>
                <w:bCs w:val="0"/>
                <w:rtl w:val="0"/>
              </w:rPr>
              <w:t xml:space="preserve">Escrow held by DvPChaincode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C">
            <w:pPr>
              <w:spacing w:after="40" w:before="40" w:lineRule="auto"/>
              <w:jc w:val="both"/>
              <w:rPr/>
            </w:pPr>
            <w:r w:rsidDel="00000000" w:rsidR="00000000" w:rsidRPr="00000000">
              <w:rPr>
                <w:b w:val="0"/>
                <w:bCs w:val="0"/>
                <w:rtl w:val="0"/>
              </w:rPr>
              <w:t xml:space="preserve">Earmarked bond (FR0001, units)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D">
            <w:pPr>
              <w:spacing w:after="40" w:before="40" w:lineRule="auto"/>
              <w:jc w:val="both"/>
              <w:rPr/>
            </w:pPr>
            <w:r w:rsidDel="00000000" w:rsidR="00000000" w:rsidRPr="00000000">
              <w:rPr>
                <w:b w:val="0"/>
                <w:bCs w:val="0"/>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E">
            <w:pPr>
              <w:spacing w:after="40" w:before="40" w:lineRule="auto"/>
              <w:jc w:val="both"/>
              <w:rPr/>
            </w:pPr>
            <w:r w:rsidDel="00000000" w:rsidR="00000000" w:rsidRPr="00000000">
              <w:rPr>
                <w:b w:val="0"/>
                <w:bCs w:val="0"/>
                <w:rtl w:val="0"/>
              </w:rPr>
              <w:t xml:space="preserve">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4EF">
            <w:pPr>
              <w:spacing w:after="40" w:before="40" w:lineRule="auto"/>
              <w:jc w:val="both"/>
              <w:rPr/>
            </w:pPr>
            <w:r w:rsidDel="00000000" w:rsidR="00000000" w:rsidRPr="00000000">
              <w:rPr>
                <w:b w:val="0"/>
                <w:bCs w:val="0"/>
                <w:rtl w:val="0"/>
              </w:rPr>
              <w:t xml:space="preserve">0</w:t>
            </w:r>
            <w:r w:rsidDel="00000000" w:rsidR="00000000" w:rsidRPr="00000000">
              <w:rPr>
                <w:rtl w:val="0"/>
              </w:rPr>
            </w:r>
          </w:p>
        </w:tc>
      </w:tr>
    </w:tbl>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5.5 - Ledger balances before and after scenario S1.</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pPr>
      <w:r w:rsidDel="00000000" w:rsidR="00000000" w:rsidRPr="00000000">
        <w:rPr>
          <w:rFonts w:ascii="Consolas" w:cs="Consolas" w:eastAsia="Consolas" w:hAnsi="Consolas"/>
          <w:b w:val="0"/>
          <w:bCs w:val="0"/>
          <w:sz w:val="15"/>
          <w:szCs w:val="15"/>
          <w:rtl w:val="0"/>
        </w:rPr>
        <w:t xml:space="preserve">evidence/05_junit/TEST-poc.tests.DvPScenariosTest.xml</w:t>
      </w:r>
      <w:r w:rsidDel="00000000" w:rsidR="00000000" w:rsidRPr="00000000">
        <w:rPr>
          <w:rtl w:val="0"/>
        </w:rPr>
      </w:r>
    </w:p>
    <w:p w:rsidR="00000000" w:rsidDel="00000000" w:rsidP="00000000" w:rsidRDefault="00000000" w:rsidRPr="00000000" w14:paraId="000004F2">
      <w:pPr>
        <w:keepNext w:val="1"/>
        <w:spacing w:after="0" w:before="0" w:line="240" w:lineRule="auto"/>
        <w:jc w:val="left"/>
        <w:rPr/>
      </w:pPr>
      <w:r w:rsidDel="00000000" w:rsidR="00000000" w:rsidRPr="00000000">
        <w:rPr>
          <w:rtl w:val="0"/>
        </w:rPr>
      </w:r>
    </w:p>
    <w:p w:rsidR="00000000" w:rsidDel="00000000" w:rsidP="00000000" w:rsidRDefault="00000000" w:rsidRPr="00000000" w14:paraId="000004F3">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testsuite  poc.tests.DvPScenariosTest</w:t>
      </w:r>
      <w:r w:rsidDel="00000000" w:rsidR="00000000" w:rsidRPr="00000000">
        <w:rPr>
          <w:rtl w:val="0"/>
        </w:rPr>
      </w:r>
    </w:p>
    <w:p w:rsidR="00000000" w:rsidDel="00000000" w:rsidP="00000000" w:rsidRDefault="00000000" w:rsidRPr="00000000" w14:paraId="000004F4">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timestamp  2026-09-03T20:03:43.665Z    tests 10   failures 0   errors 0   skipped 0</w:t>
      </w:r>
      <w:r w:rsidDel="00000000" w:rsidR="00000000" w:rsidRPr="00000000">
        <w:rPr>
          <w:rtl w:val="0"/>
        </w:rPr>
      </w:r>
    </w:p>
    <w:p w:rsidR="00000000" w:rsidDel="00000000" w:rsidP="00000000" w:rsidRDefault="00000000" w:rsidRPr="00000000" w14:paraId="000004F5">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time       75.577 s</w:t>
      </w:r>
      <w:r w:rsidDel="00000000" w:rsidR="00000000" w:rsidRPr="00000000">
        <w:rPr>
          <w:rtl w:val="0"/>
        </w:rPr>
      </w:r>
    </w:p>
    <w:p w:rsidR="00000000" w:rsidDel="00000000" w:rsidP="00000000" w:rsidRDefault="00000000" w:rsidRPr="00000000" w14:paraId="000004F6">
      <w:pPr>
        <w:keepNext w:val="1"/>
        <w:spacing w:after="0" w:before="0" w:line="240" w:lineRule="auto"/>
        <w:jc w:val="left"/>
        <w:rPr/>
      </w:pPr>
      <w:r w:rsidDel="00000000" w:rsidR="00000000" w:rsidRPr="00000000">
        <w:rPr>
          <w:rtl w:val="0"/>
        </w:rPr>
      </w:r>
    </w:p>
    <w:p w:rsidR="00000000" w:rsidDel="00000000" w:rsidP="00000000" w:rsidRDefault="00000000" w:rsidRPr="00000000" w14:paraId="000004F7">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6.687 s   T1 - happy path: PROPOSED -&gt; PENDING -&gt; SETTLED, les deux jambes bougent (R05)</w:t>
      </w:r>
      <w:r w:rsidDel="00000000" w:rsidR="00000000" w:rsidRPr="00000000">
        <w:rPr>
          <w:rtl w:val="0"/>
        </w:rPr>
      </w:r>
    </w:p>
    <w:p w:rsidR="00000000" w:rsidDel="00000000" w:rsidP="00000000" w:rsidRDefault="00000000" w:rsidRPr="00000000" w14:paraId="000004F8">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18.829 s  T2 - escrow jamais finance -&gt; RELEASED_BUSINESS, aucune jambe ne bouge (R09/R10)</w:t>
      </w:r>
      <w:r w:rsidDel="00000000" w:rsidR="00000000" w:rsidRPr="00000000">
        <w:rPr>
          <w:rtl w:val="0"/>
        </w:rPr>
      </w:r>
    </w:p>
    <w:p w:rsidR="00000000" w:rsidDel="00000000" w:rsidP="00000000" w:rsidRDefault="00000000" w:rsidRPr="00000000" w14:paraId="000004F9">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11.964 s  T2bis - escrow puis on-ramp C2 -&gt; SETTLED (R09)</w:t>
      </w:r>
      <w:r w:rsidDel="00000000" w:rsidR="00000000" w:rsidRPr="00000000">
        <w:rPr>
          <w:rtl w:val="0"/>
        </w:rPr>
      </w:r>
    </w:p>
    <w:p w:rsidR="00000000" w:rsidDel="00000000" w:rsidP="00000000" w:rsidRDefault="00000000" w:rsidRPr="00000000" w14:paraId="000004FA">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10.459 s  T3 - filet de securite -&gt; RELEASED_SAFETY (R10)</w:t>
      </w:r>
      <w:r w:rsidDel="00000000" w:rsidR="00000000" w:rsidRPr="00000000">
        <w:rPr>
          <w:rtl w:val="0"/>
        </w:rPr>
      </w:r>
    </w:p>
    <w:p w:rsidR="00000000" w:rsidDel="00000000" w:rsidP="00000000" w:rsidRDefault="00000000" w:rsidRPr="00000000" w14:paraId="000004FB">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2.178 s   T4 - rejet compliance: plafond R16 depasse -&gt; REJECTED_COMPLIANCE</w:t>
      </w:r>
      <w:r w:rsidDel="00000000" w:rsidR="00000000" w:rsidRPr="00000000">
        <w:rPr>
          <w:rtl w:val="0"/>
        </w:rPr>
      </w:r>
    </w:p>
    <w:p w:rsidR="00000000" w:rsidDel="00000000" w:rsidP="00000000" w:rsidRDefault="00000000" w:rsidRPr="00000000" w14:paraId="000004FC">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2.185 s   T5 - echec eligibilite: partie non admise -&gt; REJECTED_INELIGIBLE (R03)</w:t>
      </w:r>
      <w:r w:rsidDel="00000000" w:rsidR="00000000" w:rsidRPr="00000000">
        <w:rPr>
          <w:rtl w:val="0"/>
        </w:rPr>
      </w:r>
    </w:p>
    <w:p w:rsidR="00000000" w:rsidDel="00000000" w:rsidP="00000000" w:rsidRDefault="00000000" w:rsidRPr="00000000" w14:paraId="000004FD">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6.371 s   T6 - pause C1: reglement suspendu, reprise; pause reservee (R14)</w:t>
      </w:r>
      <w:r w:rsidDel="00000000" w:rsidR="00000000" w:rsidRPr="00000000">
        <w:rPr>
          <w:rtl w:val="0"/>
        </w:rPr>
      </w:r>
    </w:p>
    <w:p w:rsidR="00000000" w:rsidDel="00000000" w:rsidP="00000000" w:rsidRDefault="00000000" w:rsidRPr="00000000" w14:paraId="000004FE">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0.037 s   T7 - operations reservees: mint wCBDC hors banque centrale refuse (R14)</w:t>
      </w:r>
      <w:r w:rsidDel="00000000" w:rsidR="00000000" w:rsidRPr="00000000">
        <w:rPr>
          <w:rtl w:val="0"/>
        </w:rPr>
      </w:r>
    </w:p>
    <w:p w:rsidR="00000000" w:rsidDel="00000000" w:rsidP="00000000" w:rsidRDefault="00000000" w:rsidRPr="00000000" w14:paraId="000004FF">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0.079 s   T8 - contournement: une jambe seule est inexecutable (ProposalGuard)</w:t>
      </w:r>
      <w:r w:rsidDel="00000000" w:rsidR="00000000" w:rsidRPr="00000000">
        <w:rPr>
          <w:rtl w:val="0"/>
        </w:rPr>
      </w:r>
    </w:p>
    <w:p w:rsidR="00000000" w:rsidDel="00000000" w:rsidP="00000000" w:rsidRDefault="00000000" w:rsidRPr="00000000" w14:paraId="00000500">
      <w:pPr>
        <w:keepNext w:val="1"/>
        <w:spacing w:after="0" w:before="0" w:line="240" w:lineRule="auto"/>
        <w:jc w:val="left"/>
        <w:rPr/>
      </w:pPr>
      <w:r w:rsidDel="00000000" w:rsidR="00000000" w:rsidRPr="00000000">
        <w:rPr>
          <w:rFonts w:ascii="Consolas" w:cs="Consolas" w:eastAsia="Consolas" w:hAnsi="Consolas"/>
          <w:b w:val="0"/>
          <w:bCs w:val="0"/>
          <w:sz w:val="15"/>
          <w:szCs w:val="15"/>
          <w:rtl w:val="0"/>
        </w:rPr>
        <w:t xml:space="preserve">0.105 s   T9 - pas de double reglement: rejouer un trade SETTLED est refuse</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Figure 5.2 - Test-suite execution report.</w:t>
      </w:r>
    </w:p>
    <w:p w:rsidR="00000000" w:rsidDel="00000000" w:rsidP="00000000" w:rsidRDefault="00000000" w:rsidRPr="00000000" w14:paraId="00000502">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DvPContract.executeSettlement (extrait) : le swap atomique O1 + O2.</w:t>
      </w:r>
      <w:r w:rsidDel="00000000" w:rsidR="00000000" w:rsidRPr="00000000">
        <w:rPr>
          <w:rtl w:val="0"/>
        </w:rPr>
      </w:r>
    </w:p>
    <w:p w:rsidR="00000000" w:rsidDel="00000000" w:rsidP="00000000" w:rsidRDefault="00000000" w:rsidRPr="00000000" w14:paraId="00000503">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Les deux invocations appartiennent a UNE transaction de plateforme : elles</w:t>
      </w:r>
      <w:r w:rsidDel="00000000" w:rsidR="00000000" w:rsidRPr="00000000">
        <w:rPr>
          <w:rtl w:val="0"/>
        </w:rPr>
      </w:r>
    </w:p>
    <w:p w:rsidR="00000000" w:rsidDel="00000000" w:rsidP="00000000" w:rsidRDefault="00000000" w:rsidRPr="00000000" w14:paraId="00000504">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produisent un seul read/write set, valide ou invalide en bloc.</w:t>
      </w:r>
      <w:r w:rsidDel="00000000" w:rsidR="00000000" w:rsidRPr="00000000">
        <w:rPr>
          <w:rtl w:val="0"/>
        </w:rPr>
      </w:r>
    </w:p>
    <w:p w:rsidR="00000000" w:rsidDel="00000000" w:rsidP="00000000" w:rsidRDefault="00000000" w:rsidRPr="00000000" w14:paraId="00000505">
      <w:pPr>
        <w:keepNext w:val="1"/>
        <w:spacing w:after="0" w:before="0" w:line="240" w:lineRule="auto"/>
        <w:jc w:val="left"/>
        <w:rPr/>
      </w:pPr>
      <w:r w:rsidDel="00000000" w:rsidR="00000000" w:rsidRPr="00000000">
        <w:rPr>
          <w:rtl w:val="0"/>
        </w:rPr>
      </w:r>
    </w:p>
    <w:p w:rsidR="00000000" w:rsidDel="00000000" w:rsidP="00000000" w:rsidRDefault="00000000" w:rsidRPr="00000000" w14:paraId="00000506">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final long buyerCash = Long.parseLong(invokeCC(ctx, WCBDC_CC, "balanceOf", trade.buyerMsp));</w:t>
      </w:r>
      <w:r w:rsidDel="00000000" w:rsidR="00000000" w:rsidRPr="00000000">
        <w:rPr>
          <w:rtl w:val="0"/>
        </w:rPr>
      </w:r>
    </w:p>
    <w:p w:rsidR="00000000" w:rsidDel="00000000" w:rsidP="00000000" w:rsidRDefault="00000000" w:rsidRPr="00000000" w14:paraId="00000507">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if (buyerCash &gt;= trade.cashAmount) {</w:t>
      </w:r>
      <w:r w:rsidDel="00000000" w:rsidR="00000000" w:rsidRPr="00000000">
        <w:rPr>
          <w:rtl w:val="0"/>
        </w:rPr>
      </w:r>
    </w:p>
    <w:p w:rsidR="00000000" w:rsidDel="00000000" w:rsidP="00000000" w:rsidRDefault="00000000" w:rsidRPr="00000000" w14:paraId="00000508">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invokeCC(ctx, BOND_CC,  "bondSettlement:transferForTrade", tradeId,</w:t>
      </w:r>
      <w:r w:rsidDel="00000000" w:rsidR="00000000" w:rsidRPr="00000000">
        <w:rPr>
          <w:rtl w:val="0"/>
        </w:rPr>
      </w:r>
    </w:p>
    <w:p w:rsidR="00000000" w:rsidDel="00000000" w:rsidP="00000000" w:rsidRDefault="00000000" w:rsidRPr="00000000" w14:paraId="00000509">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trade.sellerMsp, trade.buyerMsp, trade.isin, Long.toString(trade.bondAmount));</w:t>
      </w:r>
      <w:r w:rsidDel="00000000" w:rsidR="00000000" w:rsidRPr="00000000">
        <w:rPr>
          <w:rtl w:val="0"/>
        </w:rPr>
      </w:r>
    </w:p>
    <w:p w:rsidR="00000000" w:rsidDel="00000000" w:rsidP="00000000" w:rsidRDefault="00000000" w:rsidRPr="00000000" w14:paraId="0000050A">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invokeCC(ctx, WCBDC_CC, "transferForTrade", tradeId,</w:t>
      </w:r>
      <w:r w:rsidDel="00000000" w:rsidR="00000000" w:rsidRPr="00000000">
        <w:rPr>
          <w:rtl w:val="0"/>
        </w:rPr>
      </w:r>
    </w:p>
    <w:p w:rsidR="00000000" w:rsidDel="00000000" w:rsidP="00000000" w:rsidRDefault="00000000" w:rsidRPr="00000000" w14:paraId="0000050B">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trade.buyerMsp, trade.sellerMsp, Long.toString(trade.cashAmount));</w:t>
      </w:r>
      <w:r w:rsidDel="00000000" w:rsidR="00000000" w:rsidRPr="00000000">
        <w:rPr>
          <w:rtl w:val="0"/>
        </w:rPr>
      </w:r>
    </w:p>
    <w:p w:rsidR="00000000" w:rsidDel="00000000" w:rsidP="00000000" w:rsidRDefault="00000000" w:rsidRPr="00000000" w14:paraId="0000050C">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trade.status = Trade.SETTLED;</w:t>
      </w:r>
      <w:r w:rsidDel="00000000" w:rsidR="00000000" w:rsidRPr="00000000">
        <w:rPr>
          <w:rtl w:val="0"/>
        </w:rPr>
      </w:r>
    </w:p>
    <w:p w:rsidR="00000000" w:rsidDel="00000000" w:rsidP="00000000" w:rsidRDefault="00000000" w:rsidRPr="00000000" w14:paraId="0000050D">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return DvPStore.save(ctx, genson, trade, "AtomicSwapCommitted");</w:t>
      </w:r>
      <w:r w:rsidDel="00000000" w:rsidR="00000000" w:rsidRPr="00000000">
        <w:rPr>
          <w:rtl w:val="0"/>
        </w:rPr>
      </w:r>
    </w:p>
    <w:p w:rsidR="00000000" w:rsidDel="00000000" w:rsidP="00000000" w:rsidRDefault="00000000" w:rsidRPr="00000000" w14:paraId="0000050E">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w:t>
      </w:r>
      <w:r w:rsidDel="00000000" w:rsidR="00000000" w:rsidRPr="00000000">
        <w:rPr>
          <w:rtl w:val="0"/>
        </w:rPr>
      </w:r>
    </w:p>
    <w:p w:rsidR="00000000" w:rsidDel="00000000" w:rsidP="00000000" w:rsidRDefault="00000000" w:rsidRPr="00000000" w14:paraId="0000050F">
      <w:pPr>
        <w:keepNext w:val="1"/>
        <w:spacing w:after="0" w:before="0" w:line="240" w:lineRule="auto"/>
        <w:jc w:val="left"/>
        <w:rPr/>
      </w:pPr>
      <w:r w:rsidDel="00000000" w:rsidR="00000000" w:rsidRPr="00000000">
        <w:rPr>
          <w:rtl w:val="0"/>
        </w:rPr>
      </w:r>
    </w:p>
    <w:p w:rsidR="00000000" w:rsidDel="00000000" w:rsidP="00000000" w:rsidRDefault="00000000" w:rsidRPr="00000000" w14:paraId="00000510">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private String invokeCC(final Context ctx, final String chaincode, final String... args) {</w:t>
      </w:r>
      <w:r w:rsidDel="00000000" w:rsidR="00000000" w:rsidRPr="00000000">
        <w:rPr>
          <w:rtl w:val="0"/>
        </w:rPr>
      </w:r>
    </w:p>
    <w:p w:rsidR="00000000" w:rsidDel="00000000" w:rsidP="00000000" w:rsidRDefault="00000000" w:rsidRPr="00000000" w14:paraId="00000511">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final Chaincode.Response response =</w:t>
      </w:r>
      <w:r w:rsidDel="00000000" w:rsidR="00000000" w:rsidRPr="00000000">
        <w:rPr>
          <w:rtl w:val="0"/>
        </w:rPr>
      </w:r>
    </w:p>
    <w:p w:rsidR="00000000" w:rsidDel="00000000" w:rsidP="00000000" w:rsidRDefault="00000000" w:rsidRPr="00000000" w14:paraId="00000512">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ctx.getStub().invokeChaincodeWithStringArgs(chaincode, args);</w:t>
      </w:r>
      <w:r w:rsidDel="00000000" w:rsidR="00000000" w:rsidRPr="00000000">
        <w:rPr>
          <w:rtl w:val="0"/>
        </w:rPr>
      </w:r>
    </w:p>
    <w:p w:rsidR="00000000" w:rsidDel="00000000" w:rsidP="00000000" w:rsidRDefault="00000000" w:rsidRPr="00000000" w14:paraId="00000513">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if (response.getStatus() != Chaincode.Response.Status.SUCCESS) {  // un echec de l'appele</w:t>
      </w:r>
      <w:r w:rsidDel="00000000" w:rsidR="00000000" w:rsidRPr="00000000">
        <w:rPr>
          <w:rtl w:val="0"/>
        </w:rPr>
      </w:r>
    </w:p>
    <w:p w:rsidR="00000000" w:rsidDel="00000000" w:rsidP="00000000" w:rsidRDefault="00000000" w:rsidRPr="00000000" w14:paraId="00000514">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throw new ChaincodeException(...);                            // invalide la transaction</w:t>
      </w:r>
      <w:r w:rsidDel="00000000" w:rsidR="00000000" w:rsidRPr="00000000">
        <w:rPr>
          <w:rtl w:val="0"/>
        </w:rPr>
      </w:r>
    </w:p>
    <w:p w:rsidR="00000000" w:rsidDel="00000000" w:rsidP="00000000" w:rsidRDefault="00000000" w:rsidRPr="00000000" w14:paraId="00000515">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                                                                 // entiere : aucune jambe</w:t>
      </w:r>
      <w:r w:rsidDel="00000000" w:rsidR="00000000" w:rsidRPr="00000000">
        <w:rPr>
          <w:rtl w:val="0"/>
        </w:rPr>
      </w:r>
    </w:p>
    <w:p w:rsidR="00000000" w:rsidDel="00000000" w:rsidP="00000000" w:rsidRDefault="00000000" w:rsidRPr="00000000" w14:paraId="00000516">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return response.getStringPayload();                               // ne bouge seule</w:t>
      </w:r>
      <w:r w:rsidDel="00000000" w:rsidR="00000000" w:rsidRPr="00000000">
        <w:rPr>
          <w:rtl w:val="0"/>
        </w:rPr>
      </w:r>
    </w:p>
    <w:p w:rsidR="00000000" w:rsidDel="00000000" w:rsidP="00000000" w:rsidRDefault="00000000" w:rsidRPr="00000000" w14:paraId="00000517">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w:t>
      </w:r>
      <w:r w:rsidDel="00000000" w:rsidR="00000000" w:rsidRPr="00000000">
        <w:rPr>
          <w:rtl w:val="0"/>
        </w:rPr>
      </w:r>
    </w:p>
    <w:p w:rsidR="00000000" w:rsidDel="00000000" w:rsidP="00000000" w:rsidRDefault="00000000" w:rsidRPr="00000000" w14:paraId="00000518">
      <w:pPr>
        <w:keepNext w:val="1"/>
        <w:spacing w:after="0" w:before="0" w:line="240" w:lineRule="auto"/>
        <w:jc w:val="left"/>
        <w:rPr/>
      </w:pPr>
      <w:r w:rsidDel="00000000" w:rsidR="00000000" w:rsidRPr="00000000">
        <w:rPr>
          <w:rtl w:val="0"/>
        </w:rPr>
      </w:r>
    </w:p>
    <w:p w:rsidR="00000000" w:rsidDel="00000000" w:rsidP="00000000" w:rsidRDefault="00000000" w:rsidRPr="00000000" w14:paraId="00000519">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ProposalGuard.requireInvokedViaDvp (extrait) : la garde d'appelant, lue sur la</w:t>
      </w:r>
      <w:r w:rsidDel="00000000" w:rsidR="00000000" w:rsidRPr="00000000">
        <w:rPr>
          <w:rtl w:val="0"/>
        </w:rPr>
      </w:r>
    </w:p>
    <w:p w:rsidR="00000000" w:rsidDel="00000000" w:rsidP="00000000" w:rsidRDefault="00000000" w:rsidRPr="00000000" w14:paraId="0000051A">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proposal signee par le client. Les fonctions *ForTrade des deux contrats de</w:t>
      </w:r>
      <w:r w:rsidDel="00000000" w:rsidR="00000000" w:rsidRPr="00000000">
        <w:rPr>
          <w:rtl w:val="0"/>
        </w:rPr>
      </w:r>
    </w:p>
    <w:p w:rsidR="00000000" w:rsidDel="00000000" w:rsidP="00000000" w:rsidRDefault="00000000" w:rsidRPr="00000000" w14:paraId="0000051B">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jetons ne sont atteignables que si la transaction cible "dvp".</w:t>
      </w:r>
      <w:r w:rsidDel="00000000" w:rsidR="00000000" w:rsidRPr="00000000">
        <w:rPr>
          <w:rtl w:val="0"/>
        </w:rPr>
      </w:r>
    </w:p>
    <w:p w:rsidR="00000000" w:rsidDel="00000000" w:rsidP="00000000" w:rsidRDefault="00000000" w:rsidRPr="00000000" w14:paraId="0000051C">
      <w:pPr>
        <w:keepNext w:val="1"/>
        <w:spacing w:after="0" w:before="0" w:line="240" w:lineRule="auto"/>
        <w:jc w:val="left"/>
        <w:rPr/>
      </w:pPr>
      <w:r w:rsidDel="00000000" w:rsidR="00000000" w:rsidRPr="00000000">
        <w:rPr>
          <w:rtl w:val="0"/>
        </w:rPr>
      </w:r>
    </w:p>
    <w:p w:rsidR="00000000" w:rsidDel="00000000" w:rsidP="00000000" w:rsidRDefault="00000000" w:rsidRPr="00000000" w14:paraId="0000051D">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static void requireInvokedViaDvp(final Context ctx, final String operation) {</w:t>
      </w:r>
      <w:r w:rsidDel="00000000" w:rsidR="00000000" w:rsidRPr="00000000">
        <w:rPr>
          <w:rtl w:val="0"/>
        </w:rPr>
      </w:r>
    </w:p>
    <w:p w:rsidR="00000000" w:rsidDel="00000000" w:rsidP="00000000" w:rsidRDefault="00000000" w:rsidRPr="00000000" w14:paraId="0000051E">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final SignedProposal signed = ctx.getStub().getSignedProposal();</w:t>
      </w:r>
      <w:r w:rsidDel="00000000" w:rsidR="00000000" w:rsidRPr="00000000">
        <w:rPr>
          <w:rtl w:val="0"/>
        </w:rPr>
      </w:r>
    </w:p>
    <w:p w:rsidR="00000000" w:rsidDel="00000000" w:rsidP="00000000" w:rsidRDefault="00000000" w:rsidRPr="00000000" w14:paraId="0000051F">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final ChannelHeader channelHeader = ChannelHeader.parseFrom(Header.parseFrom(</w:t>
      </w:r>
      <w:r w:rsidDel="00000000" w:rsidR="00000000" w:rsidRPr="00000000">
        <w:rPr>
          <w:rtl w:val="0"/>
        </w:rPr>
      </w:r>
    </w:p>
    <w:p w:rsidR="00000000" w:rsidDel="00000000" w:rsidP="00000000" w:rsidRDefault="00000000" w:rsidRPr="00000000" w14:paraId="00000520">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Proposal.parseFrom(signed.getProposalBytes()).getHeader()).getChannelHeader());</w:t>
      </w:r>
      <w:r w:rsidDel="00000000" w:rsidR="00000000" w:rsidRPr="00000000">
        <w:rPr>
          <w:rtl w:val="0"/>
        </w:rPr>
      </w:r>
    </w:p>
    <w:p w:rsidR="00000000" w:rsidDel="00000000" w:rsidP="00000000" w:rsidRDefault="00000000" w:rsidRPr="00000000" w14:paraId="00000521">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final String target = ChaincodeHeaderExtension.parseFrom(</w:t>
      </w:r>
      <w:r w:rsidDel="00000000" w:rsidR="00000000" w:rsidRPr="00000000">
        <w:rPr>
          <w:rtl w:val="0"/>
        </w:rPr>
      </w:r>
    </w:p>
    <w:p w:rsidR="00000000" w:rsidDel="00000000" w:rsidP="00000000" w:rsidRDefault="00000000" w:rsidRPr="00000000" w14:paraId="00000522">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channelHeader.getExtension()).getChaincodeId().getName();</w:t>
      </w:r>
      <w:r w:rsidDel="00000000" w:rsidR="00000000" w:rsidRPr="00000000">
        <w:rPr>
          <w:rtl w:val="0"/>
        </w:rPr>
      </w:r>
    </w:p>
    <w:p w:rsidR="00000000" w:rsidDel="00000000" w:rsidP="00000000" w:rsidRDefault="00000000" w:rsidRPr="00000000" w14:paraId="00000523">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if (!DVP_CHAINCODE.equals(target)) {</w:t>
      </w:r>
      <w:r w:rsidDel="00000000" w:rsidR="00000000" w:rsidRPr="00000000">
        <w:rPr>
          <w:rtl w:val="0"/>
        </w:rPr>
      </w:r>
    </w:p>
    <w:p w:rsidR="00000000" w:rsidDel="00000000" w:rsidP="00000000" w:rsidRDefault="00000000" w:rsidRPr="00000000" w14:paraId="00000524">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throw new ChaincodeException(String.format(</w:t>
      </w:r>
      <w:r w:rsidDel="00000000" w:rsidR="00000000" w:rsidRPr="00000000">
        <w:rPr>
          <w:rtl w:val="0"/>
        </w:rPr>
      </w:r>
    </w:p>
    <w:p w:rsidR="00000000" w:rsidDel="00000000" w:rsidP="00000000" w:rsidRDefault="00000000" w:rsidRPr="00000000" w14:paraId="00000525">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"%s is only invocable through the dvp coordinator; the signed proposal"</w:t>
      </w:r>
      <w:r w:rsidDel="00000000" w:rsidR="00000000" w:rsidRPr="00000000">
        <w:rPr>
          <w:rtl w:val="0"/>
        </w:rPr>
      </w:r>
    </w:p>
    <w:p w:rsidR="00000000" w:rsidDel="00000000" w:rsidP="00000000" w:rsidRDefault="00000000" w:rsidRPr="00000000" w14:paraId="00000526">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 " targets '%s'", operation, target), "UNAUTHORIZED");</w:t>
      </w:r>
      <w:r w:rsidDel="00000000" w:rsidR="00000000" w:rsidRPr="00000000">
        <w:rPr>
          <w:rtl w:val="0"/>
        </w:rPr>
      </w:r>
    </w:p>
    <w:p w:rsidR="00000000" w:rsidDel="00000000" w:rsidP="00000000" w:rsidRDefault="00000000" w:rsidRPr="00000000" w14:paraId="00000527">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    }</w:t>
      </w:r>
      <w:r w:rsidDel="00000000" w:rsidR="00000000" w:rsidRPr="00000000">
        <w:rPr>
          <w:rtl w:val="0"/>
        </w:rPr>
      </w:r>
    </w:p>
    <w:p w:rsidR="00000000" w:rsidDel="00000000" w:rsidP="00000000" w:rsidRDefault="00000000" w:rsidRPr="00000000" w14:paraId="00000528">
      <w:pPr>
        <w:keepNext w:val="1"/>
        <w:spacing w:after="0" w:before="0" w:line="240" w:lineRule="auto"/>
        <w:jc w:val="left"/>
        <w:rPr/>
      </w:pPr>
      <w:r w:rsidDel="00000000" w:rsidR="00000000" w:rsidRPr="00000000">
        <w:rPr>
          <w:rFonts w:ascii="Consolas" w:cs="Consolas" w:eastAsia="Consolas" w:hAnsi="Consolas"/>
          <w:b w:val="0"/>
          <w:bCs w:val="0"/>
          <w:sz w:val="14"/>
          <w:szCs w:val="14"/>
          <w:rtl w:val="0"/>
        </w:rPr>
        <w:t xml:space="preserve">}</w:t>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Figure 5.3 - Excerpts of DvPContract.executeSettlement and ProposalGuard.requireInvokedViaDvp.</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both"/>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two adversarial probes are documented in the same numerical form. The evidence pack records the balances on either side of the one-legged execution attempt and of the replay attempt, and in both cases the call is refused while all four balances stay unchanged. The securities contract answers that transferForTrade "is only invocable through the dvp coordinator; the signed proposal targets 'bond'" and returns UNAUTHORIZED - the caller guard of Figure 5.3 observed at runtime - while the replay is refused as an invalid state transition and the trade still reads SETTLED. Because both probes were captured against the settled trade at a later point in the ledger's life, their absolute balances differ from those in Table 5.5; what they establish is that every delta is zero.</w:t>
      </w:r>
      <w:r w:rsidDel="00000000" w:rsidR="00000000" w:rsidRPr="00000000">
        <w:rPr>
          <w:rtl w:val="0"/>
        </w:rPr>
      </w:r>
    </w:p>
    <w:p w:rsidR="00000000" w:rsidDel="00000000" w:rsidP="00000000" w:rsidRDefault="00000000" w:rsidRPr="00000000" w14:paraId="0000052B">
      <w:pPr>
        <w:rPr/>
      </w:pPr>
      <w:r w:rsidDel="00000000" w:rsidR="00000000" w:rsidRPr="00000000">
        <w:rPr>
          <w:rFonts w:ascii="Times New Roman" w:cs="Times New Roman" w:eastAsia="Times New Roman" w:hAnsi="Times New Roman"/>
          <w:i w:val="0"/>
          <w:iCs w:val="0"/>
          <w:sz w:val="22"/>
          <w:szCs w:val="22"/>
          <w:rtl w:val="0"/>
        </w:rPr>
        <w:t xml:space="preserve">The source code, the deployment scripts and the test suite are published at </w:t>
      </w:r>
      <w:r w:rsidDel="00000000" w:rsidR="00000000" w:rsidRPr="00000000">
        <w:rPr>
          <w:i w:val="1"/>
          <w:iCs w:val="1"/>
          <w:sz w:val="22"/>
          <w:szCs w:val="22"/>
          <w:rtl w:val="0"/>
        </w:rPr>
        <w:t xml:space="preserve">https://github.com/Lapocalypsie/POC_THESIS</w:t>
      </w:r>
      <w:r w:rsidDel="00000000" w:rsidR="00000000" w:rsidRPr="00000000">
        <w:rPr>
          <w:rFonts w:ascii="Times New Roman" w:cs="Times New Roman" w:eastAsia="Times New Roman" w:hAnsi="Times New Roman"/>
          <w:i w:val="1"/>
          <w:iCs w:val="1"/>
          <w:sz w:val="22"/>
          <w:szCs w:val="22"/>
          <w:rtl w:val="0"/>
        </w:rPr>
        <w:t xml:space="preserve">.</w:t>
      </w:r>
      <w:r w:rsidDel="00000000" w:rsidR="00000000" w:rsidRPr="00000000">
        <w:rPr>
          <w:rFonts w:ascii="Times New Roman" w:cs="Times New Roman" w:eastAsia="Times New Roman" w:hAnsi="Times New Roman"/>
          <w:i w:val="0"/>
          <w:iCs w:val="0"/>
          <w:sz w:val="22"/>
          <w:szCs w:val="22"/>
          <w:rtl w:val="0"/>
        </w:rPr>
        <w:t xml:space="preserve"> The README states the Fabric version, the topology of the test network, the deployment commands and the single command that runs the ten tests. A reader can therefore reproduce Tables 5.3 to 5.5 without asking for anything further.</w:t>
      </w:r>
      <w:r w:rsidDel="00000000" w:rsidR="00000000" w:rsidRPr="00000000">
        <w:rPr>
          <w:rtl w:val="0"/>
        </w:rPr>
      </w:r>
    </w:p>
    <w:p w:rsidR="00000000" w:rsidDel="00000000" w:rsidP="00000000" w:rsidRDefault="00000000" w:rsidRPr="00000000" w14:paraId="0000052C">
      <w:pPr>
        <w:rPr/>
      </w:pPr>
      <w:r w:rsidDel="00000000" w:rsidR="00000000" w:rsidRPr="00000000">
        <w:rPr>
          <w:rFonts w:ascii="Times New Roman" w:cs="Times New Roman" w:eastAsia="Times New Roman" w:hAnsi="Times New Roman"/>
          <w:i w:val="0"/>
          <w:iCs w:val="0"/>
          <w:sz w:val="22"/>
          <w:szCs w:val="22"/>
          <w:rtl w:val="0"/>
        </w:rPr>
        <w:t xml:space="preserve">Two limits remain on this evidence. The run covers one bounded configuration on a local test network. It shows that the design can be built and run under the assumptions implemented, and says nothing about behaviour in production, at volume or under stress. No third party has executed it again. The repository makes such a rerun possible but is no substitute for it. Tables 5.3 and 5.4 should therefore be read together with the artefacts in Section 5.4, which is what separates a run that is documented from one that is merely reported.</w:t>
      </w:r>
      <w:r w:rsidDel="00000000" w:rsidR="00000000" w:rsidRPr="00000000">
        <w:rPr>
          <w:rtl w:val="0"/>
        </w:rPr>
      </w:r>
    </w:p>
    <w:p w:rsidR="00000000" w:rsidDel="00000000" w:rsidP="00000000" w:rsidRDefault="00000000" w:rsidRPr="00000000" w14:paraId="0000052D">
      <w:pPr>
        <w:pStyle w:val="Heading2"/>
        <w:numPr>
          <w:ilvl w:val="1"/>
          <w:numId w:val="1"/>
        </w:numPr>
        <w:ind w:left="0" w:firstLine="0"/>
        <w:rPr/>
      </w:pPr>
      <w:bookmarkStart w:colFirst="0" w:colLast="0" w:name="_suvgy398p4p2" w:id="48"/>
      <w:bookmarkEnd w:id="48"/>
      <w:r w:rsidDel="00000000" w:rsidR="00000000" w:rsidRPr="00000000">
        <w:rPr>
          <w:rtl w:val="0"/>
        </w:rPr>
        <w:t xml:space="preserve">Evaluation of H1-H3 and consequence for H0</w:t>
      </w:r>
    </w:p>
    <w:p w:rsidR="00000000" w:rsidDel="00000000" w:rsidP="00000000" w:rsidRDefault="00000000" w:rsidRPr="00000000" w14:paraId="0000052E">
      <w:pPr>
        <w:rPr/>
      </w:pPr>
      <w:r w:rsidDel="00000000" w:rsidR="00000000" w:rsidRPr="00000000">
        <w:rPr>
          <w:rFonts w:ascii="Times New Roman" w:cs="Times New Roman" w:eastAsia="Times New Roman" w:hAnsi="Times New Roman"/>
          <w:i w:val="0"/>
          <w:iCs w:val="0"/>
          <w:sz w:val="22"/>
          <w:szCs w:val="22"/>
          <w:rtl w:val="0"/>
        </w:rPr>
        <w:t xml:space="preserve">The hypothesis test draws on three distinct objects. H1 relies on the core-requirement matrix of Table 4.10, H2 on the mechanism properties of Table 4.9, and H3 on the construction results reported for B2 together with the mechanism-level match between B1, B3 and the pilots. A pilot counts as an instance of a family only where its documented coordination design carries that family's distinguishing property. A shared aim, or the use of DLT, is not enough.</w:t>
      </w:r>
      <w:r w:rsidDel="00000000" w:rsidR="00000000" w:rsidRPr="00000000">
        <w:rPr>
          <w:rtl w:val="0"/>
        </w:rPr>
      </w:r>
    </w:p>
    <w:tbl>
      <w:tblPr>
        <w:tblStyle w:val="Table2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814"/>
        <w:gridCol w:w="1984"/>
        <w:gridCol w:w="1474"/>
        <w:gridCol w:w="2778"/>
        <w:tblGridChange w:id="0">
          <w:tblGrid>
            <w:gridCol w:w="1020"/>
            <w:gridCol w:w="1814"/>
            <w:gridCol w:w="1984"/>
            <w:gridCol w:w="1474"/>
            <w:gridCol w:w="2778"/>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52F">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Variant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530">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Evidence</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531">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Mechanism match</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532">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Evidential level</w:t>
            </w:r>
            <w:r w:rsidDel="00000000" w:rsidR="00000000" w:rsidRPr="00000000">
              <w:rPr>
                <w:rtl w:val="0"/>
              </w:rPr>
            </w:r>
          </w:p>
        </w:tc>
        <w:tc>
          <w:tcPr>
            <w:shd w:fill="d9d9d9" w:val="clear"/>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sz w:val="18"/>
                <w:szCs w:val="18"/>
                <w:rtl w:val="0"/>
              </w:rPr>
              <w:t xml:space="preserve">Locator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3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3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Helvetia I, PoC2 configuration (SDX-SIC link) [12]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3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RTGS link with institutional instruction and confirmation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3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Simulated pilot; full mechanism match</w:t>
            </w:r>
            <w:r w:rsidDel="00000000" w:rsidR="00000000" w:rsidRPr="00000000">
              <w:rPr>
                <w:rtl w:val="0"/>
              </w:rPr>
            </w:r>
          </w:p>
        </w:tc>
        <w:tc>
          <w:tcPr/>
          <w:p w:rsidR="00000000" w:rsidDel="00000000" w:rsidP="00000000" w:rsidRDefault="00000000" w:rsidRPr="00000000" w14:paraId="00000538">
            <w:pPr>
              <w:rPr/>
            </w:pPr>
            <w:r w:rsidDel="00000000" w:rsidR="00000000" w:rsidRPr="00000000">
              <w:rPr>
                <w:rFonts w:ascii="Times New Roman" w:cs="Times New Roman" w:eastAsia="Times New Roman" w:hAnsi="Times New Roman"/>
                <w:b w:val="0"/>
                <w:bCs w:val="0"/>
                <w:sz w:val="18"/>
                <w:szCs w:val="18"/>
                <w:rtl w:val="0"/>
              </w:rPr>
              <w:t xml:space="preserve">Sec. 3.4 Solution designs, second PoC, p. 20 (Graph 5); comparison in Sec. 4, pp. 21-22, and Table 1, p. 22</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3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3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Eurosystem exploratory work [16]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3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Trigger Solution: a DLT infrastructure acting as a technical bridge between T2 and market DLT platforms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3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Real-value settlement in TARGET; full mechanism match</w:t>
            </w:r>
            <w:r w:rsidDel="00000000" w:rsidR="00000000" w:rsidRPr="00000000">
              <w:rPr>
                <w:rtl w:val="0"/>
              </w:rPr>
            </w:r>
          </w:p>
        </w:tc>
        <w:tc>
          <w:tcPr/>
          <w:p w:rsidR="00000000" w:rsidDel="00000000" w:rsidP="00000000" w:rsidRDefault="00000000" w:rsidRPr="00000000" w14:paraId="0000053D">
            <w:pPr>
              <w:rPr/>
            </w:pPr>
            <w:r w:rsidDel="00000000" w:rsidR="00000000" w:rsidRPr="00000000">
              <w:rPr>
                <w:rFonts w:ascii="Times New Roman" w:cs="Times New Roman" w:eastAsia="Times New Roman" w:hAnsi="Times New Roman"/>
                <w:b w:val="0"/>
                <w:bCs w:val="0"/>
                <w:sz w:val="18"/>
                <w:szCs w:val="18"/>
                <w:rtl w:val="0"/>
              </w:rPr>
              <w:t xml:space="preserve">Sec. 3, Table 1, p. 7, and p. 8, nn. 19 and 22 (escrow used only by the other two solutions); aggregate settlement figures in the Foreword, p. 2, and Sec. 1, p. 3; settlement in real central bank money in the T2 production environment, Sec. 4, p. 9</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3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3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Pontes strategy [22]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Short-term DLT-to-TARGET interoperability track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Approved plan; pilot announced for end-Q3 2026; not execution evidence</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Fonts w:ascii="Times New Roman" w:cs="Times New Roman" w:eastAsia="Times New Roman" w:hAnsi="Times New Roman"/>
                <w:b w:val="0"/>
                <w:bCs w:val="0"/>
                <w:sz w:val="18"/>
                <w:szCs w:val="18"/>
                <w:rtl w:val="0"/>
              </w:rPr>
              <w:t xml:space="preserve">ECB press release, 1 July 2025</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4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TIPS Hash-Link [16]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Hash- and time-locked conditional transfer across two systems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Exploration; full mechanism match, partial D1 match</w:t>
            </w:r>
            <w:r w:rsidDel="00000000" w:rsidR="00000000" w:rsidRPr="00000000">
              <w:rPr>
                <w:rtl w:val="0"/>
              </w:rPr>
            </w:r>
          </w:p>
        </w:tc>
        <w:tc>
          <w:tcPr/>
          <w:p w:rsidR="00000000" w:rsidDel="00000000" w:rsidP="00000000" w:rsidRDefault="00000000" w:rsidRPr="00000000" w14:paraId="00000547">
            <w:pPr>
              <w:rPr/>
            </w:pPr>
            <w:r w:rsidDel="00000000" w:rsidR="00000000" w:rsidRPr="00000000">
              <w:rPr>
                <w:rFonts w:ascii="Times New Roman" w:cs="Times New Roman" w:eastAsia="Times New Roman" w:hAnsi="Times New Roman"/>
                <w:b w:val="0"/>
                <w:bCs w:val="0"/>
                <w:sz w:val="18"/>
                <w:szCs w:val="18"/>
                <w:rtl w:val="0"/>
              </w:rPr>
              <w:t xml:space="preserve">Sec. 3, p. 7 (solution description; a TIPS-like platform set up for the exercise); Sec. 3, p. 8, body text (all-or-none settlement) and n. 23 (HTLC definition)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4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Son and Jang formal model [9]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HTLC-based atomic-swap model and failure analysis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4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Analytical model; not deployment</w:t>
            </w:r>
            <w:r w:rsidDel="00000000" w:rsidR="00000000" w:rsidRPr="00000000">
              <w:rPr>
                <w:rtl w:val="0"/>
              </w:rPr>
            </w:r>
          </w:p>
        </w:tc>
        <w:tc>
          <w:tcPr/>
          <w:p w:rsidR="00000000" w:rsidDel="00000000" w:rsidP="00000000" w:rsidRDefault="00000000" w:rsidRPr="00000000" w14:paraId="0000054C">
            <w:pPr>
              <w:rPr/>
            </w:pPr>
            <w:r w:rsidDel="00000000" w:rsidR="00000000" w:rsidRPr="00000000">
              <w:rPr>
                <w:rFonts w:ascii="Times New Roman" w:cs="Times New Roman" w:eastAsia="Times New Roman" w:hAnsi="Times New Roman"/>
                <w:b w:val="0"/>
                <w:bCs w:val="0"/>
                <w:sz w:val="18"/>
                <w:szCs w:val="18"/>
                <w:rtl w:val="0"/>
              </w:rPr>
              <w:t xml:space="preserve">Sec. 2.2, pp. 3-4 (HTLC credited to Poon and Dryja; the asymmetry that always exposes the party who learns the secret late; the unilateral premium credited to Han et al.); Sec. 2.3, p. 5 (Herlihy's atomic-swap protocol and its omission of economic incentives); Secs. 3.2-3.4, pp. 8-10 (timelock preference, seller's signing preference, the premium model); Sec. 4.1, pp. 12-14 (KRX bond calibration)</w:t>
            </w:r>
            <w:r w:rsidDel="00000000" w:rsidR="00000000" w:rsidRPr="00000000">
              <w:rPr>
                <w:rtl w:val="0"/>
              </w:rPr>
            </w:r>
          </w:p>
        </w:tc>
      </w:tr>
    </w:tbl>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5.6 - Pilot mapping under the mechanism-validity criterion.</w:t>
      </w:r>
    </w:p>
    <w:p w:rsidR="00000000" w:rsidDel="00000000" w:rsidP="00000000" w:rsidRDefault="00000000" w:rsidRPr="00000000" w14:paraId="0000054E">
      <w:pPr>
        <w:rPr/>
      </w:pPr>
      <w:r w:rsidDel="00000000" w:rsidR="00000000" w:rsidRPr="00000000">
        <w:rPr>
          <w:rFonts w:ascii="Times New Roman" w:cs="Times New Roman" w:eastAsia="Times New Roman" w:hAnsi="Times New Roman"/>
          <w:i w:val="0"/>
          <w:iCs w:val="0"/>
          <w:sz w:val="22"/>
          <w:szCs w:val="22"/>
          <w:rtl w:val="0"/>
        </w:rPr>
        <w:t xml:space="preserve">Every row carries the locator of the passage on which its verdict rests, so that a reader can check the mechanism against the source and not merely against the name of the project. A report counts as an instance of a family only where the passage describes the coordination mechanism itself. A project name or a family resemblance does not count. The mapping remains what it is, documentary evidence that a mechanism has been realised in a deployed setting. It never becomes a claim that the cited arrangement was designed against the requirement set of this thesis.</w:t>
      </w:r>
      <w:r w:rsidDel="00000000" w:rsidR="00000000" w:rsidRPr="00000000">
        <w:rPr>
          <w:rtl w:val="0"/>
        </w:rPr>
      </w:r>
    </w:p>
    <w:p w:rsidR="00000000" w:rsidDel="00000000" w:rsidP="00000000" w:rsidRDefault="00000000" w:rsidRPr="00000000" w14:paraId="0000054F">
      <w:pPr>
        <w:rPr/>
      </w:pPr>
      <w:r w:rsidDel="00000000" w:rsidR="00000000" w:rsidRPr="00000000">
        <w:rPr>
          <w:rFonts w:ascii="Times New Roman" w:cs="Times New Roman" w:eastAsia="Times New Roman" w:hAnsi="Times New Roman"/>
          <w:i w:val="0"/>
          <w:iCs w:val="0"/>
          <w:sz w:val="22"/>
          <w:szCs w:val="22"/>
          <w:rtl w:val="0"/>
        </w:rPr>
        <w:t xml:space="preserve">The asymmetry between the two families is visible inside a single source. Only the Trigger Solution ran without an escrow account: both DL3S and TIPS Hash-Link operated on exploratory liquidity with central bank money held in escrow in TARGET Services ([16], p. 7, Table 1, and p. 8, notes 19 and 22), while the trials as a whole settled the cash leg in real central bank money in the T2 production environment (p. 9). The aggregate figure of nearly EUR 1.6 billion reported for the exercise as a whole (p. 2) therefore does not attach evenly to the three solutions, and the evidential levels recorded in Table 5.6 follow that distinction rather than the headline.</w:t>
      </w:r>
      <w:r w:rsidDel="00000000" w:rsidR="00000000" w:rsidRPr="00000000">
        <w:rPr>
          <w:rtl w:val="0"/>
        </w:rPr>
      </w:r>
    </w:p>
    <w:tbl>
      <w:tblPr>
        <w:tblStyle w:val="Table2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2041"/>
        <w:gridCol w:w="5386"/>
        <w:tblGridChange w:id="0">
          <w:tblGrid>
            <w:gridCol w:w="1644"/>
            <w:gridCol w:w="2041"/>
            <w:gridCol w:w="5386"/>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550">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551">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Verdict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552">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Evidence and scope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5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H1 - Multiplicity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Upheld under the primary reading; reduced under the strict reading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B1 and B2 satisfy all core requirements. B3 is admitted only when the qualifications on R01, R05 and R14 are accepted. At least two admissible designs remain under either reading.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5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H2 - Non-equivalence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Upheld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Coordinator recovery, platform atomic commit and linked cryptographic locks have non-reducible states, guarantors and failure semantics.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5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H3 - Realisability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Upheld for B2 and B1; partial for B3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B2 has construction evidence; B1 has deployment-level corroboration; B3 has exploration-level mechanism evidence and a partial D1 match.</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5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H0 - Determination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Rejected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5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B1 and B2 alone are admissible and structurally non-equivalent, so the requirements do not identify one architecture even under the strict sensitivity reading.</w:t>
            </w:r>
            <w:r w:rsidDel="00000000" w:rsidR="00000000" w:rsidRPr="00000000">
              <w:rPr>
                <w:rtl w:val="0"/>
              </w:rPr>
            </w:r>
          </w:p>
        </w:tc>
      </w:tr>
    </w:tbl>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5.7 - Hypothesis verdicts and their evidential scope.</w:t>
      </w:r>
    </w:p>
    <w:p w:rsidR="00000000" w:rsidDel="00000000" w:rsidP="00000000" w:rsidRDefault="00000000" w:rsidRPr="00000000" w14:paraId="00000560">
      <w:pPr>
        <w:rPr/>
      </w:pPr>
      <w:r w:rsidDel="00000000" w:rsidR="00000000" w:rsidRPr="00000000">
        <w:rPr>
          <w:rFonts w:ascii="Times New Roman" w:cs="Times New Roman" w:eastAsia="Times New Roman" w:hAnsi="Times New Roman"/>
          <w:i w:val="0"/>
          <w:iCs w:val="0"/>
          <w:sz w:val="22"/>
          <w:szCs w:val="22"/>
          <w:rtl w:val="0"/>
        </w:rPr>
        <w:t xml:space="preserve">The conclusion does not depend on B3. Under the primary, outcome-level reading all three specifications remain admissible, although B3 is conditional and has not been shown to be realisable. Under the stricter reading B3 fails, on legal finality (R01), on atomicity (R05) or on central-bank intervention (R14). B1 and B2 still satisfy the common core and still enforce DvP through mechanisms that are not equivalent. Two alternatives are enough to reject architectural determination.</w:t>
      </w:r>
      <w:r w:rsidDel="00000000" w:rsidR="00000000" w:rsidRPr="00000000">
        <w:rPr>
          <w:rtl w:val="0"/>
        </w:rPr>
      </w:r>
    </w:p>
    <w:p w:rsidR="00000000" w:rsidDel="00000000" w:rsidP="00000000" w:rsidRDefault="00000000" w:rsidRPr="00000000" w14:paraId="00000561">
      <w:pPr>
        <w:pStyle w:val="Heading2"/>
        <w:numPr>
          <w:ilvl w:val="1"/>
          <w:numId w:val="1"/>
        </w:numPr>
        <w:ind w:left="0" w:firstLine="0"/>
        <w:rPr/>
      </w:pPr>
      <w:bookmarkStart w:colFirst="0" w:colLast="0" w:name="_4s60xw5df5oa" w:id="49"/>
      <w:bookmarkEnd w:id="49"/>
      <w:r w:rsidDel="00000000" w:rsidR="00000000" w:rsidRPr="00000000">
        <w:rPr>
          <w:rtl w:val="0"/>
        </w:rPr>
        <w:t xml:space="preserve">Sensitivity analysis and validity limits</w:t>
      </w:r>
    </w:p>
    <w:p w:rsidR="00000000" w:rsidDel="00000000" w:rsidP="00000000" w:rsidRDefault="00000000" w:rsidRPr="00000000" w14:paraId="00000562">
      <w:pPr>
        <w:rPr/>
      </w:pPr>
      <w:r w:rsidDel="00000000" w:rsidR="00000000" w:rsidRPr="00000000">
        <w:rPr>
          <w:rFonts w:ascii="Times New Roman" w:cs="Times New Roman" w:eastAsia="Times New Roman" w:hAnsi="Times New Roman"/>
          <w:i w:val="0"/>
          <w:iCs w:val="0"/>
          <w:sz w:val="22"/>
          <w:szCs w:val="22"/>
          <w:rtl w:val="0"/>
        </w:rPr>
        <w:t xml:space="preserve">Construct validity rests on the decision to state requirements as outcomes, in keeping with the outcome-based language of the PFMI, which with a few exceptions do not prescribe a specific tool or arrangement [11][23]. Written that way, the requirements let several mechanisms qualify. Multiplicity is not inferred from that choice alone, however, because each candidate must still name a concrete mechanism for every core row. The strict reading of B3 shows what happens when the threshold moves, and the central conclusion survives it.</w:t>
      </w:r>
      <w:r w:rsidDel="00000000" w:rsidR="00000000" w:rsidRPr="00000000">
        <w:rPr>
          <w:rtl w:val="0"/>
        </w:rPr>
      </w:r>
    </w:p>
    <w:p w:rsidR="00000000" w:rsidDel="00000000" w:rsidP="00000000" w:rsidRDefault="00000000" w:rsidRPr="00000000" w14:paraId="00000563">
      <w:pPr>
        <w:rPr/>
      </w:pPr>
      <w:r w:rsidDel="00000000" w:rsidR="00000000" w:rsidRPr="00000000">
        <w:rPr>
          <w:rFonts w:ascii="Times New Roman" w:cs="Times New Roman" w:eastAsia="Times New Roman" w:hAnsi="Times New Roman"/>
          <w:i w:val="0"/>
          <w:iCs w:val="0"/>
          <w:sz w:val="22"/>
          <w:szCs w:val="22"/>
          <w:rtl w:val="0"/>
        </w:rPr>
        <w:t xml:space="preserve">As for internal validity, the work of one coder is what limits it. Fixing the rules beforehand, returning for a second pass after an interval, keeping every decision traceable and having the supervisor review a sample all made the coding more dependable, but independent double coding they are not. External validity reaches no further than permissioned, regulated, domestic corporate-bond settlement. One more dependence has to be acknowledged. The documentary validation relies in part on the very corpus from which the requirements and the candidate families were built. Only for B2 does separate proof-of-concept evidence loosen that dependence. The execution artefacts in Section 5.4 let a reader inspect the construction result, but a single execution environment is not an independent replication. These limits qualify how strong the evidence is and how far it carries. None of them is a reason to replace it with detail that nothing supports.</w:t>
      </w:r>
      <w:r w:rsidDel="00000000" w:rsidR="00000000" w:rsidRPr="00000000">
        <w:rPr>
          <w:rtl w:val="0"/>
        </w:rPr>
      </w:r>
    </w:p>
    <w:p w:rsidR="00000000" w:rsidDel="00000000" w:rsidP="00000000" w:rsidRDefault="00000000" w:rsidRPr="00000000" w14:paraId="00000564">
      <w:pPr>
        <w:pStyle w:val="Heading2"/>
        <w:numPr>
          <w:ilvl w:val="1"/>
          <w:numId w:val="1"/>
        </w:numPr>
        <w:ind w:left="0" w:firstLine="0"/>
        <w:rPr/>
      </w:pPr>
      <w:bookmarkStart w:colFirst="0" w:colLast="0" w:name="_tevwv0sia16e" w:id="50"/>
      <w:bookmarkEnd w:id="50"/>
      <w:r w:rsidDel="00000000" w:rsidR="00000000" w:rsidRPr="00000000">
        <w:rPr>
          <w:rtl w:val="0"/>
        </w:rPr>
        <w:t xml:space="preserve">Chapter summary</w:t>
      </w:r>
    </w:p>
    <w:p w:rsidR="00000000" w:rsidDel="00000000" w:rsidP="00000000" w:rsidRDefault="00000000" w:rsidRPr="00000000" w14:paraId="00000565">
      <w:pPr>
        <w:rPr/>
      </w:pPr>
      <w:r w:rsidDel="00000000" w:rsidR="00000000" w:rsidRPr="00000000">
        <w:rPr>
          <w:rFonts w:ascii="Times New Roman" w:cs="Times New Roman" w:eastAsia="Times New Roman" w:hAnsi="Times New Roman"/>
          <w:i w:val="0"/>
          <w:iCs w:val="0"/>
          <w:sz w:val="22"/>
          <w:szCs w:val="22"/>
          <w:rtl w:val="0"/>
        </w:rPr>
        <w:t xml:space="preserve">The integrated B2 specification was built as a bounded Fabric state machine. Ten runs were made in all, five scenarios and five adversarial or control probes, and in none of them was the DvP invariant broken. The pilot record backs B1 at the level of deployment. For B3 it goes as far as exploration and stops there. Once the sensitivity analysis has been taken into account, H1 amounts to a finding of at least two architectures, H2 confirms that the mechanisms are not equivalent, H3 is strongest where B1 and B2 are concerned, and H0 falls. Chapter 6 interprets this one consolidated evaluation without going back over its tables.</w:t>
      </w:r>
      <w:r w:rsidDel="00000000" w:rsidR="00000000" w:rsidRPr="00000000">
        <w:rPr>
          <w:rtl w:val="0"/>
        </w:rPr>
      </w:r>
    </w:p>
    <w:p w:rsidR="00000000" w:rsidDel="00000000" w:rsidP="00000000" w:rsidRDefault="00000000" w:rsidRPr="00000000" w14:paraId="00000566">
      <w:pPr>
        <w:pStyle w:val="Heading1"/>
        <w:numPr>
          <w:ilvl w:val="0"/>
          <w:numId w:val="1"/>
        </w:numPr>
        <w:spacing w:after="280" w:before="0" w:line="269" w:lineRule="auto"/>
        <w:ind w:left="0" w:right="0" w:firstLine="0"/>
        <w:jc w:val="left"/>
        <w:rPr/>
      </w:pPr>
      <w:bookmarkStart w:colFirst="0" w:colLast="0" w:name="_xbcinat33dvg" w:id="51"/>
      <w:bookmarkEnd w:id="51"/>
      <w:r w:rsidDel="00000000" w:rsidR="00000000" w:rsidRPr="00000000">
        <w:rPr>
          <w:rtl w:val="0"/>
        </w:rPr>
        <w:t xml:space="preserve">Discussion and Conclusion</w:t>
      </w:r>
    </w:p>
    <w:p w:rsidR="00000000" w:rsidDel="00000000" w:rsidP="00000000" w:rsidRDefault="00000000" w:rsidRPr="00000000" w14:paraId="00000567">
      <w:pPr>
        <w:rPr/>
      </w:pPr>
      <w:r w:rsidDel="00000000" w:rsidR="00000000" w:rsidRPr="00000000">
        <w:rPr>
          <w:rFonts w:ascii="Times New Roman" w:cs="Times New Roman" w:eastAsia="Times New Roman" w:hAnsi="Times New Roman"/>
          <w:i w:val="0"/>
          <w:iCs w:val="0"/>
          <w:sz w:val="22"/>
          <w:szCs w:val="22"/>
          <w:rtl w:val="0"/>
        </w:rPr>
        <w:t xml:space="preserve">The evaluation has shown that a single outcome-based requirement set can fence off a space of admissible architectures without choosing a point inside it. This final chapter answers the research questions, explains what settles the choice that remains, sets out the practical and theoretical implications, separates what the thesis contributes from what limits it, and points to further work. No new evidence is introduced.</w:t>
      </w:r>
      <w:r w:rsidDel="00000000" w:rsidR="00000000" w:rsidRPr="00000000">
        <w:rPr>
          <w:rtl w:val="0"/>
        </w:rPr>
      </w:r>
    </w:p>
    <w:p w:rsidR="00000000" w:rsidDel="00000000" w:rsidP="00000000" w:rsidRDefault="00000000" w:rsidRPr="00000000" w14:paraId="00000568">
      <w:pPr>
        <w:pStyle w:val="Heading2"/>
        <w:numPr>
          <w:ilvl w:val="1"/>
          <w:numId w:val="1"/>
        </w:numPr>
        <w:ind w:left="0" w:firstLine="0"/>
        <w:rPr/>
      </w:pPr>
      <w:bookmarkStart w:colFirst="0" w:colLast="0" w:name="_mmqjf2k1i9an" w:id="52"/>
      <w:bookmarkEnd w:id="52"/>
      <w:r w:rsidDel="00000000" w:rsidR="00000000" w:rsidRPr="00000000">
        <w:rPr>
          <w:rtl w:val="0"/>
        </w:rPr>
        <w:t xml:space="preserve">Answer to the research question and sub-questions</w:t>
      </w:r>
    </w:p>
    <w:p w:rsidR="00000000" w:rsidDel="00000000" w:rsidP="00000000" w:rsidRDefault="00000000" w:rsidRPr="00000000" w14:paraId="00000569">
      <w:pPr>
        <w:rPr/>
      </w:pPr>
      <w:r w:rsidDel="00000000" w:rsidR="00000000" w:rsidRPr="00000000">
        <w:rPr>
          <w:rFonts w:ascii="Times New Roman" w:cs="Times New Roman" w:eastAsia="Times New Roman" w:hAnsi="Times New Roman"/>
          <w:i w:val="0"/>
          <w:iCs w:val="0"/>
          <w:sz w:val="22"/>
          <w:szCs w:val="22"/>
          <w:rtl w:val="0"/>
        </w:rPr>
        <w:t xml:space="preserve">The main question was whether the requirements that apply to DvP settlement of tokenised corporate bonds in central bank money point to one architecture or admit several that are structurally distinct. The answer is that they admit several. B1 and B2 satisfy every core requirement under both readings, and they enforce DvP through mechanisms that cannot be reduced to one another. B3 is admissible as well under the primary, outcome-level reading, and drops out under a stricter reading of legal finality, liveness and central-bank intervention. Whichever reading is adopted, B1 and B2 by themselves are enough to settle the question, and the result therefore holds in both cases. The requirements make the design space smaller, but at no point do they single out one architecture.</w:t>
      </w:r>
      <w:r w:rsidDel="00000000" w:rsidR="00000000" w:rsidRPr="00000000">
        <w:rPr>
          <w:rtl w:val="0"/>
        </w:rPr>
      </w:r>
    </w:p>
    <w:p w:rsidR="00000000" w:rsidDel="00000000" w:rsidP="00000000" w:rsidRDefault="00000000" w:rsidRPr="00000000" w14:paraId="0000056A">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Answer to SQ1. </w:t>
      </w:r>
      <w:r w:rsidDel="00000000" w:rsidR="00000000" w:rsidRPr="00000000">
        <w:rPr>
          <w:rFonts w:ascii="Times New Roman" w:cs="Times New Roman" w:eastAsia="Times New Roman" w:hAnsi="Times New Roman"/>
          <w:sz w:val="22"/>
          <w:szCs w:val="22"/>
          <w:rtl w:val="0"/>
        </w:rPr>
        <w:t xml:space="preserve">The hybrid protocol, deductive on one side and inductive on the other, yields sixteen requirements. Eight of these, R01 to R07 and R14, are the core conditions on which admissibility depends. The rest are classed as Structural, Conditional or Secondary, and what they describe are the qualities of architectures that already deliver DvP in central bank money, together with the trade-offs that separate those architectures.</w:t>
      </w:r>
      <w:r w:rsidDel="00000000" w:rsidR="00000000" w:rsidRPr="00000000">
        <w:rPr>
          <w:rtl w:val="0"/>
        </w:rPr>
      </w:r>
    </w:p>
    <w:p w:rsidR="00000000" w:rsidDel="00000000" w:rsidP="00000000" w:rsidRDefault="00000000" w:rsidRPr="00000000" w14:paraId="0000056B">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Answer to SQ2. </w:t>
      </w:r>
      <w:r w:rsidDel="00000000" w:rsidR="00000000" w:rsidRPr="00000000">
        <w:rPr>
          <w:rFonts w:ascii="Times New Roman" w:cs="Times New Roman" w:eastAsia="Times New Roman" w:hAnsi="Times New Roman"/>
          <w:sz w:val="22"/>
          <w:szCs w:val="22"/>
          <w:rtl w:val="0"/>
        </w:rPr>
        <w:t xml:space="preserve">Whichever reading is used, no fewer than two structurally distinct families satisfy the common core. One is B1, where an accountable trigger coordinates a cash leg that remains off-ledger in RTGS. The other is B2, where securities and wCBDC are committed together on one platform. Under the primary reading B3 qualifies too, its two ledgers being bound by a shared secret and by nested time windows. The families owe their structural distinctness to D3, the coordination mechanism. D1, D2, D4 and D5 describe the deployment that surrounds it.</w:t>
      </w:r>
      <w:r w:rsidDel="00000000" w:rsidR="00000000" w:rsidRPr="00000000">
        <w:rPr>
          <w:rtl w:val="0"/>
        </w:rPr>
      </w:r>
    </w:p>
    <w:p w:rsidR="00000000" w:rsidDel="00000000" w:rsidP="00000000" w:rsidRDefault="00000000" w:rsidRPr="00000000" w14:paraId="0000056C">
      <w:pPr>
        <w:spacing w:after="140" w:before="60" w:lineRule="auto"/>
        <w:ind w:left="425" w:right="227" w:firstLine="0"/>
        <w:rPr/>
      </w:pPr>
      <w:r w:rsidDel="00000000" w:rsidR="00000000" w:rsidRPr="00000000">
        <w:rPr>
          <w:rFonts w:ascii="Times New Roman" w:cs="Times New Roman" w:eastAsia="Times New Roman" w:hAnsi="Times New Roman"/>
          <w:b w:val="1"/>
          <w:bCs w:val="1"/>
          <w:sz w:val="22"/>
          <w:szCs w:val="22"/>
          <w:rtl w:val="0"/>
        </w:rPr>
        <w:t xml:space="preserve">Answer to SQ3. </w:t>
      </w:r>
      <w:r w:rsidDel="00000000" w:rsidR="00000000" w:rsidRPr="00000000">
        <w:rPr>
          <w:rFonts w:ascii="Times New Roman" w:cs="Times New Roman" w:eastAsia="Times New Roman" w:hAnsi="Times New Roman"/>
          <w:b w:val="0"/>
          <w:bCs w:val="0"/>
          <w:sz w:val="22"/>
          <w:szCs w:val="22"/>
          <w:rtl w:val="0"/>
        </w:rPr>
        <w:t xml:space="preserve">The proof-of-concept results in Section 5.4 show that B2 can be built. Institutional pilots corroborate B1 at the level of deployment. For B3 there is exploration-level evidence and a partial match, nothing more. The passage from admissible on paper to workable in practice is thus well supported for B1, demonstrated by construction for B2 and not yet established for B3.</w:t>
      </w:r>
      <w:r w:rsidDel="00000000" w:rsidR="00000000" w:rsidRPr="00000000">
        <w:rPr>
          <w:rtl w:val="0"/>
        </w:rPr>
      </w:r>
    </w:p>
    <w:p w:rsidR="00000000" w:rsidDel="00000000" w:rsidP="00000000" w:rsidRDefault="00000000" w:rsidRPr="00000000" w14:paraId="0000056D">
      <w:pPr>
        <w:pStyle w:val="Heading2"/>
        <w:numPr>
          <w:ilvl w:val="1"/>
          <w:numId w:val="1"/>
        </w:numPr>
        <w:ind w:left="0" w:firstLine="0"/>
        <w:rPr/>
      </w:pPr>
      <w:bookmarkStart w:colFirst="0" w:colLast="0" w:name="_pbw2obsl301f" w:id="53"/>
      <w:bookmarkEnd w:id="53"/>
      <w:r w:rsidDel="00000000" w:rsidR="00000000" w:rsidRPr="00000000">
        <w:rPr>
          <w:rtl w:val="0"/>
        </w:rPr>
        <w:t xml:space="preserve">Residual design dimensions and contextual factors</w:t>
      </w:r>
    </w:p>
    <w:p w:rsidR="00000000" w:rsidDel="00000000" w:rsidP="00000000" w:rsidRDefault="00000000" w:rsidRPr="00000000" w14:paraId="0000056E">
      <w:pPr>
        <w:rPr/>
      </w:pPr>
      <w:r w:rsidDel="00000000" w:rsidR="00000000" w:rsidRPr="00000000">
        <w:rPr>
          <w:rFonts w:ascii="Times New Roman" w:cs="Times New Roman" w:eastAsia="Times New Roman" w:hAnsi="Times New Roman"/>
          <w:i w:val="0"/>
          <w:iCs w:val="0"/>
          <w:sz w:val="22"/>
          <w:szCs w:val="22"/>
          <w:rtl w:val="0"/>
        </w:rPr>
        <w:t xml:space="preserve">With D3 chosen, coherence goes a long way towards fixing D1, D2 and D5. There would be no trigger without an infrastructure boundary for settlement to cross. A platform commit cannot exist unless both legs share one validation domain, and an HTLC cannot exist without two registers able to hold locks. D4, the question of who may participate, is left more or less untouched by these constraints. Seven further working dimensions come from the non-core requirements. How much liquidity is tied up is one. What happens when a leg fails is another. The others are where supervisors can see, which messaging standards apply, who carries the operational load, how a migration is framed, and how far compliance is written into the code.</w:t>
      </w:r>
      <w:r w:rsidDel="00000000" w:rsidR="00000000" w:rsidRPr="00000000">
        <w:rPr>
          <w:rtl w:val="0"/>
        </w:rPr>
      </w:r>
    </w:p>
    <w:p w:rsidR="00000000" w:rsidDel="00000000" w:rsidP="00000000" w:rsidRDefault="00000000" w:rsidRPr="00000000" w14:paraId="0000056F">
      <w:pPr>
        <w:rPr/>
      </w:pPr>
      <w:r w:rsidDel="00000000" w:rsidR="00000000" w:rsidRPr="00000000">
        <w:rPr>
          <w:rFonts w:ascii="Times New Roman" w:cs="Times New Roman" w:eastAsia="Times New Roman" w:hAnsi="Times New Roman"/>
          <w:i w:val="0"/>
          <w:iCs w:val="0"/>
          <w:sz w:val="22"/>
          <w:szCs w:val="22"/>
          <w:rtl w:val="0"/>
        </w:rPr>
        <w:t xml:space="preserve">These residual choices are resolved by context. Of the three, B1 asks the least of the law, since its cash leg in RTGS already falls within a recognised finality framework. B2 needs native wCBDC to be recognised, and the ledger to be recognised as the authoritative record. B3 needs conditionally final transfers to be recognised in law, and it needs a credible answer to the liveness assumption on top. Where a CSD is already in place, the balance tips either towards the mirrored record of B1 or towards a B2 platform operating under the CSD's authority. Whether a central bank is willing to issue money on a ledger run by a third party is what separates the Swiss on-ledger path from the Eurosystem's decision to keep cash in TARGET [13] to [16][22]. Expected volumes affect the cost of reconciliation and messaging, and tolerance for migration decides whether synchronisation is a permanent model or a stage on the way to integration.</w:t>
      </w:r>
      <w:r w:rsidDel="00000000" w:rsidR="00000000" w:rsidRPr="00000000">
        <w:rPr>
          <w:rtl w:val="0"/>
        </w:rPr>
      </w:r>
    </w:p>
    <w:p w:rsidR="00000000" w:rsidDel="00000000" w:rsidP="00000000" w:rsidRDefault="00000000" w:rsidRPr="00000000" w14:paraId="00000570">
      <w:pPr>
        <w:rPr/>
      </w:pPr>
      <w:r w:rsidDel="00000000" w:rsidR="00000000" w:rsidRPr="00000000">
        <w:rPr>
          <w:rFonts w:ascii="Times New Roman" w:cs="Times New Roman" w:eastAsia="Times New Roman" w:hAnsi="Times New Roman"/>
          <w:i w:val="0"/>
          <w:iCs w:val="0"/>
          <w:sz w:val="22"/>
          <w:szCs w:val="22"/>
          <w:rtl w:val="0"/>
        </w:rPr>
        <w:t xml:space="preserve">A single trade-off runs through all these factors, between fitting the institutions that exist and changing the law or the operations. Moving from B1 to B2 removes reconciliation and folds two control surfaces into one, but it needs a settlement asset that the law recognises on a ledger. Moving towards B3 removes the dependence on an institutional coordinator, but it raises the legal demand and shifts risk onto timing and onto the behaviour of participants. These are choices of policy and governance. None of them can be read straight off the PFMI.</w:t>
      </w:r>
      <w:r w:rsidDel="00000000" w:rsidR="00000000" w:rsidRPr="00000000">
        <w:rPr>
          <w:rtl w:val="0"/>
        </w:rPr>
      </w:r>
    </w:p>
    <w:p w:rsidR="00000000" w:rsidDel="00000000" w:rsidP="00000000" w:rsidRDefault="00000000" w:rsidRPr="00000000" w14:paraId="00000571">
      <w:pPr>
        <w:pStyle w:val="Heading2"/>
        <w:numPr>
          <w:ilvl w:val="1"/>
          <w:numId w:val="1"/>
        </w:numPr>
        <w:ind w:left="0" w:firstLine="0"/>
        <w:rPr/>
      </w:pPr>
      <w:bookmarkStart w:colFirst="0" w:colLast="0" w:name="_z1xefqlwrg5u" w:id="54"/>
      <w:bookmarkEnd w:id="54"/>
      <w:r w:rsidDel="00000000" w:rsidR="00000000" w:rsidRPr="00000000">
        <w:rPr>
          <w:rtl w:val="0"/>
        </w:rPr>
        <w:t xml:space="preserve">Practical and theoretical implications</w:t>
      </w:r>
    </w:p>
    <w:p w:rsidR="00000000" w:rsidDel="00000000" w:rsidP="00000000" w:rsidRDefault="00000000" w:rsidRPr="00000000" w14:paraId="00000572">
      <w:pPr>
        <w:rPr/>
      </w:pPr>
      <w:r w:rsidDel="00000000" w:rsidR="00000000" w:rsidRPr="00000000">
        <w:rPr>
          <w:rFonts w:ascii="Times New Roman" w:cs="Times New Roman" w:eastAsia="Times New Roman" w:hAnsi="Times New Roman"/>
          <w:i w:val="0"/>
          <w:iCs w:val="0"/>
          <w:sz w:val="22"/>
          <w:szCs w:val="22"/>
          <w:rtl w:val="0"/>
        </w:rPr>
        <w:t xml:space="preserve">For designers, the framework replaces the claim that compliance dictates an architecture with a decision record that anyone can read. A deployment can state its values for D1 to D5, name the contextual factors behind them and write down the trade-offs it accepts. An overseer can then challenge that reasoning separately from the admissibility check itself. The three difficult cells of B3 also mark the places where legal doctrine and rulebook design could shrink the space: whether the law recognises finality conditioned on a lock, whether a supervisor accepts control exercised in advance rather than in the middle of the protocol, and who carries the duty to act before the window closes.</w:t>
      </w:r>
      <w:r w:rsidDel="00000000" w:rsidR="00000000" w:rsidRPr="00000000">
        <w:rPr>
          <w:rtl w:val="0"/>
        </w:rPr>
      </w:r>
    </w:p>
    <w:p w:rsidR="00000000" w:rsidDel="00000000" w:rsidP="00000000" w:rsidRDefault="00000000" w:rsidRPr="00000000" w14:paraId="00000573">
      <w:pPr>
        <w:rPr/>
      </w:pPr>
      <w:r w:rsidDel="00000000" w:rsidR="00000000" w:rsidRPr="00000000">
        <w:rPr>
          <w:rFonts w:ascii="Times New Roman" w:cs="Times New Roman" w:eastAsia="Times New Roman" w:hAnsi="Times New Roman"/>
          <w:i w:val="0"/>
          <w:iCs w:val="0"/>
          <w:sz w:val="22"/>
          <w:szCs w:val="22"/>
          <w:rtl w:val="0"/>
        </w:rPr>
        <w:t xml:space="preserve">For central banks and market infrastructures, the result supports migration in stages. A synchronised trigger and an integrated platform can both remain admissible, and moving from one to the other need not be a correction of non-compliance. The Eurosystem's dual-track approach can accordingly be read as a path through an admissible space, one whose transition criteria ought to be made explicit [22].</w:t>
      </w:r>
      <w:r w:rsidDel="00000000" w:rsidR="00000000" w:rsidRPr="00000000">
        <w:rPr>
          <w:rtl w:val="0"/>
        </w:rPr>
      </w:r>
    </w:p>
    <w:p w:rsidR="00000000" w:rsidDel="00000000" w:rsidP="00000000" w:rsidRDefault="00000000" w:rsidRPr="00000000" w14:paraId="00000574">
      <w:pPr>
        <w:rPr/>
      </w:pPr>
      <w:r w:rsidDel="00000000" w:rsidR="00000000" w:rsidRPr="00000000">
        <w:rPr>
          <w:rFonts w:ascii="Times New Roman" w:cs="Times New Roman" w:eastAsia="Times New Roman" w:hAnsi="Times New Roman"/>
          <w:i w:val="0"/>
          <w:iCs w:val="0"/>
          <w:sz w:val="22"/>
          <w:szCs w:val="22"/>
          <w:rtl w:val="0"/>
        </w:rPr>
        <w:t xml:space="preserve">The theoretical point is broader. Technology-neutral regulation hands the residual design authority to somebody else. Where an outcome-based standard binds behaviour without naming a mechanism, the parties who build, run and oversee the system still make the architectural choices, and those choices have distributive and governance consequences [5][11]. The method used here makes that handover visible. The requirements are derived traceably and held constant across the candidates, equivalence is defined at the level of mechanism, and each cell is tested one at a time. The same method should carry over to other information systems governed by outcome-based standards.</w:t>
      </w:r>
      <w:r w:rsidDel="00000000" w:rsidR="00000000" w:rsidRPr="00000000">
        <w:rPr>
          <w:rtl w:val="0"/>
        </w:rPr>
      </w:r>
    </w:p>
    <w:p w:rsidR="00000000" w:rsidDel="00000000" w:rsidP="00000000" w:rsidRDefault="00000000" w:rsidRPr="00000000" w14:paraId="00000575">
      <w:pPr>
        <w:pStyle w:val="Heading2"/>
        <w:numPr>
          <w:ilvl w:val="1"/>
          <w:numId w:val="1"/>
        </w:numPr>
        <w:ind w:left="0" w:firstLine="0"/>
        <w:rPr/>
      </w:pPr>
      <w:bookmarkStart w:colFirst="0" w:colLast="0" w:name="_b8p5mde261tq" w:id="55"/>
      <w:bookmarkEnd w:id="55"/>
      <w:r w:rsidDel="00000000" w:rsidR="00000000" w:rsidRPr="00000000">
        <w:rPr>
          <w:rtl w:val="0"/>
        </w:rPr>
        <w:t xml:space="preserve">Contributions</w:t>
      </w:r>
    </w:p>
    <w:p w:rsidR="00000000" w:rsidDel="00000000" w:rsidP="00000000" w:rsidRDefault="00000000" w:rsidRPr="00000000" w14:paraId="00000576">
      <w:pPr>
        <w:rPr/>
      </w:pPr>
      <w:r w:rsidDel="00000000" w:rsidR="00000000" w:rsidRPr="00000000">
        <w:rPr>
          <w:rFonts w:ascii="Times New Roman" w:cs="Times New Roman" w:eastAsia="Times New Roman" w:hAnsi="Times New Roman"/>
          <w:i w:val="0"/>
          <w:iCs w:val="0"/>
          <w:sz w:val="22"/>
          <w:szCs w:val="22"/>
          <w:rtl w:val="0"/>
        </w:rPr>
        <w:t xml:space="preserve">The first contribution is methodological. It is an unbroken chain that runs from a structured multivocal scoping review, through a hybrid coding protocol, to comparison criteria fixed in advance. The second is the artefact itself: sixteen traceable requirements, six functional layers, five open parameters and three architecture specifications. The third contribution is a knowledge claim: the normative requirements do not determine the settlement architecture, and what they leave open is settled by contextual factors that can be identified. The fourth is a bounded demonstration of B2, accompanied by a calibrated assessment of the strength of the evidence behind each of the three families.</w:t>
      </w:r>
      <w:r w:rsidDel="00000000" w:rsidR="00000000" w:rsidRPr="00000000">
        <w:rPr>
          <w:rtl w:val="0"/>
        </w:rPr>
      </w:r>
    </w:p>
    <w:p w:rsidR="00000000" w:rsidDel="00000000" w:rsidP="00000000" w:rsidRDefault="00000000" w:rsidRPr="00000000" w14:paraId="00000577">
      <w:pPr>
        <w:rPr/>
      </w:pPr>
      <w:r w:rsidDel="00000000" w:rsidR="00000000" w:rsidRPr="00000000">
        <w:rPr>
          <w:rFonts w:ascii="Times New Roman" w:cs="Times New Roman" w:eastAsia="Times New Roman" w:hAnsi="Times New Roman"/>
          <w:i w:val="0"/>
          <w:iCs w:val="0"/>
          <w:sz w:val="22"/>
          <w:szCs w:val="22"/>
          <w:rtl w:val="0"/>
        </w:rPr>
        <w:t xml:space="preserve">None of this is re-evaluated here. What gives the contribution its value is that traceability goes hand in hand with separation. The question of whether an architecture is admissible is held apart from the question of whether it is structurally distinct, and both are held apart from the question of whether it can be built. That separation is what allows B3 to be reported as conditionally admissible on paper without any claim that it has been shown to run.</w:t>
      </w:r>
      <w:r w:rsidDel="00000000" w:rsidR="00000000" w:rsidRPr="00000000">
        <w:rPr>
          <w:rtl w:val="0"/>
        </w:rPr>
      </w:r>
    </w:p>
    <w:p w:rsidR="00000000" w:rsidDel="00000000" w:rsidP="00000000" w:rsidRDefault="00000000" w:rsidRPr="00000000" w14:paraId="00000578">
      <w:pPr>
        <w:pStyle w:val="Heading2"/>
        <w:numPr>
          <w:ilvl w:val="1"/>
          <w:numId w:val="1"/>
        </w:numPr>
        <w:ind w:left="0" w:firstLine="0"/>
        <w:rPr/>
      </w:pPr>
      <w:bookmarkStart w:colFirst="0" w:colLast="0" w:name="_1w2pu2qpvq91" w:id="56"/>
      <w:bookmarkEnd w:id="56"/>
      <w:r w:rsidDel="00000000" w:rsidR="00000000" w:rsidRPr="00000000">
        <w:rPr>
          <w:rtl w:val="0"/>
        </w:rPr>
        <w:t xml:space="preserve">Limitations</w:t>
      </w:r>
    </w:p>
    <w:p w:rsidR="00000000" w:rsidDel="00000000" w:rsidP="00000000" w:rsidRDefault="00000000" w:rsidRPr="00000000" w14:paraId="00000579">
      <w:pPr>
        <w:rPr/>
      </w:pPr>
      <w:r w:rsidDel="00000000" w:rsidR="00000000" w:rsidRPr="00000000">
        <w:rPr>
          <w:rFonts w:ascii="Times New Roman" w:cs="Times New Roman" w:eastAsia="Times New Roman" w:hAnsi="Times New Roman"/>
          <w:i w:val="0"/>
          <w:iCs w:val="0"/>
          <w:sz w:val="22"/>
          <w:szCs w:val="22"/>
          <w:rtl w:val="0"/>
        </w:rPr>
        <w:t xml:space="preserve">The proof of concept is not a production artefact. It simulates the RTGS side of issuance and redemption, and it tests nothing about real throughput, live integration, cybersecurity, legal recognition or operating governance. The artefacts in Section 5.4 and the companion repository allow a reader to inspect the run and repeat it, but no independent party has done so, and the construction result therefore stands on a single environment.</w:t>
      </w:r>
      <w:r w:rsidDel="00000000" w:rsidR="00000000" w:rsidRPr="00000000">
        <w:rPr>
          <w:rtl w:val="0"/>
        </w:rPr>
      </w:r>
    </w:p>
    <w:p w:rsidR="00000000" w:rsidDel="00000000" w:rsidP="00000000" w:rsidRDefault="00000000" w:rsidRPr="00000000" w14:paraId="0000057A">
      <w:pPr>
        <w:rPr/>
      </w:pPr>
      <w:r w:rsidDel="00000000" w:rsidR="00000000" w:rsidRPr="00000000">
        <w:rPr>
          <w:rFonts w:ascii="Times New Roman" w:cs="Times New Roman" w:eastAsia="Times New Roman" w:hAnsi="Times New Roman"/>
          <w:i w:val="0"/>
          <w:iCs w:val="0"/>
          <w:sz w:val="22"/>
          <w:szCs w:val="22"/>
          <w:rtl w:val="0"/>
        </w:rPr>
        <w:t xml:space="preserve">The evidence is uneven across the three variants. B1 rests on the strongest institutional record. B2 rests on institutional evidence and on construction evidence as well. B3 rests on an exploratory mechanism match and a partial match on the location of the cash, and on nothing further. Nor can the documentary validation claim full independence, when the requirements, the candidate families and the outside corroboration were all drawn from one corpus. Some subjectivity also remains from the fact that a single coder did the work. Three measures were taken against it, and they lessen it rather than eliminate it. The coding rules and the decision criteria were fixed before the final pass. The corpus was coded a second time after an interval, and wherever the two passes diverged the source text decided. The supervisor went through a sample of the decisions. What has not happened is an assessment of the requirement set and of the six-layer decomposition by an independent panel of experts, which is why Section 6.7 lists an expert evaluation of the artefact as the main validation step still to be done.</w:t>
      </w:r>
      <w:r w:rsidDel="00000000" w:rsidR="00000000" w:rsidRPr="00000000">
        <w:rPr>
          <w:rtl w:val="0"/>
        </w:rPr>
      </w:r>
    </w:p>
    <w:p w:rsidR="00000000" w:rsidDel="00000000" w:rsidP="00000000" w:rsidRDefault="00000000" w:rsidRPr="00000000" w14:paraId="0000057B">
      <w:pPr>
        <w:rPr/>
      </w:pPr>
      <w:r w:rsidDel="00000000" w:rsidR="00000000" w:rsidRPr="00000000">
        <w:rPr>
          <w:rFonts w:ascii="Times New Roman" w:cs="Times New Roman" w:eastAsia="Times New Roman" w:hAnsi="Times New Roman"/>
          <w:i w:val="0"/>
          <w:iCs w:val="0"/>
          <w:sz w:val="22"/>
          <w:szCs w:val="22"/>
          <w:rtl w:val="0"/>
        </w:rPr>
        <w:t xml:space="preserve">The scope is narrow, and deliberately so. It takes in permissioned and regulated infrastructures, tokenised corporate bonds, central bank money and domestic settlement in one currency, and nothing beyond. The corpus goes no later than the work available in 2026, a point at which the PFMI are still framed in terms of outcomes. Should prescriptive rules on intervention points, conditional finality or ledger governance appear, the admissible space could shrink. One last limit is that the three families form a lower bound rather than an exhaustive taxonomy. A truly different atomicity mechanism would add a family.</w:t>
      </w:r>
      <w:r w:rsidDel="00000000" w:rsidR="00000000" w:rsidRPr="00000000">
        <w:rPr>
          <w:rtl w:val="0"/>
        </w:rPr>
      </w:r>
    </w:p>
    <w:p w:rsidR="00000000" w:rsidDel="00000000" w:rsidP="00000000" w:rsidRDefault="00000000" w:rsidRPr="00000000" w14:paraId="0000057C">
      <w:pPr>
        <w:pStyle w:val="Heading2"/>
        <w:numPr>
          <w:ilvl w:val="1"/>
          <w:numId w:val="1"/>
        </w:numPr>
        <w:ind w:left="0" w:firstLine="0"/>
        <w:rPr/>
      </w:pPr>
      <w:bookmarkStart w:colFirst="0" w:colLast="0" w:name="_y2j83slq91l8" w:id="57"/>
      <w:bookmarkEnd w:id="57"/>
      <w:r w:rsidDel="00000000" w:rsidR="00000000" w:rsidRPr="00000000">
        <w:rPr>
          <w:rtl w:val="0"/>
        </w:rPr>
        <w:t xml:space="preserve">Generalisation to other tokenised asset classes</w:t>
      </w:r>
    </w:p>
    <w:p w:rsidR="00000000" w:rsidDel="00000000" w:rsidP="00000000" w:rsidRDefault="00000000" w:rsidRPr="00000000" w14:paraId="0000057D">
      <w:pPr>
        <w:rPr/>
      </w:pPr>
      <w:r w:rsidDel="00000000" w:rsidR="00000000" w:rsidRPr="00000000">
        <w:rPr>
          <w:rFonts w:ascii="Times New Roman" w:cs="Times New Roman" w:eastAsia="Times New Roman" w:hAnsi="Times New Roman"/>
          <w:i w:val="0"/>
          <w:iCs w:val="0"/>
          <w:sz w:val="22"/>
          <w:szCs w:val="22"/>
          <w:rtl w:val="0"/>
        </w:rPr>
        <w:t xml:space="preserve">The settlement block carries over to other tokenised asset classes, because R04 and R05 say nothing about the asset and none of the three coordination mechanisms depends on one. The layers and the design parameters carry across once a single substitution has been made, because the asset class affects two things only: the lifecycle rules under R06, and the institutional anchoring of the record under D2. Listed equities, whose corporate actions go well beyond a bond's coupon and redemption, add detail to the registry layer but leave its shape as it is. Money-market instruments have the opposite profile. Their lifecycle is simpler, yet their liquidity characteristics alter the trade-offs under R09 and R13. Where there is nothing equivalent to a CSD, the mirrored record of B1 no longer serves any purpose, and at the same time the native record is freed of its main legal obstacle.</w:t>
      </w:r>
      <w:r w:rsidDel="00000000" w:rsidR="00000000" w:rsidRPr="00000000">
        <w:rPr>
          <w:rtl w:val="0"/>
        </w:rPr>
      </w:r>
    </w:p>
    <w:p w:rsidR="00000000" w:rsidDel="00000000" w:rsidP="00000000" w:rsidRDefault="00000000" w:rsidRPr="00000000" w14:paraId="0000057E">
      <w:pPr>
        <w:rPr/>
      </w:pPr>
      <w:r w:rsidDel="00000000" w:rsidR="00000000" w:rsidRPr="00000000">
        <w:rPr>
          <w:rFonts w:ascii="Times New Roman" w:cs="Times New Roman" w:eastAsia="Times New Roman" w:hAnsi="Times New Roman"/>
          <w:i w:val="0"/>
          <w:iCs w:val="0"/>
          <w:sz w:val="22"/>
          <w:szCs w:val="22"/>
          <w:rtl w:val="0"/>
        </w:rPr>
        <w:t xml:space="preserve">In a cross-currency setting, a payment-versus-payment leg appears and a second monetary authority is involved. mBridge [19] and Jura [15] supply the relevant patterns. In the typology used here, the unified-ledger blueprint remains a limit case of B2 unless it achieves atomicity through some other mechanism. Both sources describe that blueprint as settling atomically [20][24]; the classification is this study's own. The method therefore transfers unchanged. The populated framework transfers only where a securities lifecycle anchored in a CSD remains a reasonable approximation. Elsewhere the requirements have to be derived afresh rather than assumed to carry over, and that is exactly the discipline the framework is meant to impose.</w:t>
      </w:r>
      <w:r w:rsidDel="00000000" w:rsidR="00000000" w:rsidRPr="00000000">
        <w:rPr>
          <w:rtl w:val="0"/>
        </w:rPr>
      </w:r>
    </w:p>
    <w:p w:rsidR="00000000" w:rsidDel="00000000" w:rsidP="00000000" w:rsidRDefault="00000000" w:rsidRPr="00000000" w14:paraId="0000057F">
      <w:pPr>
        <w:pStyle w:val="Heading2"/>
        <w:numPr>
          <w:ilvl w:val="1"/>
          <w:numId w:val="1"/>
        </w:numPr>
        <w:ind w:left="0" w:firstLine="0"/>
        <w:rPr/>
      </w:pPr>
      <w:bookmarkStart w:colFirst="0" w:colLast="0" w:name="_73s08s79e149" w:id="58"/>
      <w:bookmarkEnd w:id="58"/>
      <w:r w:rsidDel="00000000" w:rsidR="00000000" w:rsidRPr="00000000">
        <w:rPr>
          <w:rtl w:val="0"/>
        </w:rPr>
        <w:t xml:space="preserve">Future research</w:t>
      </w:r>
    </w:p>
    <w:p w:rsidR="00000000" w:rsidDel="00000000" w:rsidP="00000000" w:rsidRDefault="00000000" w:rsidRPr="00000000" w14:paraId="00000580">
      <w:pPr>
        <w:rPr/>
      </w:pPr>
      <w:r w:rsidDel="00000000" w:rsidR="00000000" w:rsidRPr="00000000">
        <w:rPr>
          <w:rFonts w:ascii="Times New Roman" w:cs="Times New Roman" w:eastAsia="Times New Roman" w:hAnsi="Times New Roman"/>
          <w:i w:val="0"/>
          <w:iCs w:val="0"/>
          <w:sz w:val="22"/>
          <w:szCs w:val="22"/>
          <w:rtl w:val="0"/>
        </w:rPr>
        <w:t xml:space="preserve">The immediate priority is independent verification. The companion repository already holds the code, the versioned dependencies, the test commands, representative logs and the numerical ledger states before and after each run. The step still missing is a rerun by somebody else, in an environment other than this one. Beyond that, having experts evaluate the requirement set and the layer mapping would deal with the main limitation on construct validity, and bringing in a second coder would take the residual subjectivity out of the extraction protocol.</w:t>
      </w:r>
      <w:r w:rsidDel="00000000" w:rsidR="00000000" w:rsidRPr="00000000">
        <w:rPr>
          <w:rtl w:val="0"/>
        </w:rPr>
      </w:r>
    </w:p>
    <w:p w:rsidR="00000000" w:rsidDel="00000000" w:rsidP="00000000" w:rsidRDefault="00000000" w:rsidRPr="00000000" w14:paraId="00000581">
      <w:pPr>
        <w:rPr/>
      </w:pPr>
      <w:r w:rsidDel="00000000" w:rsidR="00000000" w:rsidRPr="00000000">
        <w:rPr>
          <w:rFonts w:ascii="Times New Roman" w:cs="Times New Roman" w:eastAsia="Times New Roman" w:hAnsi="Times New Roman"/>
          <w:i w:val="0"/>
          <w:iCs w:val="0"/>
          <w:sz w:val="22"/>
          <w:szCs w:val="22"/>
          <w:rtl w:val="0"/>
        </w:rPr>
        <w:t xml:space="preserve">Once that is done, new deployments will offer a prospective test of the framework as they arrive. The Eurosystem pilots to come will make it possible to see whether legal maturity, institutional legacy, expected volume and the central bank's policy on platforms actually predict the architecture that is chosen. A securities settlement over HTLCs with real value at stake would carry the test of B3 past the exploratory stage. A securities DvP on a unified ledger would tell whether that blueprint is still a limit case of B2 or brings a new atomicity mechanism with it.</w:t>
      </w:r>
      <w:r w:rsidDel="00000000" w:rsidR="00000000" w:rsidRPr="00000000">
        <w:rPr>
          <w:rtl w:val="0"/>
        </w:rPr>
      </w:r>
    </w:p>
    <w:p w:rsidR="00000000" w:rsidDel="00000000" w:rsidP="00000000" w:rsidRDefault="00000000" w:rsidRPr="00000000" w14:paraId="00000582">
      <w:pPr>
        <w:rPr/>
      </w:pPr>
      <w:r w:rsidDel="00000000" w:rsidR="00000000" w:rsidRPr="00000000">
        <w:rPr>
          <w:rFonts w:ascii="Times New Roman" w:cs="Times New Roman" w:eastAsia="Times New Roman" w:hAnsi="Times New Roman"/>
          <w:i w:val="0"/>
          <w:iCs w:val="0"/>
          <w:sz w:val="22"/>
          <w:szCs w:val="22"/>
          <w:rtl w:val="0"/>
        </w:rPr>
        <w:t xml:space="preserve">Three extensions follow. Multi-currency, cross-border settlement brings in a second monetary authority and a payment-versus-payment leg. Other tokenised asset classes change the lifecycle requirements and the regime that governs the authoritative record. Production-grade engineering would test performance, operational resilience, key governance and live interoperability. In each case the requirements have to be derived again, not assumed to carry over.</w:t>
      </w:r>
      <w:r w:rsidDel="00000000" w:rsidR="00000000" w:rsidRPr="00000000">
        <w:rPr>
          <w:rtl w:val="0"/>
        </w:rPr>
      </w:r>
    </w:p>
    <w:p w:rsidR="00000000" w:rsidDel="00000000" w:rsidP="00000000" w:rsidRDefault="00000000" w:rsidRPr="00000000" w14:paraId="00000583">
      <w:pPr>
        <w:pStyle w:val="Heading2"/>
        <w:numPr>
          <w:ilvl w:val="1"/>
          <w:numId w:val="1"/>
        </w:numPr>
        <w:ind w:left="0" w:firstLine="0"/>
        <w:rPr/>
      </w:pPr>
      <w:bookmarkStart w:colFirst="0" w:colLast="0" w:name="_nmnja5wolkx" w:id="59"/>
      <w:bookmarkEnd w:id="59"/>
      <w:r w:rsidDel="00000000" w:rsidR="00000000" w:rsidRPr="00000000">
        <w:rPr>
          <w:rtl w:val="0"/>
        </w:rPr>
        <w:t xml:space="preserve">Conclusion</w:t>
      </w:r>
    </w:p>
    <w:p w:rsidR="00000000" w:rsidDel="00000000" w:rsidP="00000000" w:rsidRDefault="00000000" w:rsidRPr="00000000" w14:paraId="00000584">
      <w:pPr>
        <w:rPr/>
      </w:pPr>
      <w:r w:rsidDel="00000000" w:rsidR="00000000" w:rsidRPr="00000000">
        <w:rPr>
          <w:rFonts w:ascii="Times New Roman" w:cs="Times New Roman" w:eastAsia="Times New Roman" w:hAnsi="Times New Roman"/>
          <w:i w:val="0"/>
          <w:iCs w:val="0"/>
          <w:sz w:val="22"/>
          <w:szCs w:val="22"/>
          <w:rtl w:val="0"/>
        </w:rPr>
        <w:t xml:space="preserve">This thesis began with a concrete inconsistency. Regulated pilots pursue the same DvP objective in central bank money, and they build different settlement architectures to reach it. The analysis resolves the inconsistency. The requirements say what an admissible arrangement must achieve. They do not say how the DvP condition must be produced. A synchronised trigger architecture and an integrated platform architecture both remain admissible, and they are structurally distinct. A cryptographic cross-ledger architecture remains conditional, on thinner evidence. The choice of an architecture therefore cannot be presented as a matter that compliance decides. It has to be defended as an institutional decision, one that is evidenced, bounded by its context and open to challenge.</w:t>
      </w:r>
      <w:r w:rsidDel="00000000" w:rsidR="00000000" w:rsidRPr="00000000">
        <w:rPr>
          <w:rtl w:val="0"/>
        </w:rPr>
      </w:r>
    </w:p>
    <w:p w:rsidR="00000000" w:rsidDel="00000000" w:rsidP="00000000" w:rsidRDefault="00000000" w:rsidRPr="00000000" w14:paraId="00000585">
      <w:pPr>
        <w:keepNext w:val="1"/>
        <w:keepLines w:val="0"/>
        <w:pageBreakBefore w:val="1"/>
        <w:widowControl w:val="1"/>
        <w:pBdr>
          <w:top w:space="0" w:sz="0" w:val="nil"/>
          <w:left w:space="0" w:sz="0" w:val="nil"/>
          <w:bottom w:space="0" w:sz="0" w:val="nil"/>
          <w:right w:space="0" w:sz="0" w:val="nil"/>
          <w:between w:space="0" w:sz="0" w:val="nil"/>
        </w:pBdr>
        <w:shd w:fill="auto" w:val="clear"/>
        <w:spacing w:after="320" w:before="0" w:line="26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Bibliography</w:t>
      </w:r>
    </w:p>
    <w:p w:rsidR="00000000" w:rsidDel="00000000" w:rsidP="00000000" w:rsidRDefault="00000000" w:rsidRPr="00000000" w14:paraId="00000586">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 Zhang, Y., Gong, B., &amp; Zhou, P. (2024). Centralized use of decentralized technology: Tokenization of currencies and assets. Structural Change and Economic Dynamics, 71, 15-25.</w:t>
      </w:r>
      <w:r w:rsidDel="00000000" w:rsidR="00000000" w:rsidRPr="00000000">
        <w:rPr>
          <w:rtl w:val="0"/>
        </w:rPr>
      </w:r>
    </w:p>
    <w:p w:rsidR="00000000" w:rsidDel="00000000" w:rsidP="00000000" w:rsidRDefault="00000000" w:rsidRPr="00000000" w14:paraId="00000587">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 Gupta, A. (2025). Bridging legacy systems and digital platforms: a comprehensive investigation of application and infrastructure modernization challenges in core banking systems. International Journal of Environmental Sciences, 11(20s), 3475-3487.</w:t>
      </w:r>
      <w:r w:rsidDel="00000000" w:rsidR="00000000" w:rsidRPr="00000000">
        <w:rPr>
          <w:rtl w:val="0"/>
        </w:rPr>
      </w:r>
    </w:p>
    <w:p w:rsidR="00000000" w:rsidDel="00000000" w:rsidP="00000000" w:rsidRDefault="00000000" w:rsidRPr="00000000" w14:paraId="00000588">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[3] Tian, Y., Lu, Z., Adriaens, P., Minchin, R. E., Caithness, A., &amp; Woo, J. (2020). Finance infrastructure through blockchain-based tokenization. Frontiers of Engineering Management, 7(4), 485-499.</w:t>
      </w:r>
      <w:r w:rsidDel="00000000" w:rsidR="00000000" w:rsidRPr="00000000">
        <w:rPr>
          <w:rtl w:val="0"/>
        </w:rPr>
      </w:r>
    </w:p>
    <w:p w:rsidR="00000000" w:rsidDel="00000000" w:rsidP="00000000" w:rsidRDefault="00000000" w:rsidRPr="00000000" w14:paraId="00000589">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[4] Hupel, L. (2023). Interoperability aspects of central bank digital currency across ecosystems and borders. Journal of Payments Strategy &amp; Systems, 17(4), 422-432.</w:t>
      </w:r>
      <w:r w:rsidDel="00000000" w:rsidR="00000000" w:rsidRPr="00000000">
        <w:rPr>
          <w:rtl w:val="0"/>
        </w:rPr>
      </w:r>
    </w:p>
    <w:p w:rsidR="00000000" w:rsidDel="00000000" w:rsidP="00000000" w:rsidRDefault="00000000" w:rsidRPr="00000000" w14:paraId="0000058A">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[5] Goghie, A.-S. (2024). Tokenization and the banking system: Redefining authority in the blockchain era. Competition &amp; Change, 28(5), 663-682. https://doi.org/10.1177/10245294241258255</w:t>
      </w:r>
      <w:r w:rsidDel="00000000" w:rsidR="00000000" w:rsidRPr="00000000">
        <w:rPr>
          <w:rtl w:val="0"/>
        </w:rPr>
      </w:r>
    </w:p>
    <w:p w:rsidR="00000000" w:rsidDel="00000000" w:rsidP="00000000" w:rsidRDefault="00000000" w:rsidRPr="00000000" w14:paraId="0000058B">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[6] Benos, E., Garratt, R., &amp; Gurrola-Perez, P. (2019). The economics of distributed ledger technology for securities settlement. Ledger, 4, 121-156. https://doi.org/10.5195/ledger.2019.144</w:t>
      </w:r>
      <w:r w:rsidDel="00000000" w:rsidR="00000000" w:rsidRPr="00000000">
        <w:rPr>
          <w:rtl w:val="0"/>
        </w:rPr>
      </w:r>
    </w:p>
    <w:p w:rsidR="00000000" w:rsidDel="00000000" w:rsidP="00000000" w:rsidRDefault="00000000" w:rsidRPr="00000000" w14:paraId="0000058C">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[7] Chiu, J., &amp; Koeppl, T. V. (2019). Blockchain-based settlement for asset trading. The Review of Financial Studies, 32(5), 1716-1753. https://doi.org/10.1093/rfs/hhy122</w:t>
      </w:r>
      <w:r w:rsidDel="00000000" w:rsidR="00000000" w:rsidRPr="00000000">
        <w:rPr>
          <w:rtl w:val="0"/>
        </w:rPr>
      </w:r>
    </w:p>
    <w:p w:rsidR="00000000" w:rsidDel="00000000" w:rsidP="00000000" w:rsidRDefault="00000000" w:rsidRPr="00000000" w14:paraId="0000058D">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[8] Priem, R. (2020). Distributed ledger technology for securities clearing and settlement: Benefits, risks, and regulatory implications. Financial Innovation, 6(1), article 11. https://doi.org/10.1186/s40854-019-0169-6</w:t>
      </w:r>
      <w:r w:rsidDel="00000000" w:rsidR="00000000" w:rsidRPr="00000000">
        <w:rPr>
          <w:rtl w:val="0"/>
        </w:rPr>
      </w:r>
    </w:p>
    <w:p w:rsidR="00000000" w:rsidDel="00000000" w:rsidP="00000000" w:rsidRDefault="00000000" w:rsidRPr="00000000" w14:paraId="0000058E">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[9] Son, B., &amp; Jang, H. (2023). Economics of blockchain-based securities settlement. Research in International Business and Finance, 64, 101842. https://doi.org/10.1016/j.ribaf.2022.101842</w:t>
      </w:r>
      <w:r w:rsidDel="00000000" w:rsidR="00000000" w:rsidRPr="00000000">
        <w:rPr>
          <w:rtl w:val="0"/>
        </w:rPr>
      </w:r>
    </w:p>
    <w:p w:rsidR="00000000" w:rsidDel="00000000" w:rsidP="00000000" w:rsidRDefault="00000000" w:rsidRPr="00000000" w14:paraId="0000058F">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[10] Agur, I., Ari, A., &amp; Dell'Ariccia, G. (2022). Designing central bank digital currencies. Journal of Monetary Economics, 125, 62-79. https://doi.org/10.1016/j.jmoneco.2021.05.002</w:t>
      </w:r>
      <w:r w:rsidDel="00000000" w:rsidR="00000000" w:rsidRPr="00000000">
        <w:rPr>
          <w:rtl w:val="0"/>
        </w:rPr>
      </w:r>
    </w:p>
    <w:p w:rsidR="00000000" w:rsidDel="00000000" w:rsidP="00000000" w:rsidRDefault="00000000" w:rsidRPr="00000000" w14:paraId="00000590">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[11] CPSS-IOSCO. (2012). Principles for Financial Market Infrastructures. Bank for International Settlements and International Organization of Securities Commissions, CPSS Publications No. 101 / IOSCOPD377, April 2012.</w:t>
      </w:r>
      <w:r w:rsidDel="00000000" w:rsidR="00000000" w:rsidRPr="00000000">
        <w:rPr>
          <w:rtl w:val="0"/>
        </w:rPr>
      </w:r>
    </w:p>
    <w:p w:rsidR="00000000" w:rsidDel="00000000" w:rsidP="00000000" w:rsidRDefault="00000000" w:rsidRPr="00000000" w14:paraId="00000591">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[12] BIS Innovation Hub, SIX Group AG, &amp; Swiss National Bank. (2020). Project Helvetia: Settling tokenised assets in central bank money. BIS, othp35, December 2020.</w:t>
      </w:r>
      <w:r w:rsidDel="00000000" w:rsidR="00000000" w:rsidRPr="00000000">
        <w:rPr>
          <w:rtl w:val="0"/>
        </w:rPr>
      </w:r>
    </w:p>
    <w:p w:rsidR="00000000" w:rsidDel="00000000" w:rsidP="00000000" w:rsidRDefault="00000000" w:rsidRPr="00000000" w14:paraId="00000592">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[13] BIS Innovation Hub, SIX Group AG, &amp; Swiss National Bank. (2022). Project Helvetia Phase II: Settling tokenised assets in wholesale CBDC. BIS, othp45, January 2022.</w:t>
      </w:r>
      <w:r w:rsidDel="00000000" w:rsidR="00000000" w:rsidRPr="00000000">
        <w:rPr>
          <w:rtl w:val="0"/>
        </w:rPr>
      </w:r>
    </w:p>
    <w:p w:rsidR="00000000" w:rsidDel="00000000" w:rsidP="00000000" w:rsidRDefault="00000000" w:rsidRPr="00000000" w14:paraId="00000593">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[14] Jordan, T. J. (2024). Project Helvetia III - the Swiss National Bank's pilot for wholesale CBDC. Speech, BIS Innovation Summit, Basel, 6 May 2024. BIS Review r240506e.</w:t>
      </w:r>
      <w:r w:rsidDel="00000000" w:rsidR="00000000" w:rsidRPr="00000000">
        <w:rPr>
          <w:rtl w:val="0"/>
        </w:rPr>
      </w:r>
    </w:p>
    <w:p w:rsidR="00000000" w:rsidDel="00000000" w:rsidP="00000000" w:rsidRDefault="00000000" w:rsidRPr="00000000" w14:paraId="00000594">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[14b] Swiss National Bank. (2025). Swiss National Bank extends and expands Project Helvetia. Press release, 30 June 2025.</w:t>
      </w:r>
      <w:r w:rsidDel="00000000" w:rsidR="00000000" w:rsidRPr="00000000">
        <w:rPr>
          <w:rtl w:val="0"/>
        </w:rPr>
      </w:r>
    </w:p>
    <w:p w:rsidR="00000000" w:rsidDel="00000000" w:rsidP="00000000" w:rsidRDefault="00000000" w:rsidRPr="00000000" w14:paraId="00000595">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[15] Banque de France, BIS Innovation Hub, &amp; Swiss National Bank. (2021). Project Jura: Cross-border settlement using wholesale CBDC. BIS, othp44, 8 December 2021.</w:t>
      </w:r>
      <w:r w:rsidDel="00000000" w:rsidR="00000000" w:rsidRPr="00000000">
        <w:rPr>
          <w:rtl w:val="0"/>
        </w:rPr>
      </w:r>
    </w:p>
    <w:p w:rsidR="00000000" w:rsidDel="00000000" w:rsidP="00000000" w:rsidRDefault="00000000" w:rsidRPr="00000000" w14:paraId="00000596">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[16] ECB. (2025). Bridging innovation and stability: the Eurosystem's exploratory work on new technologies for wholesale central bank money settlement. June 2025.</w:t>
      </w:r>
      <w:r w:rsidDel="00000000" w:rsidR="00000000" w:rsidRPr="00000000">
        <w:rPr>
          <w:rtl w:val="0"/>
        </w:rPr>
      </w:r>
    </w:p>
    <w:p w:rsidR="00000000" w:rsidDel="00000000" w:rsidP="00000000" w:rsidRDefault="00000000" w:rsidRPr="00000000" w14:paraId="00000597">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[17] Bank of Canada, Bank of England, Bank of Japan, European Central Bank, Board of Governors of the Federal Reserve System (until January 2025), Sveriges Riksbank, Swiss National Bank, &amp; BIS. (2025). Wholesale central bank money in the context of technological innovation. BIS, othp99, September 2025.</w:t>
      </w:r>
      <w:r w:rsidDel="00000000" w:rsidR="00000000" w:rsidRPr="00000000">
        <w:rPr>
          <w:rtl w:val="0"/>
        </w:rPr>
      </w:r>
    </w:p>
    <w:p w:rsidR="00000000" w:rsidDel="00000000" w:rsidP="00000000" w:rsidRDefault="00000000" w:rsidRPr="00000000" w14:paraId="00000598">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[18] Boar, C., Claessens, S., Kosse, A., Leckow, R., &amp; Rice, T. (2021). Interoperability between payment systems across borders. BIS Bulletin No. 49, 10 December 2021.</w:t>
      </w:r>
      <w:r w:rsidDel="00000000" w:rsidR="00000000" w:rsidRPr="00000000">
        <w:rPr>
          <w:rtl w:val="0"/>
        </w:rPr>
      </w:r>
    </w:p>
    <w:p w:rsidR="00000000" w:rsidDel="00000000" w:rsidP="00000000" w:rsidRDefault="00000000" w:rsidRPr="00000000" w14:paraId="00000599">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[19] BIS Innovation Hub, Hong Kong Monetary Authority, Bank of Thailand, Digital Currency Institute of the People's Bank of China, &amp; Central Bank of the United Arab Emirates. (2022). Project mBridge: Connecting economies through CBDC. BIS, othp59, October 2022.</w:t>
      </w:r>
      <w:r w:rsidDel="00000000" w:rsidR="00000000" w:rsidRPr="00000000">
        <w:rPr>
          <w:rtl w:val="0"/>
        </w:rPr>
      </w:r>
    </w:p>
    <w:p w:rsidR="00000000" w:rsidDel="00000000" w:rsidP="00000000" w:rsidRDefault="00000000" w:rsidRPr="00000000" w14:paraId="0000059A">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[20] BIS. (2025). Annual Economic Report 2025, Chapter III: The next-generation monetary and financial system.</w:t>
      </w:r>
      <w:r w:rsidDel="00000000" w:rsidR="00000000" w:rsidRPr="00000000">
        <w:rPr>
          <w:rtl w:val="0"/>
        </w:rPr>
      </w:r>
    </w:p>
    <w:p w:rsidR="00000000" w:rsidDel="00000000" w:rsidP="00000000" w:rsidRDefault="00000000" w:rsidRPr="00000000" w14:paraId="0000059B">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[21] IOSCO. (2025). Tokenization of financial assets. Final Report FR/17/25, IOSCOPD809, November 2025.</w:t>
      </w:r>
      <w:r w:rsidDel="00000000" w:rsidR="00000000" w:rsidRPr="00000000">
        <w:rPr>
          <w:rtl w:val="0"/>
        </w:rPr>
      </w:r>
    </w:p>
    <w:p w:rsidR="00000000" w:rsidDel="00000000" w:rsidP="00000000" w:rsidRDefault="00000000" w:rsidRPr="00000000" w14:paraId="0000059C">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[22] ECB. (2025). ECB commits to distributed ledger technology settlement plans with dual-track strategy. Press release, 1 July 2025.</w:t>
      </w:r>
      <w:r w:rsidDel="00000000" w:rsidR="00000000" w:rsidRPr="00000000">
        <w:rPr>
          <w:rtl w:val="0"/>
        </w:rPr>
      </w:r>
    </w:p>
    <w:p w:rsidR="00000000" w:rsidDel="00000000" w:rsidP="00000000" w:rsidRDefault="00000000" w:rsidRPr="00000000" w14:paraId="0000059D">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[23] CPMI &amp; IOSCO. (2022). Application of the Principles for Financial Market Infrastructures to stablecoin arrangements. BIS/IOSCO, d206 / IOSCOPD707, July 2022.</w:t>
      </w:r>
      <w:r w:rsidDel="00000000" w:rsidR="00000000" w:rsidRPr="00000000">
        <w:rPr>
          <w:rtl w:val="0"/>
        </w:rPr>
      </w:r>
    </w:p>
    <w:p w:rsidR="00000000" w:rsidDel="00000000" w:rsidP="00000000" w:rsidRDefault="00000000" w:rsidRPr="00000000" w14:paraId="0000059E">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[24] Carstens, A., &amp; Nilekani, N. (2024). Finternet: the financial system for the future. BIS Working Papers No 1178, April 2024.</w:t>
      </w:r>
      <w:r w:rsidDel="00000000" w:rsidR="00000000" w:rsidRPr="00000000">
        <w:rPr>
          <w:rtl w:val="0"/>
        </w:rPr>
      </w:r>
    </w:p>
    <w:p w:rsidR="00000000" w:rsidDel="00000000" w:rsidP="00000000" w:rsidRDefault="00000000" w:rsidRPr="00000000" w14:paraId="0000059F">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[25] Bank for International Settlements. (2026). Project Agorá: a shared programmable platform for wholesale cross-border payments. BIS, othp110, 27 May 2026. Public-private collaboration convened by the BIS and the Institute of International Finance.</w:t>
      </w:r>
      <w:r w:rsidDel="00000000" w:rsidR="00000000" w:rsidRPr="00000000">
        <w:rPr>
          <w:rtl w:val="0"/>
        </w:rPr>
      </w:r>
    </w:p>
    <w:p w:rsidR="00000000" w:rsidDel="00000000" w:rsidP="00000000" w:rsidRDefault="00000000" w:rsidRPr="00000000" w14:paraId="000005A0">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[26] Cisar, D., Schellinger, B., Stoetzer, J.-C., Urbach, N., Weiß, F. L., Gramlich, V., &amp; Guggenberger, T. (2025). Designing the future of bond markets: Reducing transaction costs through tokenization. Electronic Markets, 35(1), article 9. https://doi.org/10.1007/s12525-025-00753-3</w:t>
      </w:r>
      <w:r w:rsidDel="00000000" w:rsidR="00000000" w:rsidRPr="00000000">
        <w:rPr>
          <w:rtl w:val="0"/>
        </w:rPr>
      </w:r>
    </w:p>
    <w:p w:rsidR="00000000" w:rsidDel="00000000" w:rsidP="00000000" w:rsidRDefault="00000000" w:rsidRPr="00000000" w14:paraId="000005A1">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[27] Belkhiria, S., Abid, E., &amp; Khiari, W. (2026). The impact of tokenization on the trading process costs and carbon emission: Empirical study on the ODDO BHF Bond. Carbon Balance and Management, 21(1), article 42. https://doi.org/10.1186/s13021-025-00390-5</w:t>
      </w:r>
      <w:r w:rsidDel="00000000" w:rsidR="00000000" w:rsidRPr="00000000">
        <w:rPr>
          <w:rtl w:val="0"/>
        </w:rPr>
      </w:r>
    </w:p>
    <w:p w:rsidR="00000000" w:rsidDel="00000000" w:rsidP="00000000" w:rsidRDefault="00000000" w:rsidRPr="00000000" w14:paraId="000005A2">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[28] Darwish, A., Lindman, J., Hjertqvist, J., &amp; Tona, O. (2023). Design principles for blockchain-based applications in green bond reporting. Proceedings of the 56th Hawaii International Conference on System Sciences, 5186-5195. https://doi.org/10.24251/HICSS.2023.634</w:t>
      </w:r>
      <w:r w:rsidDel="00000000" w:rsidR="00000000" w:rsidRPr="00000000">
        <w:rPr>
          <w:rtl w:val="0"/>
        </w:rPr>
      </w:r>
    </w:p>
    <w:p w:rsidR="00000000" w:rsidDel="00000000" w:rsidP="00000000" w:rsidRDefault="00000000" w:rsidRPr="00000000" w14:paraId="000005A3">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[29] Wieringa, R. J. (2014). Design Science Methodology for Information Systems and Software Engineering. Springer. https://doi.org/10.1007/978-3-662-43839-8</w:t>
      </w:r>
      <w:r w:rsidDel="00000000" w:rsidR="00000000" w:rsidRPr="00000000">
        <w:rPr>
          <w:rtl w:val="0"/>
        </w:rPr>
      </w:r>
    </w:p>
    <w:p w:rsidR="00000000" w:rsidDel="00000000" w:rsidP="00000000" w:rsidRDefault="00000000" w:rsidRPr="00000000" w14:paraId="000005A4">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[30] Venable, J., Pries-Heje, J., &amp; Baskerville, R. (2016). FEDS: A framework for evaluation in design science research. European Journal of Information Systems, 25(1), 77-89. https://doi.org/10.1057/ejis.2014.36</w:t>
      </w:r>
      <w:r w:rsidDel="00000000" w:rsidR="00000000" w:rsidRPr="00000000">
        <w:rPr>
          <w:rtl w:val="0"/>
        </w:rPr>
      </w:r>
    </w:p>
    <w:p w:rsidR="00000000" w:rsidDel="00000000" w:rsidP="00000000" w:rsidRDefault="00000000" w:rsidRPr="00000000" w14:paraId="000005A5">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[31] Garousi, V., Felderer, M., &amp; Mäntylä, M. V. (2019). Guidelines for including grey literature and conducting multivocal literature reviews in software engineering. Information and Software Technology, 106, 101-121. https://doi.org/10.1016/j.infsof.2018.09.006</w:t>
      </w:r>
      <w:r w:rsidDel="00000000" w:rsidR="00000000" w:rsidRPr="00000000">
        <w:rPr>
          <w:rtl w:val="0"/>
        </w:rPr>
      </w:r>
    </w:p>
    <w:p w:rsidR="00000000" w:rsidDel="00000000" w:rsidP="00000000" w:rsidRDefault="00000000" w:rsidRPr="00000000" w14:paraId="000005A6">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[32] Kendig, C. E. (2016). What is proof of concept research and how does it generate epistemic and ethical categories for future scientific practice? Science and Engineering Ethics, 22(3), 735-753. https://doi.org/10.1007/s11948-015-9654-0</w:t>
      </w:r>
      <w:r w:rsidDel="00000000" w:rsidR="00000000" w:rsidRPr="00000000">
        <w:rPr>
          <w:rtl w:val="0"/>
        </w:rPr>
      </w:r>
    </w:p>
    <w:p w:rsidR="00000000" w:rsidDel="00000000" w:rsidP="00000000" w:rsidRDefault="00000000" w:rsidRPr="00000000" w14:paraId="000005A7">
      <w:pPr>
        <w:spacing w:after="140" w:line="269" w:lineRule="auto"/>
        <w:ind w:left="0" w:firstLine="0"/>
        <w:jc w:val="both"/>
        <w:rPr/>
      </w:pPr>
      <w:r w:rsidDel="00000000" w:rsidR="00000000" w:rsidRPr="00000000">
        <w:rPr>
          <w:rFonts w:ascii="Times New Roman" w:cs="Times New Roman" w:eastAsia="Times New Roman" w:hAnsi="Times New Roman"/>
          <w:i w:val="0"/>
          <w:iCs w:val="0"/>
          <w:sz w:val="22"/>
          <w:szCs w:val="22"/>
          <w:rtl w:val="0"/>
        </w:rPr>
        <w:t xml:space="preserve">[33] Elliott, S. (2021). Proof of concept research. Philosophy of Science, 88(2), 258-280. https://doi.org/10.1086/711503</w:t>
      </w:r>
      <w:r w:rsidDel="00000000" w:rsidR="00000000" w:rsidRPr="00000000">
        <w:rPr>
          <w:rtl w:val="0"/>
        </w:rPr>
      </w:r>
    </w:p>
    <w:p w:rsidR="00000000" w:rsidDel="00000000" w:rsidP="00000000" w:rsidRDefault="00000000" w:rsidRPr="00000000" w14:paraId="000005A8">
      <w:pPr>
        <w:keepNext w:val="1"/>
        <w:keepLines w:val="0"/>
        <w:pageBreakBefore w:val="1"/>
        <w:widowControl w:val="1"/>
        <w:pBdr>
          <w:top w:space="0" w:sz="0" w:val="nil"/>
          <w:left w:space="0" w:sz="0" w:val="nil"/>
          <w:bottom w:space="0" w:sz="0" w:val="nil"/>
          <w:right w:space="0" w:sz="0" w:val="nil"/>
          <w:between w:space="0" w:sz="0" w:val="nil"/>
        </w:pBdr>
        <w:shd w:fill="auto" w:val="clear"/>
        <w:spacing w:after="320" w:before="0" w:line="26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Annex A - Thesis Materials</w:t>
      </w:r>
    </w:p>
    <w:p w:rsidR="00000000" w:rsidDel="00000000" w:rsidP="00000000" w:rsidRDefault="00000000" w:rsidRPr="00000000" w14:paraId="000005A9">
      <w:pPr>
        <w:rPr/>
      </w:pPr>
      <w:r w:rsidDel="00000000" w:rsidR="00000000" w:rsidRPr="00000000">
        <w:rPr>
          <w:rFonts w:ascii="Times New Roman" w:cs="Times New Roman" w:eastAsia="Times New Roman" w:hAnsi="Times New Roman"/>
          <w:i w:val="0"/>
          <w:iCs w:val="0"/>
          <w:sz w:val="22"/>
          <w:szCs w:val="22"/>
          <w:rtl w:val="0"/>
        </w:rPr>
        <w:t xml:space="preserve">The manuscript reports condensed evidence so that the argument remains readable. The materials below are required to make the derivation and the evaluation auditable. They are published as versioned companion materials in the repository cited in Section 5.4 and must accompany the final submission.</w:t>
      </w:r>
      <w:r w:rsidDel="00000000" w:rsidR="00000000" w:rsidRPr="00000000">
        <w:rPr>
          <w:rtl w:val="0"/>
        </w:rPr>
      </w:r>
    </w:p>
    <w:tbl>
      <w:tblPr>
        <w:tblStyle w:val="Table2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4365"/>
        <w:gridCol w:w="2665"/>
        <w:tblGridChange w:id="0">
          <w:tblGrid>
            <w:gridCol w:w="2041"/>
            <w:gridCol w:w="4365"/>
            <w:gridCol w:w="2665"/>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5AA">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Material</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5AB">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Required content</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5AC">
            <w:pPr>
              <w:spacing w:after="0" w:lineRule="auto"/>
              <w:jc w:val="left"/>
              <w:rPr/>
            </w:pPr>
            <w:r w:rsidDel="00000000" w:rsidR="00000000" w:rsidRPr="00000000">
              <w:rPr>
                <w:rFonts w:ascii="Times New Roman" w:cs="Times New Roman" w:eastAsia="Times New Roman" w:hAnsi="Times New Roman"/>
                <w:b w:val="1"/>
                <w:bCs w:val="1"/>
                <w:sz w:val="18"/>
                <w:szCs w:val="18"/>
                <w:rtl w:val="0"/>
              </w:rPr>
              <w:t xml:space="preserve">Format / evidential purpose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A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PFMI coding workbook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A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Retention decisions for all twenty-four principles against the four criteria; per-source E/I/N matrix with evidence locations; source register with proximity ratings; inductive codebook; harmonisation pass; second-pass re-coding log (referenced in Chapters 3 and 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AF">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Spreadsheet; reproduces SQ1 and the construction of 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B0">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Requirement sheets R01-R16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1">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Full statement, PFMI anchor with page numbers, inductive theme, priority, responsible component, the design parameter left open, sources with locators, and what would have to be observed for an arrangement to fail the requirement (referenced in Chapter 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2">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Document; makes every requirement challengeable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B3">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Realisation matrix R01-R16 x B1-B3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4">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All forty-eight cells, each with a named mechanism, an interface trace, evidence with a locator, the assumption it depends on and its residual risk; separate sheets for the strict-reading sensitivity, the full source-locator register and a changelog (referenced in Chapters 4 and 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5">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Spreadsheet; supports H1 and the sensitivity analysis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B6">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Interface contracts and diagrams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7">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Semantic contracts for every I, T, O, H, C and S flow of the three specifications - actors, trigger, preconditions, effect, post-condition, failure handling and requirements discharged - together with the editable source of Figures 4.1 to 4.5 (referenced in Chapter 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8">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Document and diagram source; supports the mechanism comparison and H2</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B9">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Proof-of-concept repository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A">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The three chaincodes, the network configuration, versioned dependencies, deployment scripts, setup instructions and the ten-test suite of Chapter 5, with the commands needed to reproduce the run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B">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Repository; permits independent construction and rerun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5BC">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Execution evidence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D">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Environment and version record, running-network state, committed chaincode definitions, the full test-suite log and JUnit reports, and before/after ledger balances for scenario S1 and for the two adversarial probes T8 and T9, each recomputing its own invariant check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5BE">
            <w:pPr>
              <w:spacing w:after="0" w:line="252.00000000000003" w:lineRule="auto"/>
              <w:jc w:val="left"/>
              <w:rPr/>
            </w:pPr>
            <w:r w:rsidDel="00000000" w:rsidR="00000000" w:rsidRPr="00000000">
              <w:rPr>
                <w:rFonts w:ascii="Times New Roman" w:cs="Times New Roman" w:eastAsia="Times New Roman" w:hAnsi="Times New Roman"/>
                <w:sz w:val="18"/>
                <w:szCs w:val="18"/>
                <w:rtl w:val="0"/>
              </w:rPr>
              <w:t xml:space="preserve">Logs and data extracts; supports the results reported in Section 5.4 and H3</w:t>
            </w:r>
            <w:r w:rsidDel="00000000" w:rsidR="00000000" w:rsidRPr="00000000">
              <w:rPr>
                <w:rtl w:val="0"/>
              </w:rPr>
            </w:r>
          </w:p>
        </w:tc>
      </w:tr>
    </w:tbl>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
          <w:szCs w:val="19"/>
          <w:u w:val="none"/>
          <w:shd w:fill="auto" w:val="clear"/>
          <w:vertAlign w:val="baseline"/>
          <w:rtl w:val="0"/>
        </w:rPr>
        <w:t xml:space="preserve">Table A.1 - Companion materials required for auditability.</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both"/>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six are published together with the proof of concept at https://github.com/Lapocalypsie/POC_THESIS: the first four and the editable diagram source under thesis-materials/, the proof of concept itself at the repository root, and the execution evidence under evidence/. The repository also records, in thesis-materials/NOTES_open_items.md, the points on that material that remain open and the reasons for the ones deliberately left as they are.</w:t>
      </w:r>
      <w:r w:rsidDel="00000000" w:rsidR="00000000" w:rsidRPr="00000000">
        <w:rPr>
          <w:rtl w:val="0"/>
        </w:rPr>
      </w:r>
    </w:p>
    <w:sectPr>
      <w:headerReference r:id="rId35" w:type="default"/>
      <w:headerReference r:id="rId36" w:type="first"/>
      <w:footerReference r:id="rId37" w:type="default"/>
      <w:footerReference r:id="rId38" w:type="first"/>
      <w:type w:val="nextPage"/>
      <w:pgSz w:h="16838" w:w="11906" w:orient="portrait"/>
      <w:pgMar w:bottom="1247" w:top="1304" w:left="1417" w:right="1417" w:header="680" w:footer="68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5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30"/>
      <w:gridCol w:w="5130"/>
      <w:gridCol w:w="5130"/>
      <w:tblGridChange w:id="0">
        <w:tblGrid>
          <w:gridCol w:w="5130"/>
          <w:gridCol w:w="5130"/>
          <w:gridCol w:w="5130"/>
        </w:tblGrid>
      </w:tblGridChange>
    </w:tblGrid>
    <w:tr>
      <w:trPr>
        <w:cantSplit w:val="0"/>
        <w:trHeight w:val="300" w:hRule="atLeast"/>
        <w:tblHeader w:val="0"/>
      </w:trPr>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15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30"/>
      <w:gridCol w:w="5130"/>
      <w:gridCol w:w="5130"/>
      <w:tblGridChange w:id="0">
        <w:tblGrid>
          <w:gridCol w:w="5130"/>
          <w:gridCol w:w="5130"/>
          <w:gridCol w:w="5130"/>
        </w:tblGrid>
      </w:tblGridChange>
    </w:tblGrid>
    <w:tr>
      <w:trPr>
        <w:cantSplit w:val="0"/>
        <w:trHeight w:val="300" w:hRule="atLeast"/>
        <w:tblHeader w:val="0"/>
      </w:trPr>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15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30"/>
      <w:gridCol w:w="5130"/>
      <w:gridCol w:w="5130"/>
      <w:tblGridChange w:id="0">
        <w:tblGrid>
          <w:gridCol w:w="5130"/>
          <w:gridCol w:w="5130"/>
          <w:gridCol w:w="5130"/>
        </w:tblGrid>
      </w:tblGridChange>
    </w:tblGrid>
    <w:tr>
      <w:trPr>
        <w:cantSplit w:val="0"/>
        <w:trHeight w:val="300" w:hRule="atLeast"/>
        <w:tblHeader w:val="0"/>
      </w:trPr>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5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30"/>
      <w:gridCol w:w="5130"/>
      <w:gridCol w:w="5130"/>
      <w:tblGridChange w:id="0">
        <w:tblGrid>
          <w:gridCol w:w="5130"/>
          <w:gridCol w:w="5130"/>
          <w:gridCol w:w="5130"/>
        </w:tblGrid>
      </w:tblGridChange>
    </w:tblGrid>
    <w:tr>
      <w:trPr>
        <w:cantSplit w:val="0"/>
        <w:trHeight w:val="300" w:hRule="atLeast"/>
        <w:tblHeader w:val="0"/>
      </w:trPr>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15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30"/>
      <w:gridCol w:w="5130"/>
      <w:gridCol w:w="5130"/>
      <w:tblGridChange w:id="0">
        <w:tblGrid>
          <w:gridCol w:w="5130"/>
          <w:gridCol w:w="5130"/>
          <w:gridCol w:w="5130"/>
        </w:tblGrid>
      </w:tblGridChange>
    </w:tblGrid>
    <w:tr>
      <w:trPr>
        <w:cantSplit w:val="0"/>
        <w:trHeight w:val="300" w:hRule="atLeast"/>
        <w:tblHeader w:val="0"/>
      </w:trPr>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15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30"/>
      <w:gridCol w:w="5130"/>
      <w:gridCol w:w="5130"/>
      <w:tblGridChange w:id="0">
        <w:tblGrid>
          <w:gridCol w:w="5130"/>
          <w:gridCol w:w="5130"/>
          <w:gridCol w:w="5130"/>
        </w:tblGrid>
      </w:tblGridChange>
    </w:tblGrid>
    <w:tr>
      <w:trPr>
        <w:cantSplit w:val="0"/>
        <w:trHeight w:val="300" w:hRule="atLeast"/>
        <w:tblHeader w:val="0"/>
      </w:trPr>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
      <w:lvlJc w:val="left"/>
      <w:pPr>
        <w:ind w:left="0" w:firstLine="0"/>
      </w:pPr>
      <w:rPr/>
    </w:lvl>
    <w:lvl w:ilvl="1">
      <w:start w:val="1"/>
      <w:numFmt w:val="decimal"/>
      <w:lvlText w:val="%1.%2"/>
      <w:lvlJc w:val="left"/>
      <w:pPr>
        <w:ind w:left="0" w:firstLine="0"/>
      </w:pPr>
      <w:rPr/>
    </w:lvl>
    <w:lvl w:ilvl="2">
      <w:start w:val="1"/>
      <w:numFmt w:val="decimal"/>
      <w:lvlText w:val="%1.%2.%3"/>
      <w:lvlJc w:val="left"/>
      <w:pPr>
        <w:ind w:left="36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80" w:before="0" w:lineRule="auto"/>
      <w:ind w:left="0" w:firstLine="0"/>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240" w:lineRule="auto"/>
      <w:ind w:left="0" w:firstLine="0"/>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80" w:before="180" w:lineRule="auto"/>
      <w:ind w:left="360" w:hanging="360"/>
    </w:pPr>
    <w:rPr>
      <w:rFonts w:ascii="Times New Roman" w:cs="Times New Roman" w:eastAsia="Times New Roman" w:hAnsi="Times New Roman"/>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header" Target="header7.xml"/><Relationship Id="rId21" Type="http://schemas.openxmlformats.org/officeDocument/2006/relationships/image" Target="media/image2.png"/><Relationship Id="rId24" Type="http://schemas.openxmlformats.org/officeDocument/2006/relationships/footer" Target="footer7.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9.xml"/><Relationship Id="rId25" Type="http://schemas.openxmlformats.org/officeDocument/2006/relationships/footer" Target="footer8.xml"/><Relationship Id="rId28" Type="http://schemas.openxmlformats.org/officeDocument/2006/relationships/footer" Target="footer9.xml"/><Relationship Id="rId27" Type="http://schemas.openxmlformats.org/officeDocument/2006/relationships/header" Target="header10.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0.xml"/><Relationship Id="rId7" Type="http://schemas.openxmlformats.org/officeDocument/2006/relationships/image" Target="media/image5.png"/><Relationship Id="rId8" Type="http://schemas.openxmlformats.org/officeDocument/2006/relationships/header" Target="header1.xml"/><Relationship Id="rId31" Type="http://schemas.openxmlformats.org/officeDocument/2006/relationships/header" Target="header11.xml"/><Relationship Id="rId30" Type="http://schemas.openxmlformats.org/officeDocument/2006/relationships/image" Target="media/image3.png"/><Relationship Id="rId11" Type="http://schemas.openxmlformats.org/officeDocument/2006/relationships/footer" Target="footer2.xml"/><Relationship Id="rId33" Type="http://schemas.openxmlformats.org/officeDocument/2006/relationships/footer" Target="footer11.xml"/><Relationship Id="rId10" Type="http://schemas.openxmlformats.org/officeDocument/2006/relationships/footer" Target="footer1.xml"/><Relationship Id="rId32" Type="http://schemas.openxmlformats.org/officeDocument/2006/relationships/header" Target="header12.xml"/><Relationship Id="rId13" Type="http://schemas.openxmlformats.org/officeDocument/2006/relationships/header" Target="header3.xml"/><Relationship Id="rId35" Type="http://schemas.openxmlformats.org/officeDocument/2006/relationships/header" Target="header13.xml"/><Relationship Id="rId12" Type="http://schemas.openxmlformats.org/officeDocument/2006/relationships/image" Target="media/image4.png"/><Relationship Id="rId34" Type="http://schemas.openxmlformats.org/officeDocument/2006/relationships/footer" Target="footer12.xml"/><Relationship Id="rId15" Type="http://schemas.openxmlformats.org/officeDocument/2006/relationships/footer" Target="footer3.xml"/><Relationship Id="rId37" Type="http://schemas.openxmlformats.org/officeDocument/2006/relationships/footer" Target="footer13.xml"/><Relationship Id="rId14" Type="http://schemas.openxmlformats.org/officeDocument/2006/relationships/header" Target="header4.xml"/><Relationship Id="rId36" Type="http://schemas.openxmlformats.org/officeDocument/2006/relationships/header" Target="header14.xml"/><Relationship Id="rId17" Type="http://schemas.openxmlformats.org/officeDocument/2006/relationships/header" Target="header5.xml"/><Relationship Id="rId16" Type="http://schemas.openxmlformats.org/officeDocument/2006/relationships/footer" Target="footer4.xml"/><Relationship Id="rId38" Type="http://schemas.openxmlformats.org/officeDocument/2006/relationships/footer" Target="footer14.xml"/><Relationship Id="rId19" Type="http://schemas.openxmlformats.org/officeDocument/2006/relationships/footer" Target="footer5.xml"/><Relationship Id="rId1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