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LINEAMIENTOS DEL PROGRAMA PERMANENTE PARA ELEVAR LA CALIDAD EN LA EDUCACIÓN (IPAC)</w:t>
      </w:r>
    </w:p>
    <w:p>
      <w:pPr>
        <w:pStyle w:val="Heading1"/>
      </w:pPr>
      <w:r>
        <w:t>PREÁMBULO</w:t>
      </w:r>
    </w:p>
    <w:p>
      <w:r>
        <w:t>(NOMBRE DEL TITULAR), Secretario(a) de Educación del Estado de Guanajuato, con fundamento en lo establecido en los artículos 134 de la Constitución Política de los Estados Unidos Mexicanos; 80, primer párrafo, de la Constitución Política para el Estado de Guanajuato; 25 y 42, fracción L de la Ley de Educación para el Estado de Guanajuato; 13, fracción correspondiente de la Ley Orgánica del Poder Ejecutivo para el Estado de Guanajuato; Artículo Transitorio aplicable de la Ley del Presupuesto General de Egresos del Estado de Guanajuato para el Ejercicio Fiscal 2025; 78 sexies, 78 septies y 78 octies de la Ley para el Ejercicio y Control de los Recursos Públicos para el Estado y los Municipios de Guanajuato; 26, fracción XV y 27, fracción XV de la Ley de Transparencia y Acceso a la Información Pública para el Estado de Guanajuato; y en ejercicio de las facultades que me confieren los artículos correspondientes del Reglamento Interior de la Secretaría de Educación de Guanajuato.</w:t>
      </w:r>
    </w:p>
    <w:p>
      <w:pPr>
        <w:pStyle w:val="Heading1"/>
      </w:pPr>
      <w:r>
        <w:t>CONSIDERANDO</w:t>
      </w:r>
    </w:p>
    <w:p>
      <w:r>
        <w:t>A pesar de los retos sociales y educativos, el Estado de Guanajuato se ha caracterizado por su resiliencia y capacidad de innovación. En este marco, resulta prioritario consolidar una política educativa con enfoque humanista, inclusivo y de mejora continua, que garantice el derecho a la educación de calidad para niñas, niños y adolescentes. El Programa Permanente para Elevar la Calidad en la Educación (IPAC) busca impulsar el máximo logro de los aprendizajes, alineado al Plan Estatal de Desarrollo 2050, a los Objetivos de Desarrollo Sostenible (ODS), en particular el ODS 4 sobre educación de calidad, y a los compromisos establecidos entre la Secretaría de Educación de Guanajuato (SEG) y las Secciones 13 y 45 del SNTE.</w:t>
      </w:r>
    </w:p>
    <w:p>
      <w:pPr>
        <w:pStyle w:val="Heading1"/>
      </w:pPr>
      <w:r>
        <w:t>ACUERDO</w:t>
      </w:r>
    </w:p>
    <w:p>
      <w:r>
        <w:t>Artículo Único. Se expiden los Lineamientos del Programa Permanente para Elevar la Calidad en la Educación (IPAC) para el Ejercicio Fiscal de 2025, para quedar en los siguientes términos:</w:t>
      </w:r>
    </w:p>
    <w:p>
      <w:pPr>
        <w:pStyle w:val="Heading1"/>
      </w:pPr>
      <w:r>
        <w:t>CAPÍTULO I. DISPOSICIONES GENERALES</w:t>
      </w:r>
    </w:p>
    <w:p>
      <w:r>
        <w:t>Artículo 1. Objeto de los Lineamientos. [...]</w:t>
      </w:r>
    </w:p>
    <w:p>
      <w:r>
        <w:t>Artículo 2. Glosario. [...]</w:t>
      </w:r>
    </w:p>
    <w:p>
      <w:pPr>
        <w:pStyle w:val="Heading1"/>
      </w:pPr>
      <w:r>
        <w:t>CAPÍTULO II. PROGRAMA</w:t>
      </w:r>
    </w:p>
    <w:p>
      <w:r>
        <w:t>Artículo 3. Objetivo general del Programa. [...]</w:t>
      </w:r>
    </w:p>
    <w:p>
      <w:r>
        <w:t>Artículo 4. Objetivos específicos del Programa. [...]</w:t>
      </w:r>
    </w:p>
    <w:p>
      <w:r>
        <w:t>Artículo 5. Población objetivo. [...]</w:t>
      </w:r>
    </w:p>
    <w:p>
      <w:r>
        <w:t>Artículo 6. Responsable del Programa. [...]</w:t>
      </w:r>
    </w:p>
    <w:p>
      <w:r>
        <w:t>Artículo 7. Tipo de Programa. [...]</w:t>
      </w:r>
    </w:p>
    <w:p>
      <w:r>
        <w:t>Artículo 8. Mecanismos de articulación, coordinación y colaboración. [...]</w:t>
      </w:r>
    </w:p>
    <w:p>
      <w:pPr>
        <w:pStyle w:val="Heading1"/>
      </w:pPr>
      <w:r>
        <w:t>CAPÍTULO III. APOYOS</w:t>
      </w:r>
    </w:p>
    <w:p>
      <w:r>
        <w:t>Artículo 9. Modalidades y tipos de apoyos. [...]</w:t>
      </w:r>
    </w:p>
    <w:p>
      <w:r>
        <w:t>Artículo 10. Metas programadas. [...]</w:t>
      </w:r>
    </w:p>
    <w:p>
      <w:r>
        <w:t>Artículo 11. Requisitos para acceder a los apoyos. [...]</w:t>
      </w:r>
    </w:p>
    <w:p>
      <w:r>
        <w:t>Artículo 12. Procedimientos de acceso a los apoyos. [...]</w:t>
      </w:r>
    </w:p>
    <w:p>
      <w:r>
        <w:t>Artículo 13. Criterios de elegibilidad. [...]</w:t>
      </w:r>
    </w:p>
    <w:p>
      <w:pPr>
        <w:pStyle w:val="Heading1"/>
      </w:pPr>
      <w:r>
        <w:t>CAPÍTULO IV. GASTO</w:t>
      </w:r>
    </w:p>
    <w:p>
      <w:r>
        <w:t>Artículo 14. Programación presupuestal. [...]</w:t>
      </w:r>
    </w:p>
    <w:p>
      <w:r>
        <w:t>Artículo 15. Métodos de comprobación del gasto. [...]</w:t>
      </w:r>
    </w:p>
    <w:p>
      <w:r>
        <w:t>Artículo 16. Procedimiento para el reintegro de recursos. [...]</w:t>
      </w:r>
    </w:p>
    <w:p>
      <w:pPr>
        <w:pStyle w:val="Heading1"/>
      </w:pPr>
      <w:r>
        <w:t>CAPÍTULO V. DERECHOS, OBLIGACIONES Y SANCIONES</w:t>
      </w:r>
    </w:p>
    <w:p>
      <w:r>
        <w:t>Artículo 17. Derechos de las personas beneficiarias. [...]</w:t>
      </w:r>
    </w:p>
    <w:p>
      <w:r>
        <w:t>Artículo 18. Obligaciones de las personas beneficiarias. [...]</w:t>
      </w:r>
    </w:p>
    <w:p>
      <w:r>
        <w:t>Artículo 19. Sanciones. [...]</w:t>
      </w:r>
    </w:p>
    <w:p>
      <w:r>
        <w:t>Artículo 20. Mecanismos de exigibilidad. [...]</w:t>
      </w:r>
    </w:p>
    <w:p>
      <w:r>
        <w:t>Artículo 21. Participación social. [...]</w:t>
      </w:r>
    </w:p>
    <w:p>
      <w:pPr>
        <w:pStyle w:val="Heading1"/>
      </w:pPr>
      <w:r>
        <w:t>CAPÍTULO VI. EQUIDAD, INCLUSIÓN Y DIVERSIDAD SOCIAL</w:t>
      </w:r>
    </w:p>
    <w:p>
      <w:r>
        <w:t>Artículo 22. Perspectiva de género. [...]</w:t>
      </w:r>
    </w:p>
    <w:p>
      <w:r>
        <w:t>Artículo 23. Derechos humanos, equidad, inclusión y diversidad social. [...]</w:t>
      </w:r>
    </w:p>
    <w:p>
      <w:pPr>
        <w:pStyle w:val="Heading1"/>
      </w:pPr>
      <w:r>
        <w:t>CAPÍTULO VII. MONITOREO, EVALUACIÓN E INDICADORES</w:t>
      </w:r>
    </w:p>
    <w:p>
      <w:r>
        <w:t>Artículo 24. Auditorías y evaluación gubernamental. [...]</w:t>
      </w:r>
    </w:p>
    <w:p>
      <w:r>
        <w:t>Artículo 25. Informe para la gestión por resultados. [...]</w:t>
      </w:r>
    </w:p>
    <w:p>
      <w:r>
        <w:t>Artículo 26. Monitoreo, evaluación e indicadores. [...]</w:t>
      </w:r>
    </w:p>
    <w:p>
      <w:r>
        <w:t>Artículo 27. Publicidad informativa. [...]</w:t>
      </w:r>
    </w:p>
    <w:p>
      <w:pPr>
        <w:pStyle w:val="Heading1"/>
      </w:pPr>
      <w:r>
        <w:t>CAPÍTULO VIII. DISPOSICIONES COMPLEMENTARIAS</w:t>
      </w:r>
    </w:p>
    <w:p>
      <w:r>
        <w:t>Artículo 28. Transparencia. [...]</w:t>
      </w:r>
    </w:p>
    <w:p>
      <w:r>
        <w:t>Artículo 29. Procedimiento de denuncias. [...]</w:t>
      </w:r>
    </w:p>
    <w:p>
      <w:r>
        <w:t>Artículo 30. Formatos. [...]</w:t>
      </w:r>
    </w:p>
    <w:p>
      <w:r>
        <w:t>Artículo 31. Aplicación imparcial de recursos públicos. [...]</w:t>
      </w:r>
    </w:p>
    <w:p>
      <w:pPr>
        <w:pStyle w:val="Heading1"/>
      </w:pPr>
      <w:r>
        <w:t>ARTÍCULOS TRANSITORIOS</w:t>
      </w:r>
    </w:p>
    <w:p>
      <w:r>
        <w:t>Artículo Primero. Vigencia. [...]</w:t>
      </w:r>
    </w:p>
    <w:p>
      <w:r>
        <w:t>Artículo Segundo. Acciones, procedimientos y procesos pendientes. [...]</w:t>
      </w:r>
    </w:p>
    <w:p>
      <w:r>
        <w:t>Artículo Tercero. Derogación de disposiciones. [...]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