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Âmbito federal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Lei nº 12.305/2010 – Política Nacional de Resíduos Sólidos (PNRS):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Estabelece a responsabilidade compartilhada pelo ciclo de vida dos produtos e obriga fabricantes, importadores, distribuidores e comerciantes a implementar sistemas de logística reversa para produtos pós-consumo, como embalagens, eletrônicos, pneus, pilhas, baterias e medicamentos vencidos.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nº 10.936/2022: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Regulamenta a PNRS, substituindo o Decreto nº 7.404/2010, e detalha os procedimentos para a implementação da logística reversa, incluindo metas, prazos e mecanismos de controle.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nº 10.240/2020: Produtos eletroeletrônicos e seus componentes.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nº 10.388/2020: Medicamentos domiciliares vencidos ou em desuso.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nº 11.300/2022: Embalagens de vidro.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nº 11.413/2023: Certificados de crédito de reciclagem e estruturação de embalagens em geral.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Resoluções CONAMA: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Resolução nº 307/2002: Gestão de resíduos da construção civil.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Resolução nº 362/2005: Recolhimento e destinação de óleo lubrificante usado ou contaminado.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Resolução nº 401/2008: Limites de metais pesados em pilhas e baterias e seu gerenciamento ambiental.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Âmbito estadual, em São Paulo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Lei Estadual nº 12.300/2006: Institui a Política Estadual de Resíduos Sólidos.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Estadual nº 54.645/2009: Regulamenta a política estadual.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Resolução SMA nº 45/2015: Define diretrizes para a implementação da responsabilidade pós-consumo.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Âmbito municipal, em Piracicaba:</w:t>
        <w:br w:type="textWrapping"/>
        <w:br w:type="textWrapping"/>
        <w:t xml:space="preserve">Lei Complementar nº 412/2020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Estabelece critérios para a elaboração dos Planos de Gerenciamento de Resíduos Sólidos (PGRS) por grandes geradores, conforme definido no artigo 20 da Lei Federal nº 12.305/2010. Essa lei determina que estabelecimentos comerciais, industriais, de saúde e organizadores de eventos que gerem mais de 200 litros de resíduos por dia devem elaborar e implementar um PGRS.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Decreto Municipal nº 19.039/2022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Regulamenta a Lei Complementar nº 412/2020, detalhando os procedimentos para a elaboração, apresentação e aprovação dos PGRS pelos grandes geradores de resíduos no município.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Diretrizes do PMGIRS (Plano Municipal de Gestão Integrada de Resíduos Sólidos Urbanos)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Diretriz 01: Desenvolver, implementar e monitorar o Sistema de Cadastros do PGRS.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Diretriz 02: Fomentar projetos de educação ambiental em resíduos sólidos urbanos.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Diretriz 05: Apoiar e fortalecer a Cooperativa do Reciclador Solidário e incentivar o desenvolvimento de outras cooperativas e/ou associações de catadores de materiais reutilizáveis e/ou recicláveis no município.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Diretriz 06: Promover a inclusão dos catadores autônomos nos programas de gerenciamento de resíduos reutilizáveis e/ou recicláveis do município.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Iniciativas Municipais: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 "Jogue Limpo": Parceria com fabricantes de lubrificantes para recolhimento e reciclagem de embalagens plásticas desses produtos.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Portal do Município de Piracicaba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Pontos de Coleta: Disponibilização de locais específicos para descarte adequado de lâmpadas fluorescentes, pilhas, baterias e materiais eletroeletrônicos, em colaboração com o setor privado.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Obrigatoriedade do PGRS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Empresas e estabelecimentos classificados como grandes geradores de resíduos em Piracicaba são obrigados a elaborar e implementar um Plano de Gerenciamento de Resíduos Sólidos (PGRS). Esse plano deve ser elaborado por um responsável técnico habilitado e é condição para emissão de alvarás e parte integrante do sistema de licenciamento ambiental municipal.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Fontes: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https://piracicaba.sp.gov.br/servicos/residuos-solidos-pmgirs-plano-municipal-de-gestao-integrada-de-residuos-solidos-urbanos-revisao-2019/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https://www.atribunapiracicabana.com.br/2020/12/09/prefeitura-incentiva-acoes-de-logistica-reversa/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https://smastr16.blob.core.windows.net/2001/2024/03/Piracicaba_RS_2019-1.pdf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https://www.esalq.usp.br/boletim/node/549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https://cetesb.sp.gov.br/logisticareversa/legislacao/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https://klalaw.com.br/logistica-reversa-decretos-regulamentadores-papel-estados/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lalaw.com.br/logistica-reversa-decretos-regulamentadores-papel-estados/" TargetMode="External"/><Relationship Id="rId10" Type="http://schemas.openxmlformats.org/officeDocument/2006/relationships/hyperlink" Target="https://cetesb.sp.gov.br/logisticareversa/legislacao/" TargetMode="External"/><Relationship Id="rId9" Type="http://schemas.openxmlformats.org/officeDocument/2006/relationships/hyperlink" Target="https://www.esalq.usp.br/boletim/node/549" TargetMode="External"/><Relationship Id="rId5" Type="http://schemas.openxmlformats.org/officeDocument/2006/relationships/styles" Target="styles.xml"/><Relationship Id="rId6" Type="http://schemas.openxmlformats.org/officeDocument/2006/relationships/hyperlink" Target="https://piracicaba.sp.gov.br/servicos/residuos-solidos-pmgirs-plano-municipal-de-gestao-integrada-de-residuos-solidos-urbanos-revisao-2019/" TargetMode="External"/><Relationship Id="rId7" Type="http://schemas.openxmlformats.org/officeDocument/2006/relationships/hyperlink" Target="https://www.atribunapiracicabana.com.br/2020/12/09/prefeitura-incentiva-acoes-de-logistica-reversa/" TargetMode="External"/><Relationship Id="rId8" Type="http://schemas.openxmlformats.org/officeDocument/2006/relationships/hyperlink" Target="https://smastr16.blob.core.windows.net/2001/2024/03/Piracicaba_RS_2019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