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9"/>
        <w:pBdr/>
        <w:spacing/>
        <w:ind/>
        <w:rPr>
          <w:lang w:val="ru-RU"/>
        </w:rPr>
      </w:pPr>
      <w:r>
        <w:rPr>
          <w:lang w:val="ru-RU"/>
        </w:rPr>
        <w:t xml:space="preserve">Описание задачи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lang w:val="ru-RU"/>
        </w:rPr>
        <w:t xml:space="preserve">Имея набор таблиц с несколькими слоями атрибутивных характеристик</w:t>
      </w:r>
      <w:r>
        <w:rPr>
          <w:lang w:val="ru-RU"/>
        </w:rPr>
        <w:t xml:space="preserve">,</w:t>
      </w:r>
      <w:r>
        <w:rPr>
          <w:lang w:val="ru-RU"/>
        </w:rPr>
        <w:t xml:space="preserve"> требуется создать расширение для </w:t>
      </w:r>
      <w:r>
        <w:rPr>
          <w:lang w:val="en-US"/>
        </w:rPr>
        <w:t xml:space="preserve">AutoCAD</w:t>
      </w:r>
      <w:r>
        <w:rPr>
          <w:lang w:val="ru-RU"/>
        </w:rPr>
        <w:t xml:space="preserve"> </w:t>
      </w:r>
      <w:r>
        <w:rPr>
          <w:lang w:val="en-US"/>
        </w:rPr>
        <w:t xml:space="preserve">2021 </w:t>
      </w:r>
      <w:r>
        <w:rPr>
          <w:lang w:val="ru-RU"/>
        </w:rPr>
        <w:t xml:space="preserve">с использованием (</w:t>
      </w:r>
      <w:r>
        <w:rPr>
          <w:lang w:val="ru-RU"/>
        </w:rPr>
        <w:t xml:space="preserve">.</w:t>
      </w:r>
      <w:r>
        <w:rPr>
          <w:lang w:val="en-US"/>
        </w:rPr>
        <w:t xml:space="preserve">NET</w:t>
      </w:r>
      <w:r>
        <w:rPr>
          <w:lang w:val="ru-RU"/>
        </w:rPr>
        <w:t xml:space="preserve">/</w:t>
      </w:r>
      <w:r>
        <w:rPr>
          <w:lang w:val="en-US"/>
        </w:rPr>
        <w:t xml:space="preserve">C</w:t>
      </w:r>
      <w:r>
        <w:rPr>
          <w:lang w:val="ru-RU"/>
        </w:rPr>
        <w:t xml:space="preserve">++)</w:t>
      </w:r>
      <w:r>
        <w:rPr>
          <w:lang w:val="ru-RU"/>
        </w:rPr>
        <w:t xml:space="preserve"> для отображения и обработки данной атрибутики.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lang w:val="ru-RU"/>
        </w:rPr>
        <w:t xml:space="preserve">Расширение должно иметь:</w:t>
      </w:r>
      <w:r>
        <w:rPr>
          <w:lang w:val="ru-RU"/>
        </w:rPr>
      </w:r>
    </w:p>
    <w:p>
      <w:pPr>
        <w:pStyle w:val="696"/>
        <w:numPr>
          <w:ilvl w:val="0"/>
          <w:numId w:val="1"/>
        </w:numPr>
        <w:pBdr/>
        <w:spacing/>
        <w:ind w:firstLine="709" w:left="426"/>
        <w:jc w:val="both"/>
        <w:rPr>
          <w:lang w:val="ru-RU"/>
        </w:rPr>
      </w:pPr>
      <w:r>
        <w:rPr>
          <w:lang w:val="ru-RU"/>
        </w:rPr>
        <w:t xml:space="preserve">Пошаговый графический пользовательский интерфейс пользователя</w:t>
      </w:r>
      <w:r>
        <w:rPr>
          <w:lang w:val="ru-RU"/>
        </w:rPr>
        <w:t xml:space="preserve"> для управления функционалом </w:t>
      </w:r>
      <w:r>
        <w:rPr>
          <w:lang w:val="ru-RU"/>
        </w:rPr>
        <w:t xml:space="preserve">расширения</w:t>
      </w:r>
      <w:r>
        <w:rPr>
          <w:lang w:val="ru-RU"/>
        </w:rPr>
        <w:t xml:space="preserve"> (рекомендуется использовать </w:t>
      </w:r>
      <w:r>
        <w:rPr>
          <w:lang w:val="en-US"/>
        </w:rPr>
        <w:t xml:space="preserve">WinForms</w:t>
      </w:r>
      <w:r>
        <w:rPr>
          <w:lang w:val="ru-RU"/>
        </w:rPr>
        <w:t xml:space="preserve">/</w:t>
      </w:r>
      <w:r>
        <w:rPr>
          <w:lang w:val="en-US"/>
        </w:rPr>
        <w:t xml:space="preserve">WPF</w:t>
      </w:r>
      <w:r>
        <w:rPr>
          <w:lang w:val="ru-RU"/>
        </w:rPr>
        <w:t xml:space="preserve">/</w:t>
      </w:r>
      <w:r>
        <w:rPr>
          <w:lang w:val="en-US"/>
        </w:rPr>
        <w:t xml:space="preserve">AvaloniaUI</w:t>
      </w:r>
      <w:r>
        <w:rPr>
          <w:lang w:val="ru-RU"/>
        </w:rPr>
        <w:t xml:space="preserve">)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pStyle w:val="696"/>
        <w:numPr>
          <w:ilvl w:val="0"/>
          <w:numId w:val="1"/>
        </w:numPr>
        <w:pBdr/>
        <w:spacing/>
        <w:ind w:firstLine="709" w:left="426"/>
        <w:jc w:val="both"/>
        <w:rPr>
          <w:lang w:val="ru-RU"/>
        </w:rPr>
      </w:pPr>
      <w:r>
        <w:rPr>
          <w:lang w:val="ru-RU"/>
        </w:rPr>
        <w:t xml:space="preserve">Пользовательский интерфейс просмотра и редактирования свойств существующего набора точек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pStyle w:val="696"/>
        <w:numPr>
          <w:ilvl w:val="0"/>
          <w:numId w:val="1"/>
        </w:numPr>
        <w:pBdr/>
        <w:spacing/>
        <w:ind w:firstLine="709" w:left="426"/>
        <w:jc w:val="both"/>
        <w:rPr>
          <w:lang w:val="ru-RU"/>
        </w:rPr>
      </w:pPr>
      <w:r>
        <w:rPr>
          <w:lang w:val="ru-RU"/>
        </w:rPr>
        <w:t xml:space="preserve">Добавление и удаление новых точек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pStyle w:val="696"/>
        <w:numPr>
          <w:ilvl w:val="0"/>
          <w:numId w:val="1"/>
        </w:numPr>
        <w:pBdr/>
        <w:spacing/>
        <w:ind w:firstLine="709" w:left="426"/>
        <w:jc w:val="both"/>
        <w:rPr>
          <w:lang w:val="ru-RU"/>
        </w:rPr>
      </w:pPr>
      <w:r>
        <w:rPr>
          <w:lang w:val="ru-RU"/>
        </w:rPr>
        <w:t xml:space="preserve">Поддержка </w:t>
      </w:r>
      <w:r>
        <w:rPr>
          <w:lang w:val="ru-RU"/>
        </w:rPr>
        <w:t xml:space="preserve">расчетов по указанной пользо</w:t>
      </w:r>
      <w:r>
        <w:rPr>
          <w:lang w:val="ru-RU"/>
        </w:rPr>
        <w:t xml:space="preserve">в</w:t>
      </w:r>
      <w:r>
        <w:rPr>
          <w:lang w:val="ru-RU"/>
        </w:rPr>
        <w:t xml:space="preserve">ателем области:</w:t>
      </w:r>
      <w:r>
        <w:rPr>
          <w:lang w:val="ru-RU"/>
        </w:rPr>
      </w:r>
    </w:p>
    <w:p>
      <w:pPr>
        <w:pStyle w:val="696"/>
        <w:numPr>
          <w:ilvl w:val="0"/>
          <w:numId w:val="2"/>
        </w:numPr>
        <w:pBdr/>
        <w:spacing/>
        <w:ind w:firstLine="709"/>
        <w:jc w:val="both"/>
        <w:rPr>
          <w:lang w:val="ru-RU"/>
        </w:rPr>
      </w:pPr>
      <w:r>
        <w:t xml:space="preserve">Изолинии мощностей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pStyle w:val="696"/>
        <w:numPr>
          <w:ilvl w:val="0"/>
          <w:numId w:val="2"/>
        </w:numPr>
        <w:pBdr/>
        <w:spacing/>
        <w:ind w:firstLine="709"/>
        <w:jc w:val="both"/>
        <w:rPr>
          <w:lang w:val="ru-RU"/>
        </w:rPr>
      </w:pPr>
      <w:r>
        <w:t xml:space="preserve">Поле распределения целевого параметра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pStyle w:val="696"/>
        <w:numPr>
          <w:ilvl w:val="0"/>
          <w:numId w:val="1"/>
        </w:numPr>
        <w:pBdr/>
        <w:spacing/>
        <w:ind w:firstLine="709" w:left="426"/>
        <w:jc w:val="both"/>
        <w:rPr>
          <w:lang w:val="ru-RU"/>
        </w:rPr>
      </w:pPr>
      <w:r>
        <w:rPr>
          <w:lang w:val="ru-RU"/>
        </w:rPr>
        <w:t xml:space="preserve">Статус проведение расчетов также должен отображаться пользователю в </w:t>
      </w:r>
      <w:r>
        <w:rPr>
          <w:lang w:val="en-US"/>
        </w:rPr>
        <w:t xml:space="preserve">GUI</w:t>
      </w:r>
      <w:r>
        <w:rPr>
          <w:lang w:val="ru-RU"/>
        </w:rPr>
        <w:t xml:space="preserve">;</w:t>
      </w:r>
      <w:r>
        <w:rPr>
          <w:lang w:val="ru-RU"/>
        </w:rPr>
      </w:r>
    </w:p>
    <w:p>
      <w:pPr>
        <w:pStyle w:val="696"/>
        <w:numPr>
          <w:ilvl w:val="0"/>
          <w:numId w:val="1"/>
        </w:numPr>
        <w:pBdr/>
        <w:spacing/>
        <w:ind w:firstLine="709" w:left="426"/>
        <w:jc w:val="both"/>
        <w:rPr>
          <w:lang w:val="ru-RU"/>
        </w:rPr>
      </w:pPr>
      <w:r>
        <w:rPr>
          <w:lang w:val="ru-RU"/>
        </w:rPr>
        <w:t xml:space="preserve">Данные должны считываться из БД</w:t>
      </w:r>
      <w:r>
        <w:rPr>
          <w:lang w:val="en-US"/>
        </w:rPr>
        <w:t xml:space="preserve"> Oracle Database.</w:t>
      </w:r>
      <w:r>
        <w:rPr>
          <w:lang w:val="ru-RU"/>
        </w:rPr>
      </w:r>
    </w:p>
    <w:p>
      <w:pPr>
        <w:pBdr/>
        <w:spacing/>
        <w:ind w:firstLine="709"/>
        <w:jc w:val="both"/>
        <w:rPr>
          <w:lang w:val="ru-RU"/>
        </w:rPr>
      </w:pPr>
      <w:r>
        <w:rPr>
          <w:lang w:val="ru-RU"/>
        </w:rPr>
        <w:t xml:space="preserve">Кроме того, п</w:t>
      </w:r>
      <w:r>
        <w:rPr>
          <w:lang w:val="ru-RU"/>
        </w:rPr>
        <w:t xml:space="preserve">ользователь имеет возможность остановить расчет с последующей операцией продолжения, а также полностью его прекратить.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Style w:val="669"/>
        <w:pBdr/>
        <w:spacing/>
        <w:ind/>
        <w:rPr>
          <w:lang w:val="ru-RU"/>
        </w:rPr>
      </w:pPr>
      <w:r>
        <w:rPr>
          <w:lang w:val="ru-RU"/>
        </w:rPr>
        <w:t xml:space="preserve">Описание прилагаемых таблиц</w:t>
      </w:r>
      <w:r>
        <w:rPr>
          <w:lang w:val="ru-RU"/>
        </w:rPr>
      </w:r>
    </w:p>
    <w:p>
      <w:pPr>
        <w:pBdr/>
        <w:spacing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Прилагаются следующие таблицы для работы:</w:t>
      </w:r>
      <w:r>
        <w:rPr>
          <w:szCs w:val="28"/>
          <w:lang w:val="ru-RU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2547"/>
        <w:gridCol w:w="6798"/>
      </w:tblGrid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ru-RU"/>
              </w:rPr>
            </w:pPr>
            <w:r>
              <w:rPr>
                <w:szCs w:val="28"/>
                <w:lang w:val="en-US"/>
              </w:rPr>
              <w:t xml:space="preserve">OBJECTGUID</w:t>
            </w:r>
            <w:r>
              <w:rPr>
                <w:szCs w:val="28"/>
                <w:lang w:val="ru-RU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глобальный </w:t>
            </w:r>
            <w:r>
              <w:rPr>
                <w:szCs w:val="28"/>
                <w:lang w:val="en-US"/>
              </w:rPr>
              <w:t xml:space="preserve">id</w:t>
            </w:r>
            <w:r>
              <w:rPr>
                <w:szCs w:val="28"/>
                <w:lang w:val="ru-RU"/>
              </w:rPr>
              <w:t xml:space="preserve"> объекта</w:t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ru-RU"/>
              </w:rPr>
            </w:pPr>
            <w:r>
              <w:rPr>
                <w:szCs w:val="28"/>
                <w:lang w:val="en-US"/>
              </w:rPr>
              <w:t xml:space="preserve">SUBLAYERGUID</w:t>
            </w:r>
            <w:r>
              <w:rPr>
                <w:szCs w:val="28"/>
                <w:lang w:val="ru-RU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ru-RU"/>
              </w:rPr>
            </w:pPr>
            <w:r>
              <w:rPr>
                <w:szCs w:val="28"/>
                <w:lang w:val="en-US"/>
              </w:rPr>
              <w:t xml:space="preserve">id</w:t>
            </w:r>
            <w:r>
              <w:rPr>
                <w:szCs w:val="28"/>
                <w:lang w:val="ru-RU"/>
              </w:rPr>
              <w:t xml:space="preserve"> слоя, на котором находится объект</w:t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ID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ru-RU"/>
              </w:rPr>
            </w:pPr>
            <w:r>
              <w:rPr>
                <w:szCs w:val="28"/>
                <w:lang w:val="en-US"/>
              </w:rPr>
              <w:t xml:space="preserve">id</w:t>
            </w:r>
            <w:r>
              <w:rPr>
                <w:szCs w:val="28"/>
                <w:lang w:val="ru-RU"/>
              </w:rPr>
              <w:t xml:space="preserve"> объекта (по нему </w:t>
            </w:r>
            <w:r>
              <w:rPr>
                <w:szCs w:val="28"/>
                <w:lang w:val="ru-RU"/>
              </w:rPr>
              <w:t xml:space="preserve">ссылается</w:t>
            </w:r>
            <w:r>
              <w:rPr>
                <w:szCs w:val="28"/>
                <w:lang w:val="ru-RU"/>
              </w:rPr>
              <w:t xml:space="preserve"> на атрибутику)</w:t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ru-RU"/>
              </w:rPr>
            </w:pPr>
            <w:r>
              <w:rPr>
                <w:szCs w:val="28"/>
                <w:lang w:val="en-US"/>
              </w:rPr>
              <w:t xml:space="preserve">GEOWKT</w:t>
            </w:r>
            <w:r>
              <w:rPr>
                <w:szCs w:val="28"/>
                <w:lang w:val="ru-RU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keepNext w:val="true"/>
              <w:pBdr/>
              <w:spacing/>
              <w:ind/>
              <w:jc w:val="both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геометрия в формате </w:t>
            </w:r>
            <w:r>
              <w:rPr>
                <w:szCs w:val="28"/>
                <w:lang w:val="en-US"/>
              </w:rPr>
              <w:t xml:space="preserve">GEOWKT</w:t>
            </w:r>
            <w:r>
              <w:rPr>
                <w:szCs w:val="28"/>
                <w:lang w:val="ru-RU"/>
              </w:rPr>
            </w:r>
          </w:p>
        </w:tc>
      </w:tr>
    </w:tbl>
    <w:p>
      <w:pPr>
        <w:pStyle w:val="702"/>
        <w:pBdr/>
        <w:spacing/>
        <w:ind/>
        <w:rPr>
          <w:sz w:val="28"/>
          <w:szCs w:val="28"/>
          <w:lang w:val="ru-RU"/>
        </w:rPr>
      </w:pPr>
      <w:r>
        <w:t xml:space="preserve">Таблица </w:t>
      </w:r>
      <w:fldSimple w:instr="SEQ Таблица \* ARABIC ">
        <w:r>
          <w:t xml:space="preserve">1</w:t>
        </w:r>
      </w:fldSimple>
      <w:r>
        <w:rPr>
          <w:lang w:val="ru-RU"/>
        </w:rPr>
        <w:t xml:space="preserve">. Основная таблица</w:t>
      </w:r>
      <w:r>
        <w:rPr>
          <w:lang w:val="en-US"/>
        </w:rPr>
        <w:t xml:space="preserve"> </w:t>
      </w:r>
      <w:r>
        <w:rPr>
          <w:lang w:val="ru-RU"/>
        </w:rPr>
        <w:t xml:space="preserve">геометрических данных</w:t>
      </w:r>
      <w:r>
        <w:rPr>
          <w:lang w:val="ru-RU"/>
        </w:rPr>
        <w:t xml:space="preserve"> </w:t>
      </w:r>
      <w:r>
        <w:rPr>
          <w:b/>
          <w:bCs/>
          <w:i w:val="0"/>
          <w:iCs w:val="0"/>
          <w:lang w:val="en-US"/>
        </w:rPr>
        <w:t xml:space="preserve">GEOMETRY</w:t>
      </w:r>
      <w:r>
        <w:rPr>
          <w:sz w:val="28"/>
          <w:szCs w:val="28"/>
          <w:lang w:val="ru-RU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2547"/>
        <w:gridCol w:w="6798"/>
      </w:tblGrid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ID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id</w:t>
            </w:r>
            <w:r>
              <w:rPr>
                <w:szCs w:val="28"/>
                <w:lang w:val="ru-RU"/>
              </w:rPr>
              <w:t xml:space="preserve"> объекта</w:t>
            </w:r>
            <w:r>
              <w:rPr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X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 xml:space="preserve">вертикальная координата</w:t>
            </w:r>
            <w:r>
              <w:rPr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Y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 xml:space="preserve">горизонтальная координата</w:t>
            </w:r>
            <w:r>
              <w:rPr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Z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keepNext w:val="true"/>
              <w:pBdr/>
              <w:spacing/>
              <w:ind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 xml:space="preserve">высотная отметка</w:t>
            </w:r>
            <w:r>
              <w:rPr>
                <w:szCs w:val="28"/>
                <w:lang w:val="en-US"/>
              </w:rPr>
            </w:r>
          </w:p>
        </w:tc>
      </w:tr>
    </w:tbl>
    <w:p>
      <w:pPr>
        <w:pStyle w:val="702"/>
        <w:pBdr/>
        <w:spacing/>
        <w:ind/>
        <w:rPr>
          <w:szCs w:val="28"/>
          <w:lang w:val="en-US"/>
        </w:rPr>
      </w:pPr>
      <w:r>
        <w:t xml:space="preserve">Таблица </w:t>
      </w:r>
      <w:fldSimple w:instr="SEQ Таблица \* ARABIC ">
        <w:r>
          <w:t xml:space="preserve">2</w:t>
        </w:r>
      </w:fldSimple>
      <w:r>
        <w:t xml:space="preserve">. </w:t>
      </w:r>
      <w:r>
        <w:rPr>
          <w:lang w:val="ru-RU"/>
        </w:rPr>
        <w:t xml:space="preserve">Таблица пунктов опробования </w:t>
      </w:r>
      <w:r>
        <w:rPr>
          <w:b/>
          <w:bCs/>
          <w:i w:val="0"/>
          <w:iCs w:val="0"/>
          <w:lang w:val="en-US"/>
        </w:rPr>
        <w:t xml:space="preserve">GPO</w:t>
      </w:r>
      <w:r>
        <w:rPr>
          <w:szCs w:val="28"/>
          <w:lang w:val="en-US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2547"/>
        <w:gridCol w:w="6798"/>
      </w:tblGrid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ID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id</w:t>
            </w:r>
            <w:r>
              <w:rPr>
                <w:szCs w:val="28"/>
                <w:lang w:val="ru-RU"/>
              </w:rPr>
              <w:t xml:space="preserve"> пункта опробования</w:t>
            </w:r>
            <w:r>
              <w:rPr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PROBA</w:t>
            </w:r>
            <w:r>
              <w:rPr>
                <w:szCs w:val="28"/>
                <w:lang w:val="ru-RU"/>
              </w:rPr>
              <w:t xml:space="preserve">_</w:t>
            </w:r>
            <w:r>
              <w:rPr>
                <w:szCs w:val="28"/>
                <w:lang w:val="en-US"/>
              </w:rPr>
              <w:t xml:space="preserve">NUM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 xml:space="preserve">номер пробы</w:t>
            </w:r>
            <w:r>
              <w:rPr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LAYER_ID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 xml:space="preserve">номер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ru-RU"/>
              </w:rPr>
              <w:t xml:space="preserve">слоя</w:t>
            </w:r>
            <w:r>
              <w:rPr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POWER_LAYER</w:t>
            </w:r>
            <w:r>
              <w:rPr>
                <w:szCs w:val="28"/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keepNext w:val="true"/>
              <w:pBdr/>
              <w:spacing/>
              <w:ind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ru-RU"/>
              </w:rPr>
              <w:t xml:space="preserve">мощность слоя</w:t>
            </w:r>
            <w:r>
              <w:rPr>
                <w:szCs w:val="28"/>
                <w:lang w:val="en-US"/>
              </w:rPr>
            </w:r>
          </w:p>
        </w:tc>
      </w:tr>
    </w:tbl>
    <w:p>
      <w:pPr>
        <w:pStyle w:val="702"/>
        <w:pBdr/>
        <w:spacing/>
        <w:ind/>
        <w:rPr>
          <w:szCs w:val="24"/>
          <w:lang w:val="ru-RU"/>
        </w:rPr>
      </w:pPr>
      <w:r>
        <w:rPr>
          <w:szCs w:val="24"/>
        </w:rPr>
        <w:t xml:space="preserve">Таблица </w:t>
      </w:r>
      <w:r>
        <w:rPr>
          <w:szCs w:val="24"/>
        </w:rPr>
        <w:fldChar w:fldCharType="begin"/>
      </w:r>
      <w:r>
        <w:rPr>
          <w:szCs w:val="24"/>
        </w:rPr>
        <w:instrText xml:space="preserve"> SEQ Таблица \* ARABIC </w:instrText>
      </w:r>
      <w:r>
        <w:rPr>
          <w:szCs w:val="24"/>
        </w:rPr>
        <w:fldChar w:fldCharType="separate"/>
      </w:r>
      <w:r>
        <w:rPr>
          <w:szCs w:val="24"/>
        </w:rPr>
        <w:t xml:space="preserve">3</w:t>
      </w:r>
      <w:r>
        <w:rPr>
          <w:szCs w:val="24"/>
        </w:rPr>
        <w:fldChar w:fldCharType="end"/>
      </w:r>
      <w:r>
        <w:rPr>
          <w:szCs w:val="24"/>
        </w:rPr>
        <w:t xml:space="preserve">. </w:t>
      </w:r>
      <w:r>
        <w:rPr>
          <w:szCs w:val="24"/>
          <w:lang w:val="ru-RU"/>
        </w:rPr>
        <w:t xml:space="preserve">Т</w:t>
      </w:r>
      <w:r>
        <w:rPr>
          <w:szCs w:val="24"/>
          <w:lang w:val="ru-RU"/>
        </w:rPr>
        <w:t xml:space="preserve">аблица</w:t>
      </w:r>
      <w:r>
        <w:rPr>
          <w:szCs w:val="24"/>
          <w:lang w:val="ru-RU"/>
        </w:rPr>
        <w:t xml:space="preserve"> данных</w:t>
      </w:r>
      <w:r>
        <w:rPr>
          <w:szCs w:val="24"/>
          <w:lang w:val="ru-RU"/>
        </w:rPr>
        <w:t xml:space="preserve"> пунктов опробования </w:t>
      </w:r>
      <w:r>
        <w:rPr>
          <w:szCs w:val="24"/>
          <w:lang w:val="ru-RU"/>
        </w:rPr>
        <w:t xml:space="preserve">по</w:t>
      </w:r>
      <w:r>
        <w:rPr>
          <w:szCs w:val="24"/>
          <w:lang w:val="ru-RU"/>
        </w:rPr>
        <w:t xml:space="preserve"> слоям</w:t>
      </w:r>
      <w:r>
        <w:rPr>
          <w:szCs w:val="24"/>
          <w:lang w:val="ru-RU"/>
        </w:rPr>
        <w:t xml:space="preserve"> </w:t>
      </w:r>
      <w:r>
        <w:rPr>
          <w:b/>
          <w:bCs/>
          <w:i w:val="0"/>
          <w:iCs w:val="0"/>
          <w:szCs w:val="24"/>
          <w:lang w:val="en-US"/>
        </w:rPr>
        <w:t xml:space="preserve">PROBA</w:t>
      </w:r>
      <w:r>
        <w:rPr>
          <w:szCs w:val="24"/>
          <w:lang w:val="ru-RU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2547"/>
        <w:gridCol w:w="6798"/>
      </w:tblGrid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ru-RU"/>
              </w:rPr>
            </w:pPr>
            <w:r>
              <w:rPr>
                <w:szCs w:val="28"/>
                <w:lang w:val="en-US"/>
              </w:rPr>
              <w:t xml:space="preserve">PROBA_NUM</w:t>
            </w:r>
            <w:r>
              <w:rPr>
                <w:lang w:val="ru-RU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номер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ru-RU"/>
              </w:rPr>
              <w:t xml:space="preserve">пробы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ru-RU"/>
              </w:rPr>
            </w:pPr>
            <w:r>
              <w:rPr>
                <w:szCs w:val="28"/>
                <w:lang w:val="en-US"/>
              </w:rPr>
              <w:t xml:space="preserve">PARAMETER_ID</w:t>
            </w:r>
            <w:r>
              <w:rPr>
                <w:lang w:val="ru-RU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ru-RU"/>
              </w:rPr>
            </w:pPr>
            <w:r>
              <w:rPr>
                <w:szCs w:val="28"/>
                <w:lang w:val="en-US"/>
              </w:rPr>
              <w:t xml:space="preserve">id </w:t>
            </w:r>
            <w:r>
              <w:rPr>
                <w:szCs w:val="28"/>
                <w:lang w:val="ru-RU"/>
              </w:rPr>
              <w:t xml:space="preserve">хим</w:t>
            </w:r>
            <w:r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ru-RU"/>
              </w:rPr>
              <w:t xml:space="preserve">параметра</w:t>
            </w:r>
            <w:r>
              <w:rPr>
                <w:szCs w:val="28"/>
                <w:lang w:val="en-US"/>
              </w:rPr>
              <w:t xml:space="preserve">. </w:t>
            </w:r>
            <w:r>
              <w:rPr>
                <w:szCs w:val="28"/>
                <w:lang w:val="ru-RU"/>
              </w:rPr>
              <w:t xml:space="preserve">В данном случае равен 1, что соответствует </w:t>
            </w:r>
            <w:r>
              <w:rPr>
                <w:szCs w:val="28"/>
                <w:lang w:val="en-US"/>
              </w:rPr>
              <w:t xml:space="preserve">KCL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547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ru-RU"/>
              </w:rPr>
            </w:pPr>
            <w:r>
              <w:rPr>
                <w:szCs w:val="28"/>
                <w:lang w:val="en-US"/>
              </w:rPr>
              <w:t xml:space="preserve">VALUE</w:t>
            </w:r>
            <w:r>
              <w:rPr>
                <w:lang w:val="ru-RU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keepNext w:val="true"/>
              <w:pBdr/>
              <w:spacing/>
              <w:ind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значение хим содержания в пробе</w:t>
            </w:r>
            <w:r>
              <w:rPr>
                <w:lang w:val="ru-RU"/>
              </w:rPr>
            </w:r>
          </w:p>
        </w:tc>
      </w:tr>
    </w:tbl>
    <w:p>
      <w:pPr>
        <w:pStyle w:val="702"/>
        <w:pBdr/>
        <w:spacing/>
        <w:ind/>
        <w:rPr>
          <w:lang w:val="ru-RU"/>
        </w:rPr>
      </w:pPr>
      <w:r>
        <w:t xml:space="preserve">Таблица </w:t>
      </w:r>
      <w:fldSimple w:instr="SEQ Таблица \* ARABIC ">
        <w:r>
          <w:t xml:space="preserve">4</w:t>
        </w:r>
      </w:fldSimple>
      <w:r>
        <w:rPr>
          <w:lang w:val="ru-RU"/>
        </w:rPr>
        <w:t xml:space="preserve">. Таблица атрибутики химического содержания в пробах </w:t>
      </w:r>
      <w:r>
        <w:rPr>
          <w:b/>
          <w:bCs/>
          <w:i w:val="0"/>
          <w:iCs w:val="0"/>
          <w:lang w:val="en-US"/>
        </w:rPr>
        <w:t xml:space="preserve">PARAM</w:t>
      </w:r>
      <w:r>
        <w:rPr>
          <w:lang w:val="ru-RU"/>
        </w:rPr>
      </w:r>
    </w:p>
    <w:p>
      <w:pPr>
        <w:pBdr/>
        <w:spacing/>
        <w:ind w:firstLine="709"/>
        <w:jc w:val="both"/>
        <w:rPr/>
      </w:pPr>
      <w:r>
        <w:t xml:space="preserve"> 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B0306030504020204"/>
  </w:font>
  <w:font w:name="Symbol">
    <w:panose1 w:val="05010000000000000000"/>
  </w:font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88316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3A256A88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8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8"/>
    <w:link w:val="6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8"/>
    <w:link w:val="6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8"/>
    <w:link w:val="6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8"/>
    <w:link w:val="6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8"/>
    <w:link w:val="6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8"/>
    <w:link w:val="6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8"/>
    <w:link w:val="69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  <w:rPr>
      <w:rFonts w:ascii="Times New Roman" w:hAnsi="Times New Roman"/>
      <w:sz w:val="28"/>
    </w:rPr>
  </w:style>
  <w:style w:type="paragraph" w:styleId="669">
    <w:name w:val="Heading 1"/>
    <w:basedOn w:val="668"/>
    <w:next w:val="668"/>
    <w:link w:val="681"/>
    <w:uiPriority w:val="9"/>
    <w:qFormat/>
    <w:pPr>
      <w:keepNext w:val="true"/>
      <w:keepLines w:val="true"/>
      <w:pBdr/>
      <w:spacing w:after="80" w:before="360"/>
      <w:ind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670">
    <w:name w:val="Heading 2"/>
    <w:basedOn w:val="668"/>
    <w:next w:val="668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1">
    <w:name w:val="Heading 3"/>
    <w:basedOn w:val="668"/>
    <w:next w:val="668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672">
    <w:name w:val="Heading 4"/>
    <w:basedOn w:val="668"/>
    <w:next w:val="668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673">
    <w:name w:val="Heading 5"/>
    <w:basedOn w:val="668"/>
    <w:next w:val="668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674">
    <w:name w:val="Heading 6"/>
    <w:basedOn w:val="668"/>
    <w:next w:val="668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675">
    <w:name w:val="Heading 7"/>
    <w:basedOn w:val="668"/>
    <w:next w:val="668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676">
    <w:name w:val="Heading 8"/>
    <w:basedOn w:val="668"/>
    <w:next w:val="668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677">
    <w:name w:val="Heading 9"/>
    <w:basedOn w:val="668"/>
    <w:next w:val="668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character" w:styleId="681" w:customStyle="1">
    <w:name w:val="Заголовок 1 Знак"/>
    <w:basedOn w:val="678"/>
    <w:link w:val="669"/>
    <w:uiPriority w:val="9"/>
    <w:pPr>
      <w:pBdr/>
      <w:spacing/>
      <w:ind/>
    </w:pPr>
    <w:rPr>
      <w:rFonts w:ascii="Times New Roman" w:hAnsi="Times New Roman" w:eastAsiaTheme="majorEastAsia" w:cstheme="majorBidi"/>
      <w:b/>
      <w:sz w:val="36"/>
      <w:szCs w:val="40"/>
    </w:rPr>
  </w:style>
  <w:style w:type="character" w:styleId="682" w:customStyle="1">
    <w:name w:val="Заголовок 2 Знак"/>
    <w:basedOn w:val="678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3" w:customStyle="1">
    <w:name w:val="Заголовок 3 Знак"/>
    <w:basedOn w:val="678"/>
    <w:link w:val="6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4" w:customStyle="1">
    <w:name w:val="Заголовок 4 Знак"/>
    <w:basedOn w:val="678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  <w:sz w:val="28"/>
    </w:rPr>
  </w:style>
  <w:style w:type="character" w:styleId="685" w:customStyle="1">
    <w:name w:val="Заголовок 5 Знак"/>
    <w:basedOn w:val="678"/>
    <w:link w:val="67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</w:rPr>
  </w:style>
  <w:style w:type="character" w:styleId="686" w:customStyle="1">
    <w:name w:val="Заголовок 6 Знак"/>
    <w:basedOn w:val="678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</w:rPr>
  </w:style>
  <w:style w:type="character" w:styleId="687" w:customStyle="1">
    <w:name w:val="Заголовок 7 Знак"/>
    <w:basedOn w:val="678"/>
    <w:link w:val="6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</w:rPr>
  </w:style>
  <w:style w:type="character" w:styleId="688" w:customStyle="1">
    <w:name w:val="Заголовок 8 Знак"/>
    <w:basedOn w:val="678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</w:rPr>
  </w:style>
  <w:style w:type="character" w:styleId="689" w:customStyle="1">
    <w:name w:val="Заголовок 9 Знак"/>
    <w:basedOn w:val="678"/>
    <w:link w:val="6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</w:rPr>
  </w:style>
  <w:style w:type="paragraph" w:styleId="690">
    <w:name w:val="Title"/>
    <w:basedOn w:val="668"/>
    <w:next w:val="668"/>
    <w:link w:val="69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1" w:customStyle="1">
    <w:name w:val="Заголовок Знак"/>
    <w:basedOn w:val="678"/>
    <w:link w:val="6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2">
    <w:name w:val="Subtitle"/>
    <w:basedOn w:val="668"/>
    <w:next w:val="668"/>
    <w:link w:val="693"/>
    <w:uiPriority w:val="11"/>
    <w:qFormat/>
    <w:pPr>
      <w:numPr>
        <w:ilvl w:val="1"/>
      </w:num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693" w:customStyle="1">
    <w:name w:val="Подзаголовок Знак"/>
    <w:basedOn w:val="678"/>
    <w:link w:val="6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4">
    <w:name w:val="Quote"/>
    <w:basedOn w:val="668"/>
    <w:next w:val="668"/>
    <w:link w:val="6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5" w:customStyle="1">
    <w:name w:val="Цитата 2 Знак"/>
    <w:basedOn w:val="678"/>
    <w:link w:val="694"/>
    <w:uiPriority w:val="29"/>
    <w:pPr>
      <w:pBdr/>
      <w:spacing/>
      <w:ind/>
    </w:pPr>
    <w:rPr>
      <w:rFonts w:ascii="Times New Roman" w:hAnsi="Times New Roman"/>
      <w:i/>
      <w:iCs/>
      <w:color w:val="404040" w:themeColor="text1" w:themeTint="BF"/>
      <w:sz w:val="28"/>
    </w:rPr>
  </w:style>
  <w:style w:type="paragraph" w:styleId="696">
    <w:name w:val="List Paragraph"/>
    <w:basedOn w:val="668"/>
    <w:uiPriority w:val="34"/>
    <w:qFormat/>
    <w:pPr>
      <w:pBdr/>
      <w:spacing/>
      <w:ind w:left="720"/>
      <w:contextualSpacing w:val="true"/>
    </w:pPr>
  </w:style>
  <w:style w:type="character" w:styleId="697">
    <w:name w:val="Intense Emphasis"/>
    <w:basedOn w:val="67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8">
    <w:name w:val="Intense Quote"/>
    <w:basedOn w:val="668"/>
    <w:next w:val="668"/>
    <w:link w:val="69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9" w:customStyle="1">
    <w:name w:val="Выделенная цитата Знак"/>
    <w:basedOn w:val="678"/>
    <w:link w:val="698"/>
    <w:uiPriority w:val="30"/>
    <w:pPr>
      <w:pBdr/>
      <w:spacing/>
      <w:ind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styleId="700">
    <w:name w:val="Intense Reference"/>
    <w:basedOn w:val="67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01">
    <w:name w:val="Table Grid"/>
    <w:basedOn w:val="67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2">
    <w:name w:val="Caption"/>
    <w:basedOn w:val="668"/>
    <w:next w:val="668"/>
    <w:uiPriority w:val="35"/>
    <w:unhideWhenUsed/>
    <w:qFormat/>
    <w:pPr>
      <w:pBdr/>
      <w:spacing w:after="200" w:line="240" w:lineRule="auto"/>
      <w:ind/>
      <w:jc w:val="both"/>
    </w:pPr>
    <w:rPr>
      <w:i/>
      <w:iCs/>
      <w:color w:val="000000" w:themeColor="text1"/>
      <w:sz w:val="24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Grin</dc:creator>
  <cp:keywords/>
  <dc:description/>
  <cp:revision>63</cp:revision>
  <dcterms:created xsi:type="dcterms:W3CDTF">2026-07-30T12:11:00Z</dcterms:created>
  <dcterms:modified xsi:type="dcterms:W3CDTF">2026-07-30T19:04:39Z</dcterms:modified>
</cp:coreProperties>
</file>