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147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ТЗ загрузки остатков спецодежды/спецоснастки в эксплуатации </w:t>
      </w:r>
      <w:r>
        <w:rPr>
          <w:b/>
          <w:bCs/>
          <w:sz w:val="28"/>
          <w:szCs w:val="28"/>
        </w:rPr>
        <w:br/>
        <w:t xml:space="preserve">(счет 0019 (в 1С МЦ02, МЦ04)) </w:t>
      </w:r>
    </w:p>
    <w:p w:rsidR="00004147" w:rsidRDefault="00004147">
      <w:pPr>
        <w:jc w:val="center"/>
        <w:rPr>
          <w:b/>
          <w:bCs/>
          <w:sz w:val="28"/>
          <w:szCs w:val="28"/>
        </w:rPr>
      </w:pPr>
    </w:p>
    <w:p w:rsidR="00004147" w:rsidRDefault="00000000">
      <w:pPr>
        <w:jc w:val="righ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>Редакция от 02</w:t>
      </w:r>
      <w:r>
        <w:rPr>
          <w:rFonts w:ascii="Times New Roman" w:hAnsi="Times New Roman" w:cs="Times New Roman"/>
          <w:b/>
          <w:bCs/>
          <w:i/>
          <w:lang w:val="en-US"/>
        </w:rPr>
        <w:t>.05.2023</w:t>
      </w:r>
    </w:p>
    <w:p w:rsidR="00004147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выгрузки спецодежды/спецоснастки в эксплуатации передавали шаблон со следующими полями:</w:t>
      </w:r>
    </w:p>
    <w:tbl>
      <w:tblPr>
        <w:tblW w:w="9358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85"/>
        <w:gridCol w:w="1446"/>
        <w:gridCol w:w="1833"/>
        <w:gridCol w:w="1556"/>
        <w:gridCol w:w="1640"/>
        <w:gridCol w:w="2098"/>
      </w:tblGrid>
      <w:tr w:rsidR="00004147">
        <w:trPr>
          <w:trHeight w:val="790"/>
        </w:trPr>
        <w:tc>
          <w:tcPr>
            <w:tcW w:w="823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№</w:t>
            </w:r>
            <w:r>
              <w:t xml:space="preserve"> п.п.</w:t>
            </w:r>
          </w:p>
        </w:tc>
        <w:tc>
          <w:tcPr>
            <w:tcW w:w="1539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UID ТМЦ из 1С</w:t>
            </w:r>
          </w:p>
        </w:tc>
        <w:tc>
          <w:tcPr>
            <w:tcW w:w="1828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t>Номенклатурный номер</w:t>
            </w:r>
          </w:p>
        </w:tc>
        <w:tc>
          <w:tcPr>
            <w:tcW w:w="1280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Наименование</w:t>
            </w:r>
          </w:p>
        </w:tc>
        <w:tc>
          <w:tcPr>
            <w:tcW w:w="1730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t>Код группы ТМЦ 1С</w:t>
            </w:r>
          </w:p>
        </w:tc>
        <w:tc>
          <w:tcPr>
            <w:tcW w:w="2157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t>Наименование группы ТМЦ 1С</w:t>
            </w:r>
          </w:p>
        </w:tc>
      </w:tr>
    </w:tbl>
    <w:p w:rsidR="00004147" w:rsidRDefault="00004147">
      <w:pPr>
        <w:rPr>
          <w:rFonts w:ascii="Times New Roman" w:hAnsi="Times New Roman" w:cs="Times New Roman"/>
          <w:bCs/>
        </w:rPr>
      </w:pPr>
    </w:p>
    <w:tbl>
      <w:tblPr>
        <w:tblW w:w="9525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5"/>
        <w:gridCol w:w="1603"/>
        <w:gridCol w:w="1461"/>
        <w:gridCol w:w="754"/>
        <w:gridCol w:w="1423"/>
        <w:gridCol w:w="1359"/>
        <w:gridCol w:w="1250"/>
      </w:tblGrid>
      <w:tr w:rsidR="00004147">
        <w:trPr>
          <w:trHeight w:val="790"/>
        </w:trPr>
        <w:tc>
          <w:tcPr>
            <w:tcW w:w="1704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highlight w:val="darkYellow"/>
              </w:rPr>
              <w:t>К</w:t>
            </w:r>
            <w:r>
              <w:rPr>
                <w:highlight w:val="darkYellow"/>
              </w:rPr>
              <w:t>од склада или подразделения (из Галактики)</w:t>
            </w:r>
          </w:p>
        </w:tc>
        <w:tc>
          <w:tcPr>
            <w:tcW w:w="1616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t>Склад Наименование (из Галактики)</w:t>
            </w:r>
          </w:p>
        </w:tc>
        <w:tc>
          <w:tcPr>
            <w:tcW w:w="1536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Табельный номер МОЛ</w:t>
            </w:r>
          </w:p>
        </w:tc>
        <w:tc>
          <w:tcPr>
            <w:tcW w:w="795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МОЛ</w:t>
            </w:r>
          </w:p>
        </w:tc>
        <w:tc>
          <w:tcPr>
            <w:tcW w:w="1431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t>Счет/субсчет БУ</w:t>
            </w:r>
          </w:p>
        </w:tc>
        <w:tc>
          <w:tcPr>
            <w:tcW w:w="1419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t>Единица измерения</w:t>
            </w:r>
          </w:p>
        </w:tc>
        <w:tc>
          <w:tcPr>
            <w:tcW w:w="1023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Количество</w:t>
            </w:r>
          </w:p>
        </w:tc>
      </w:tr>
    </w:tbl>
    <w:p w:rsidR="00004147" w:rsidRDefault="00004147">
      <w:pPr>
        <w:rPr>
          <w:rFonts w:ascii="Times New Roman" w:hAnsi="Times New Roman" w:cs="Times New Roman"/>
          <w:bCs/>
        </w:rPr>
      </w:pPr>
    </w:p>
    <w:tbl>
      <w:tblPr>
        <w:tblW w:w="8900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12"/>
        <w:gridCol w:w="754"/>
        <w:gridCol w:w="792"/>
        <w:gridCol w:w="1556"/>
        <w:gridCol w:w="1497"/>
        <w:gridCol w:w="923"/>
        <w:gridCol w:w="1446"/>
        <w:gridCol w:w="1320"/>
      </w:tblGrid>
      <w:tr w:rsidR="00004147">
        <w:trPr>
          <w:trHeight w:val="790"/>
        </w:trPr>
        <w:tc>
          <w:tcPr>
            <w:tcW w:w="1051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highlight w:val="darkYellow"/>
              </w:rPr>
              <w:t>Ц</w:t>
            </w:r>
            <w:r>
              <w:rPr>
                <w:highlight w:val="darkYellow"/>
              </w:rPr>
              <w:t>ена руб.</w:t>
            </w:r>
          </w:p>
        </w:tc>
        <w:tc>
          <w:tcPr>
            <w:tcW w:w="916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Сумма руб.</w:t>
            </w:r>
          </w:p>
        </w:tc>
        <w:tc>
          <w:tcPr>
            <w:tcW w:w="1002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Код партии</w:t>
            </w:r>
          </w:p>
        </w:tc>
        <w:tc>
          <w:tcPr>
            <w:tcW w:w="1183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Наименование партии</w:t>
            </w:r>
          </w:p>
        </w:tc>
        <w:tc>
          <w:tcPr>
            <w:tcW w:w="1081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дата ввода в эксплуатацию</w:t>
            </w:r>
          </w:p>
        </w:tc>
        <w:tc>
          <w:tcPr>
            <w:tcW w:w="1222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срок службы в месяцах</w:t>
            </w:r>
          </w:p>
        </w:tc>
        <w:tc>
          <w:tcPr>
            <w:tcW w:w="1223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дата окончания эксплуатации</w:t>
            </w:r>
          </w:p>
        </w:tc>
        <w:tc>
          <w:tcPr>
            <w:tcW w:w="1221" w:type="dxa"/>
            <w:vAlign w:val="center"/>
          </w:tcPr>
          <w:p w:rsidR="0000414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highlight w:val="darkYellow"/>
              </w:rPr>
              <w:t>Спецодежда</w:t>
            </w:r>
          </w:p>
        </w:tc>
      </w:tr>
    </w:tbl>
    <w:p w:rsidR="00004147" w:rsidRDefault="00004147">
      <w:pPr>
        <w:rPr>
          <w:rFonts w:ascii="Times New Roman" w:hAnsi="Times New Roman" w:cs="Times New Roman"/>
          <w:bCs/>
        </w:rPr>
      </w:pPr>
    </w:p>
    <w:p w:rsidR="0000414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по остаткам спецодежды/спецоснастки в эксплуатации.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Входящая информация – файл с суммами остатков МЦ на складах. Все существенные для данной процедуры поля помечены в ТЗ </w:t>
      </w:r>
      <w:r>
        <w:rPr>
          <w:rFonts w:ascii="Times New Roman" w:hAnsi="Times New Roman" w:cs="Times New Roman"/>
          <w:bCs/>
          <w:highlight w:val="darkYellow"/>
        </w:rPr>
        <w:t>зеленым</w:t>
      </w:r>
      <w:r>
        <w:rPr>
          <w:rFonts w:ascii="Times New Roman" w:hAnsi="Times New Roman" w:cs="Times New Roman"/>
          <w:bCs/>
        </w:rPr>
        <w:t xml:space="preserve"> фоном.</w:t>
      </w:r>
    </w:p>
    <w:p w:rsidR="00004147" w:rsidRDefault="0000414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004147" w:rsidRDefault="00000000">
      <w:pPr>
        <w:pStyle w:val="a7"/>
        <w:ind w:left="0" w:firstLine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 загрузке ТМЦ будем идентифицировать:</w:t>
      </w:r>
    </w:p>
    <w:p w:rsidR="00004147" w:rsidRDefault="00000000">
      <w:pPr>
        <w:pStyle w:val="a7"/>
        <w:ind w:left="0" w:firstLine="284"/>
        <w:jc w:val="both"/>
        <w:rPr>
          <w:rFonts w:ascii="Times New Roman" w:hAnsi="Times New Roman" w:cs="Times New Roman"/>
          <w:bCs/>
        </w:rPr>
      </w:pPr>
      <w:r>
        <w:rPr>
          <w:rFonts w:cs="Times New Roman"/>
          <w:bCs/>
          <w:szCs w:val="24"/>
        </w:rPr>
        <w:t xml:space="preserve">по полю </w:t>
      </w:r>
      <w:r>
        <w:rPr>
          <w:rFonts w:cs="Times New Roman"/>
          <w:bCs/>
          <w:szCs w:val="24"/>
          <w:lang w:val="en-US"/>
        </w:rPr>
        <w:t>BARCODE 2 (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из файла), если не найдено, то по </w:t>
      </w:r>
      <w:r>
        <w:rPr>
          <w:rFonts w:cs="Times New Roman"/>
          <w:bCs/>
          <w:szCs w:val="24"/>
        </w:rPr>
        <w:t xml:space="preserve"> по полю «</w:t>
      </w:r>
      <w:r>
        <w:rPr>
          <w:rFonts w:cs="Times New Roman"/>
          <w:b/>
          <w:bCs/>
          <w:szCs w:val="24"/>
        </w:rPr>
        <w:t>Наименование».</w:t>
      </w:r>
    </w:p>
    <w:p w:rsidR="00004147" w:rsidRDefault="00000000">
      <w:pPr>
        <w:pStyle w:val="a7"/>
        <w:ind w:left="0" w:firstLine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Первая итерация процедуры проходит по каталогу МЦ и ищет все ТМЦ указанные в поле</w:t>
      </w:r>
      <w:r>
        <w:rPr>
          <w:rFonts w:cs="Times New Roman"/>
          <w:bCs/>
          <w:szCs w:val="24"/>
        </w:rPr>
        <w:t>«</w:t>
      </w:r>
      <w:r>
        <w:rPr>
          <w:rFonts w:cs="Times New Roman"/>
          <w:b/>
          <w:bCs/>
          <w:szCs w:val="24"/>
        </w:rPr>
        <w:t xml:space="preserve">UID ТМЦ из 1С» </w:t>
      </w:r>
      <w:r>
        <w:rPr>
          <w:rFonts w:cs="Times New Roman"/>
          <w:szCs w:val="24"/>
        </w:rPr>
        <w:t xml:space="preserve">, если не нашла, то по полю </w:t>
      </w:r>
      <w:r>
        <w:rPr>
          <w:rFonts w:ascii="Times New Roman" w:hAnsi="Times New Roman" w:cs="Times New Roman"/>
        </w:rPr>
        <w:t>«Наименование». Если ТМЦ по этим двум полям не найдено в каталоге МЦ, то выдается список отсутствующих ТМЦ и далее процедура ничего не делает.</w:t>
      </w:r>
      <w:r>
        <w:rPr>
          <w:rFonts w:ascii="Times New Roman" w:hAnsi="Times New Roman" w:cs="Times New Roman"/>
          <w:bCs/>
        </w:rPr>
        <w:t xml:space="preserve"> Если МЦ в каталоге МЦ найдена, то в документ берем карточку учета спецоснастки/спецодежды привязанную к данной МЦ. В базе настроено так, что номенклатурный номер карточки в спецоснастке/спецодежде совпадает с номенклатурным номером МЦ в каталоге МЦ. Карточки в системе уже созданы.</w:t>
      </w:r>
    </w:p>
    <w:p w:rsidR="00004147" w:rsidRDefault="00000000">
      <w:pPr>
        <w:pStyle w:val="a7"/>
        <w:ind w:left="0" w:firstLine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728970" cy="1372235"/>
            <wp:effectExtent l="0" t="0" r="0" b="0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47" w:rsidRDefault="00004147">
      <w:pPr>
        <w:pStyle w:val="a7"/>
        <w:ind w:left="0" w:firstLine="284"/>
        <w:jc w:val="both"/>
        <w:rPr>
          <w:rFonts w:ascii="Times New Roman" w:hAnsi="Times New Roman" w:cs="Times New Roman"/>
          <w:bCs/>
        </w:rPr>
      </w:pPr>
    </w:p>
    <w:p w:rsidR="00004147" w:rsidRDefault="00000000">
      <w:pPr>
        <w:pStyle w:val="a7"/>
        <w:ind w:left="0" w:firstLine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Склад или подразделение будем идентифицировать 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полю</w:t>
      </w:r>
      <w:r>
        <w:rPr>
          <w:rFonts w:ascii="Times New Roman" w:hAnsi="Times New Roman" w:cs="Times New Roman"/>
          <w:b/>
          <w:bCs/>
        </w:rPr>
        <w:t xml:space="preserve"> «Код склада или подразделения (из Галактики)».</w:t>
      </w:r>
    </w:p>
    <w:p w:rsidR="00004147" w:rsidRDefault="00000000">
      <w:pPr>
        <w:pStyle w:val="a7"/>
        <w:ind w:left="0" w:firstLine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МОЛ </w:t>
      </w:r>
      <w:r>
        <w:rPr>
          <w:rFonts w:ascii="Times New Roman" w:hAnsi="Times New Roman" w:cs="Times New Roman"/>
        </w:rPr>
        <w:t>— по коду МОЛ указанному в поле «Табельный номер МОЛ», если не найден, то по полю «МОЛ», в котором указано наименование материально-ответственного лица. МОЛ в системе должен быть обязательно привязан к подразделению, которое найдено в предыдущем пункте.</w:t>
      </w:r>
    </w:p>
    <w:p w:rsidR="00004147" w:rsidRDefault="0000414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В модуле «Спецоснастка» или «Спецодежда» создаются документы - «</w:t>
      </w:r>
      <w:r>
        <w:rPr>
          <w:rFonts w:ascii="Times New Roman" w:hAnsi="Times New Roman" w:cs="Times New Roman"/>
          <w:b/>
          <w:bCs/>
        </w:rPr>
        <w:t>Приход, поступление</w:t>
      </w:r>
      <w:r>
        <w:rPr>
          <w:rFonts w:ascii="Times New Roman" w:hAnsi="Times New Roman" w:cs="Times New Roman"/>
          <w:bCs/>
        </w:rPr>
        <w:t xml:space="preserve">» (если в поле «Спецодежда» загружаемого файла стоит </w:t>
      </w:r>
      <w:r>
        <w:rPr>
          <w:rFonts w:ascii="Times New Roman" w:hAnsi="Times New Roman" w:cs="Times New Roman"/>
          <w:bCs/>
          <w:lang w:val="en-US"/>
        </w:rPr>
        <w:t>TRUE</w:t>
      </w:r>
      <w:r>
        <w:rPr>
          <w:rFonts w:ascii="Times New Roman" w:hAnsi="Times New Roman" w:cs="Times New Roman"/>
          <w:bCs/>
        </w:rPr>
        <w:t xml:space="preserve">, то в модуле «Спецодежда, иначе в «Спецоснастка»). </w:t>
      </w:r>
    </w:p>
    <w:p w:rsidR="00004147" w:rsidRDefault="0000414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004147" w:rsidRDefault="00000000">
      <w:pPr>
        <w:pStyle w:val="a7"/>
        <w:ind w:left="0" w:firstLine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один документ объединяются строки с одинаковыми полями </w:t>
      </w:r>
      <w:r>
        <w:rPr>
          <w:rFonts w:ascii="Times New Roman" w:hAnsi="Times New Roman" w:cs="Times New Roman"/>
          <w:b/>
          <w:bCs/>
        </w:rPr>
        <w:t>«Код склада или подразделения (из Галактики)», «МОЛ».</w:t>
      </w:r>
    </w:p>
    <w:p w:rsidR="00004147" w:rsidRDefault="0000414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накладных следует заполнить следующие поля: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single"/>
        </w:rPr>
        <w:t>Шапка накладной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Группа дескрипторов </w:t>
      </w:r>
      <w:r>
        <w:rPr>
          <w:rFonts w:ascii="Times New Roman" w:hAnsi="Times New Roman" w:cs="Times New Roman"/>
        </w:rPr>
        <w:t>— группа дескрипторов пользователя, который загружал файл.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Дескриптор</w:t>
      </w:r>
      <w:r>
        <w:rPr>
          <w:rFonts w:ascii="Times New Roman" w:hAnsi="Times New Roman" w:cs="Times New Roman"/>
        </w:rPr>
        <w:t xml:space="preserve"> — дескриптор пользователя, который загружал файл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Номер документа «Поступление, ввод в эксплуатацию»</w:t>
      </w:r>
      <w:r>
        <w:rPr>
          <w:rFonts w:ascii="Times New Roman" w:hAnsi="Times New Roman" w:cs="Times New Roman"/>
          <w:bCs/>
        </w:rPr>
        <w:t xml:space="preserve"> – из системы порядковый номер для данного типа документов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документа</w:t>
      </w:r>
      <w:r>
        <w:rPr>
          <w:rFonts w:ascii="Times New Roman" w:hAnsi="Times New Roman" w:cs="Times New Roman"/>
          <w:bCs/>
        </w:rPr>
        <w:t xml:space="preserve"> – 31.12.2022</w:t>
      </w:r>
    </w:p>
    <w:p w:rsidR="00004147" w:rsidRDefault="0000414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u w:val="single"/>
        </w:rPr>
        <w:t>Спецификация документа</w:t>
      </w:r>
      <w:r>
        <w:rPr>
          <w:rFonts w:ascii="Times New Roman" w:hAnsi="Times New Roman" w:cs="Times New Roman"/>
          <w:bCs/>
        </w:rPr>
        <w:t>: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МЦ</w:t>
      </w:r>
      <w:r>
        <w:rPr>
          <w:rFonts w:ascii="Times New Roman" w:hAnsi="Times New Roman" w:cs="Times New Roman"/>
          <w:bCs/>
        </w:rPr>
        <w:t xml:space="preserve"> – по вышеописанному алгоритму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Единица измерения </w:t>
      </w:r>
      <w:r>
        <w:rPr>
          <w:rFonts w:ascii="Times New Roman" w:hAnsi="Times New Roman" w:cs="Times New Roman"/>
        </w:rPr>
        <w:t>— из карточки</w:t>
      </w:r>
      <w:r>
        <w:rPr>
          <w:rFonts w:ascii="Times New Roman" w:hAnsi="Times New Roman" w:cs="Times New Roman"/>
          <w:bCs/>
        </w:rPr>
        <w:t xml:space="preserve"> учета спецоснастки (или спецодежды)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Количество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Cs/>
        </w:rPr>
        <w:t>из поля «Количество»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Cs/>
        </w:rPr>
        <w:t xml:space="preserve"> – из поля «</w:t>
      </w:r>
      <w:r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/>
          <w:bCs/>
          <w:szCs w:val="24"/>
        </w:rPr>
        <w:t xml:space="preserve"> руб.» </w:t>
      </w:r>
      <w:r>
        <w:rPr>
          <w:rFonts w:ascii="Times New Roman" w:hAnsi="Times New Roman" w:cs="Times New Roman"/>
          <w:bCs/>
        </w:rPr>
        <w:t>загружаемого файла. Цена может быть равна 0. Это не ошибка. Загружаем с нулевой ценой.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-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руб.» </w:t>
      </w:r>
      <w:r>
        <w:rPr>
          <w:rFonts w:ascii="Times New Roman" w:hAnsi="Times New Roman" w:cs="Times New Roman"/>
          <w:bCs/>
        </w:rPr>
        <w:t>загружаемого файла. Сумма может быть равна 0. Это не ошибка. В этом случае загружаем с нулевой суммой (только количество).</w:t>
      </w:r>
    </w:p>
    <w:p w:rsidR="0000414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Партия</w:t>
      </w:r>
      <w:r>
        <w:rPr>
          <w:rFonts w:ascii="Times New Roman" w:hAnsi="Times New Roman" w:cs="Times New Roman"/>
          <w:bCs/>
        </w:rPr>
        <w:t xml:space="preserve"> — создать в системе партии с кодом и наименованием из полей «Код партии», «Наименование партии»</w:t>
      </w:r>
    </w:p>
    <w:p w:rsidR="00004147" w:rsidRDefault="00000000">
      <w:pPr>
        <w:ind w:firstLine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Состояние - «в эксплуатации»</w:t>
      </w:r>
    </w:p>
    <w:p w:rsidR="00004147" w:rsidRDefault="00000000">
      <w:pPr>
        <w:ind w:firstLine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Дата ввода </w:t>
      </w:r>
      <w:r>
        <w:rPr>
          <w:rFonts w:ascii="Times New Roman" w:hAnsi="Times New Roman" w:cs="Times New Roman"/>
        </w:rPr>
        <w:t>- из поля «дата ввода в эксплуатацию» загружаемого файла</w:t>
      </w:r>
    </w:p>
    <w:p w:rsidR="00004147" w:rsidRDefault="00000000">
      <w:pPr>
        <w:ind w:firstLine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Срок службы -</w:t>
      </w:r>
      <w:r>
        <w:rPr>
          <w:rFonts w:ascii="Times New Roman" w:hAnsi="Times New Roman" w:cs="Times New Roman"/>
        </w:rPr>
        <w:t xml:space="preserve"> из поля «Срок службы в месяцах» загружаемого файла</w:t>
      </w:r>
    </w:p>
    <w:p w:rsidR="00004147" w:rsidRDefault="00000000">
      <w:pPr>
        <w:ind w:firstLine="283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Дата окончания -</w:t>
      </w:r>
      <w:r>
        <w:rPr>
          <w:rFonts w:ascii="Times New Roman" w:hAnsi="Times New Roman" w:cs="Times New Roman"/>
        </w:rPr>
        <w:t xml:space="preserve"> из поля «Дата окончания эксплуатации» загружаемого файла.</w:t>
      </w:r>
    </w:p>
    <w:p w:rsidR="00004147" w:rsidRDefault="00000000">
      <w:pPr>
        <w:pStyle w:val="a3"/>
        <w:rPr>
          <w:rFonts w:ascii="Times New Roman" w:hAnsi="Times New Roman" w:cs="Times New Roman"/>
          <w:bCs/>
        </w:rPr>
      </w:pPr>
      <w:r>
        <w:rPr>
          <w:color w:val="000000"/>
        </w:rPr>
        <w:t>Оприходовать программно не надо.</w:t>
      </w:r>
    </w:p>
    <w:p w:rsidR="00004147" w:rsidRDefault="00000000">
      <w:pPr>
        <w:pStyle w:val="a3"/>
        <w:rPr>
          <w:rFonts w:ascii="Times New Roman" w:hAnsi="Times New Roman" w:cs="Times New Roman"/>
          <w:bCs/>
        </w:rPr>
      </w:pPr>
      <w:r>
        <w:rPr>
          <w:color w:val="000000"/>
        </w:rPr>
        <w:t>Выглядеть документ должен примерно так: (только без даты оприходования)</w:t>
      </w:r>
    </w:p>
    <w:p w:rsidR="00004147" w:rsidRDefault="00004147">
      <w:pPr>
        <w:pStyle w:val="a3"/>
        <w:rPr>
          <w:rFonts w:ascii="Times New Roman" w:hAnsi="Times New Roman" w:cs="Times New Roman"/>
          <w:bCs/>
        </w:rPr>
      </w:pPr>
    </w:p>
    <w:p w:rsidR="00004147" w:rsidRDefault="00000000">
      <w:pPr>
        <w:pStyle w:val="a3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>
            <wp:extent cx="6259195" cy="381000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47" w:rsidRDefault="00000000">
      <w:pPr>
        <w:ind w:firstLine="340"/>
        <w:jc w:val="right"/>
      </w:pPr>
      <w:r>
        <w:t>Тоненькова Н.В.</w:t>
      </w:r>
    </w:p>
    <w:sectPr w:rsidR="0000414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47"/>
    <w:rsid w:val="00004147"/>
    <w:rsid w:val="00D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AB087-C364-4B94-8F78-EA5DDFD4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25701B"/>
    <w:pPr>
      <w:ind w:left="720"/>
      <w:contextualSpacing/>
    </w:pPr>
    <w:rPr>
      <w:rFonts w:cs="Mangal"/>
      <w:szCs w:val="21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2893</Characters>
  <Application>Microsoft Office Word</Application>
  <DocSecurity>0</DocSecurity>
  <Lines>24</Lines>
  <Paragraphs>6</Paragraphs>
  <ScaleCrop>false</ScaleCrop>
  <Company>RePack by SPecialiST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Тоненькова Наталья Валерьевна</dc:creator>
  <dc:description/>
  <cp:lastModifiedBy>DMITRY Lapushkov</cp:lastModifiedBy>
  <cp:revision>2</cp:revision>
  <dcterms:created xsi:type="dcterms:W3CDTF">2023-05-02T15:09:00Z</dcterms:created>
  <dcterms:modified xsi:type="dcterms:W3CDTF">2023-05-02T15:09:00Z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