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FFC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 w:rsidR="001D6FFC" w:rsidRDefault="001D6FFC">
      <w:pPr>
        <w:jc w:val="center"/>
        <w:rPr>
          <w:rFonts w:hint="eastAsia"/>
          <w:b/>
          <w:bCs/>
          <w:sz w:val="28"/>
          <w:szCs w:val="28"/>
        </w:rPr>
      </w:pPr>
    </w:p>
    <w:p w:rsidR="001D6FFC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Редакция от </w:t>
      </w:r>
      <w:r w:rsidRPr="002A4CD7">
        <w:rPr>
          <w:rFonts w:ascii="Times New Roman" w:hAnsi="Times New Roman" w:cs="Times New Roman"/>
          <w:b/>
          <w:bCs/>
          <w:i/>
        </w:rPr>
        <w:t>07.04.2023</w:t>
      </w:r>
    </w:p>
    <w:p w:rsidR="001D6FF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Изменения к предыдущей версии выделены желтым фоном.</w:t>
      </w:r>
    </w:p>
    <w:p w:rsidR="001D6FF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ТМЦ на складах передавали шаблон со следующими полями:</w:t>
      </w:r>
    </w:p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11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423"/>
        <w:gridCol w:w="1797"/>
        <w:gridCol w:w="936"/>
        <w:gridCol w:w="2098"/>
      </w:tblGrid>
      <w:tr w:rsidR="001D6FFC">
        <w:trPr>
          <w:trHeight w:val="567"/>
        </w:trPr>
        <w:tc>
          <w:tcPr>
            <w:tcW w:w="961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п.п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02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4"/>
        <w:gridCol w:w="1812"/>
        <w:gridCol w:w="1533"/>
        <w:gridCol w:w="1251"/>
        <w:gridCol w:w="1244"/>
        <w:gridCol w:w="1503"/>
        <w:gridCol w:w="935"/>
      </w:tblGrid>
      <w:tr w:rsidR="001D6FFC">
        <w:trPr>
          <w:trHeight w:val="683"/>
        </w:trPr>
        <w:tc>
          <w:tcPr>
            <w:tcW w:w="96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3"/>
        <w:gridCol w:w="1300"/>
        <w:gridCol w:w="1815"/>
        <w:gridCol w:w="797"/>
        <w:gridCol w:w="934"/>
        <w:gridCol w:w="3203"/>
      </w:tblGrid>
      <w:tr w:rsidR="001D6FFC">
        <w:trPr>
          <w:trHeight w:val="733"/>
        </w:trPr>
        <w:tc>
          <w:tcPr>
            <w:tcW w:w="1192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1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"/>
        <w:gridCol w:w="905"/>
        <w:gridCol w:w="2186"/>
        <w:gridCol w:w="2667"/>
        <w:gridCol w:w="1371"/>
        <w:gridCol w:w="1127"/>
      </w:tblGrid>
      <w:tr w:rsidR="001D6FFC">
        <w:trPr>
          <w:trHeight w:val="450"/>
        </w:trPr>
        <w:tc>
          <w:tcPr>
            <w:tcW w:w="965" w:type="dxa"/>
            <w:vAlign w:val="center"/>
          </w:tcPr>
          <w:p w:rsidR="001D6FFC" w:rsidRDefault="001D6F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4" w:type="dxa"/>
            <w:vAlign w:val="center"/>
          </w:tcPr>
          <w:p w:rsidR="001D6FFC" w:rsidRDefault="001D6F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41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5"/>
        <w:gridCol w:w="1324"/>
        <w:gridCol w:w="1534"/>
        <w:gridCol w:w="1132"/>
        <w:gridCol w:w="1133"/>
        <w:gridCol w:w="1534"/>
      </w:tblGrid>
      <w:tr w:rsidR="001D6FFC">
        <w:trPr>
          <w:trHeight w:val="683"/>
        </w:trPr>
        <w:tc>
          <w:tcPr>
            <w:tcW w:w="258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24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28"/>
        <w:gridCol w:w="1575"/>
        <w:gridCol w:w="5339"/>
      </w:tblGrid>
      <w:tr w:rsidR="001D6FFC">
        <w:trPr>
          <w:trHeight w:val="342"/>
        </w:trPr>
        <w:tc>
          <w:tcPr>
            <w:tcW w:w="2328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5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9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5"/>
        <w:gridCol w:w="936"/>
        <w:gridCol w:w="936"/>
        <w:gridCol w:w="935"/>
        <w:gridCol w:w="936"/>
        <w:gridCol w:w="933"/>
        <w:gridCol w:w="935"/>
        <w:gridCol w:w="1807"/>
      </w:tblGrid>
      <w:tr w:rsidR="001D6FFC">
        <w:trPr>
          <w:trHeight w:val="1075"/>
        </w:trPr>
        <w:tc>
          <w:tcPr>
            <w:tcW w:w="1764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vAlign w:val="center"/>
          </w:tcPr>
          <w:p w:rsidR="001D6FFC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p w:rsidR="001D6FFC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Файл выгрузки по 10 счету дополнен еще полями:</w:t>
      </w:r>
    </w:p>
    <w:p w:rsidR="001D6FFC" w:rsidRDefault="001D6FFC">
      <w:pPr>
        <w:rPr>
          <w:rFonts w:ascii="Times New Roman" w:hAnsi="Times New Roman" w:cs="Times New Roman"/>
          <w:bCs/>
        </w:rPr>
      </w:pPr>
    </w:p>
    <w:tbl>
      <w:tblPr>
        <w:tblW w:w="11366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9"/>
        <w:gridCol w:w="1701"/>
        <w:gridCol w:w="1192"/>
        <w:gridCol w:w="1311"/>
        <w:gridCol w:w="1243"/>
        <w:gridCol w:w="1251"/>
        <w:gridCol w:w="1192"/>
        <w:gridCol w:w="2117"/>
      </w:tblGrid>
      <w:tr w:rsidR="001D6FFC">
        <w:trPr>
          <w:trHeight w:val="1190"/>
        </w:trPr>
        <w:tc>
          <w:tcPr>
            <w:tcW w:w="1358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sz w:val="20"/>
                <w:szCs w:val="20"/>
                <w:highlight w:val="darkYellow"/>
              </w:rPr>
              <w:t>NREC_katmc</w:t>
            </w:r>
            <w:proofErr w:type="spellEnd"/>
            <w:r>
              <w:rPr>
                <w:sz w:val="20"/>
                <w:szCs w:val="20"/>
                <w:highlight w:val="darkYellow"/>
              </w:rPr>
              <w:t xml:space="preserve"> </w:t>
            </w:r>
            <w:proofErr w:type="gramStart"/>
            <w:r>
              <w:rPr>
                <w:sz w:val="20"/>
                <w:szCs w:val="20"/>
                <w:highlight w:val="darkYellow"/>
              </w:rPr>
              <w:t>( служебный</w:t>
            </w:r>
            <w:proofErr w:type="gramEnd"/>
            <w:r>
              <w:rPr>
                <w:sz w:val="20"/>
                <w:szCs w:val="20"/>
                <w:highlight w:val="darkYellow"/>
              </w:rPr>
              <w:t xml:space="preserve"> номер записи МЦ в каталоге Галактика ERP)</w:t>
            </w:r>
          </w:p>
        </w:tc>
        <w:tc>
          <w:tcPr>
            <w:tcW w:w="1192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Учетная </w:t>
            </w:r>
            <w:proofErr w:type="spellStart"/>
            <w:r>
              <w:rPr>
                <w:sz w:val="20"/>
                <w:szCs w:val="20"/>
              </w:rPr>
              <w:t>EдИзм</w:t>
            </w:r>
            <w:proofErr w:type="spellEnd"/>
            <w:r>
              <w:rPr>
                <w:sz w:val="20"/>
                <w:szCs w:val="20"/>
              </w:rPr>
              <w:t xml:space="preserve"> для загрузки в Галактику</w:t>
            </w:r>
          </w:p>
        </w:tc>
        <w:tc>
          <w:tcPr>
            <w:tcW w:w="1311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3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 xml:space="preserve">Отпускная </w:t>
            </w:r>
            <w:proofErr w:type="spellStart"/>
            <w:proofErr w:type="gramStart"/>
            <w:r>
              <w:rPr>
                <w:sz w:val="20"/>
                <w:szCs w:val="20"/>
              </w:rPr>
              <w:t>ЕдИзм</w:t>
            </w:r>
            <w:proofErr w:type="spellEnd"/>
            <w:r>
              <w:rPr>
                <w:sz w:val="20"/>
                <w:szCs w:val="20"/>
              </w:rPr>
              <w:t xml:space="preserve">  (</w:t>
            </w:r>
            <w:proofErr w:type="gramEnd"/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мэппинга</w:t>
            </w:r>
            <w:proofErr w:type="spellEnd"/>
            <w:r>
              <w:rPr>
                <w:sz w:val="20"/>
                <w:szCs w:val="20"/>
              </w:rPr>
              <w:t xml:space="preserve"> для проверки)</w:t>
            </w:r>
          </w:p>
        </w:tc>
        <w:tc>
          <w:tcPr>
            <w:tcW w:w="1251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2" w:type="dxa"/>
            <w:vAlign w:val="bottom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7" w:type="dxa"/>
          </w:tcPr>
          <w:p w:rsidR="001D6FFC" w:rsidRDefault="00000000">
            <w:pPr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 w:rsidR="001D6FFC" w:rsidRDefault="001D6FFC">
      <w:pPr>
        <w:rPr>
          <w:rFonts w:ascii="Times New Roman" w:hAnsi="Times New Roman" w:cs="Times New Roman"/>
          <w:bCs/>
        </w:rPr>
      </w:pPr>
    </w:p>
    <w:p w:rsidR="001D6FFC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41 счета: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proofErr w:type="gramStart"/>
      <w:r>
        <w:rPr>
          <w:rFonts w:cs="Times New Roman"/>
          <w:szCs w:val="24"/>
        </w:rPr>
        <w:t xml:space="preserve">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proofErr w:type="gram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Первая итерация процедуры проходит по каталогу МЦ и ищет все ТМЦ указанные в </w:t>
      </w:r>
      <w:proofErr w:type="spellStart"/>
      <w:proofErr w:type="gramStart"/>
      <w:r>
        <w:rPr>
          <w:rFonts w:ascii="Times New Roman" w:hAnsi="Times New Roman" w:cs="Times New Roman"/>
        </w:rPr>
        <w:t>поле</w:t>
      </w:r>
      <w:r>
        <w:rPr>
          <w:rFonts w:cs="Times New Roman"/>
          <w:bCs/>
          <w:szCs w:val="24"/>
        </w:rPr>
        <w:t>«</w:t>
      </w:r>
      <w:proofErr w:type="gramEnd"/>
      <w:r>
        <w:rPr>
          <w:rFonts w:cs="Times New Roman"/>
          <w:b/>
          <w:bCs/>
          <w:szCs w:val="24"/>
        </w:rPr>
        <w:t>UID</w:t>
      </w:r>
      <w:proofErr w:type="spellEnd"/>
      <w:r>
        <w:rPr>
          <w:rFonts w:cs="Times New Roman"/>
          <w:b/>
          <w:bCs/>
          <w:szCs w:val="24"/>
        </w:rPr>
        <w:t xml:space="preserve">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u w:val="single"/>
        </w:rPr>
        <w:t>При загрузке остатков 10 счета: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lastRenderedPageBreak/>
        <w:t>1. По полю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proofErr w:type="gramStart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( </w:t>
      </w:r>
      <w:r>
        <w:rPr>
          <w:rFonts w:ascii="Calibri" w:hAnsi="Calibri"/>
          <w:b/>
          <w:bCs/>
          <w:color w:val="000000"/>
          <w:sz w:val="22"/>
        </w:rPr>
        <w:t>служебный</w:t>
      </w:r>
      <w:proofErr w:type="gramEnd"/>
      <w:r>
        <w:rPr>
          <w:rFonts w:ascii="Calibri" w:hAnsi="Calibri"/>
          <w:b/>
          <w:bCs/>
          <w:color w:val="000000"/>
          <w:sz w:val="22"/>
        </w:rPr>
        <w:t xml:space="preserve"> номер записи МЦ в каталоге Галактика ERP)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находим в каталоге МЦ поле с </w:t>
      </w:r>
      <w:proofErr w:type="spellStart"/>
      <w:r>
        <w:rPr>
          <w:rFonts w:ascii="Calibri" w:hAnsi="Calibri" w:cs="Times New Roman"/>
          <w:color w:val="000000"/>
          <w:sz w:val="22"/>
          <w:szCs w:val="24"/>
          <w:lang w:val="en-US"/>
        </w:rPr>
        <w:t>Nrec</w:t>
      </w:r>
      <w:proofErr w:type="spellEnd"/>
      <w:r>
        <w:rPr>
          <w:rFonts w:ascii="Calibri" w:hAnsi="Calibri" w:cs="Times New Roman"/>
          <w:color w:val="000000"/>
          <w:sz w:val="22"/>
          <w:szCs w:val="24"/>
          <w:lang w:val="en-US"/>
        </w:rPr>
        <w:t>-</w:t>
      </w:r>
      <w:r>
        <w:rPr>
          <w:rFonts w:ascii="Calibri" w:hAnsi="Calibri" w:cs="Times New Roman"/>
          <w:color w:val="000000"/>
          <w:sz w:val="22"/>
          <w:szCs w:val="24"/>
        </w:rPr>
        <w:t>ом, указанным в данном поле.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 w:cs="Times New Roman"/>
          <w:color w:val="000000"/>
          <w:sz w:val="22"/>
          <w:szCs w:val="24"/>
        </w:rPr>
        <w:t xml:space="preserve">2. Если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поле  «</w:t>
      </w:r>
      <w:proofErr w:type="spellStart"/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( служебный номер записи МЦ в каталоге Галактика ERP)»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не заполнено, то 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  <w:lang w:val="en-US"/>
        </w:rPr>
        <w:t>BARCODE</w:t>
      </w:r>
      <w:r w:rsidRPr="002A4CD7">
        <w:rPr>
          <w:rFonts w:cs="Times New Roman"/>
          <w:bCs/>
          <w:szCs w:val="24"/>
        </w:rPr>
        <w:t xml:space="preserve">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</w:t>
      </w:r>
      <w:r>
        <w:rPr>
          <w:rFonts w:cs="Times New Roman"/>
          <w:bCs/>
          <w:szCs w:val="24"/>
        </w:rPr>
        <w:t>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склад».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>
        <w:rPr>
          <w:rFonts w:ascii="Times New Roman" w:hAnsi="Times New Roman" w:cs="Times New Roman"/>
          <w:b/>
          <w:bCs/>
        </w:rPr>
        <w:t>Приходная накладная</w:t>
      </w:r>
      <w:r>
        <w:rPr>
          <w:rFonts w:ascii="Times New Roman" w:hAnsi="Times New Roman" w:cs="Times New Roman"/>
          <w:bCs/>
        </w:rPr>
        <w:t>».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«Дата накладной», «Номер накладной»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накладной</w:t>
      </w:r>
      <w:r>
        <w:rPr>
          <w:rFonts w:ascii="Times New Roman" w:hAnsi="Times New Roman" w:cs="Times New Roman"/>
          <w:bCs/>
        </w:rPr>
        <w:t xml:space="preserve"> – из поля «Номер накладной» загружаемого файла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накладной</w:t>
      </w:r>
      <w:r>
        <w:rPr>
          <w:rFonts w:ascii="Times New Roman" w:hAnsi="Times New Roman" w:cs="Times New Roman"/>
          <w:bCs/>
        </w:rPr>
        <w:t xml:space="preserve"> – из поля «Дата накладной» загружаемого файла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dogovor</w:t>
      </w:r>
      <w:proofErr w:type="spellEnd"/>
      <w:r w:rsidRPr="002A4CD7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shemanote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системы Галактика.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накладной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«НЕ входят в сумму позиций»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накладной</w:t>
      </w:r>
      <w:r>
        <w:rPr>
          <w:rFonts w:ascii="Times New Roman" w:hAnsi="Times New Roman" w:cs="Times New Roman"/>
          <w:bCs/>
        </w:rPr>
        <w:t>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Единица измерения</w:t>
      </w:r>
      <w:r>
        <w:rPr>
          <w:rFonts w:ascii="Times New Roman" w:hAnsi="Times New Roman" w:cs="Times New Roman"/>
          <w:bCs/>
        </w:rPr>
        <w:t>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41 счета: 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учетная единица измерения из каталога МЦ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2A4CD7">
        <w:rPr>
          <w:rFonts w:ascii="Calibri" w:hAnsi="Calibri" w:cs="Times New Roman"/>
          <w:b/>
          <w:bCs/>
          <w:color w:val="000000"/>
          <w:sz w:val="22"/>
          <w:szCs w:val="24"/>
        </w:rPr>
        <w:t>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О</w:t>
      </w:r>
      <w:r>
        <w:rPr>
          <w:rFonts w:ascii="Calibri" w:hAnsi="Calibri"/>
          <w:b/>
          <w:bCs/>
          <w:color w:val="000000"/>
          <w:sz w:val="22"/>
        </w:rPr>
        <w:t>тпускная Единица (из выгрузки 1С)</w:t>
      </w:r>
      <w:r>
        <w:rPr>
          <w:rFonts w:ascii="Calibri" w:hAnsi="Calibri"/>
          <w:color w:val="000000"/>
          <w:sz w:val="22"/>
        </w:rPr>
        <w:t xml:space="preserve">». 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color w:val="000000"/>
          <w:sz w:val="22"/>
        </w:rPr>
        <w:t xml:space="preserve">Если единица, указанная </w:t>
      </w:r>
      <w:proofErr w:type="gramStart"/>
      <w:r>
        <w:rPr>
          <w:rFonts w:ascii="Calibri" w:hAnsi="Calibri"/>
          <w:color w:val="000000"/>
          <w:sz w:val="22"/>
        </w:rPr>
        <w:t>в этом поле</w:t>
      </w:r>
      <w:proofErr w:type="gramEnd"/>
      <w:r>
        <w:rPr>
          <w:rFonts w:ascii="Calibri" w:hAnsi="Calibri"/>
          <w:color w:val="000000"/>
          <w:sz w:val="22"/>
        </w:rPr>
        <w:t xml:space="preserve">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color w:val="000000"/>
          <w:sz w:val="22"/>
        </w:rPr>
        <w:t>Коэффициент перевода к учетной единице</w:t>
      </w:r>
      <w:r>
        <w:rPr>
          <w:rFonts w:ascii="Calibri" w:hAnsi="Calibri"/>
          <w:color w:val="000000"/>
          <w:sz w:val="22"/>
        </w:rPr>
        <w:t>». Если не совпадают, то выдаем сообщение об ошибке и не загружаем.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Если у МЦ не было заполнено поле «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NREC_katmc</w:t>
      </w:r>
      <w:proofErr w:type="spellEnd"/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...» </w:t>
      </w:r>
      <w:r>
        <w:rPr>
          <w:rFonts w:ascii="Calibri" w:hAnsi="Calibri" w:cs="Times New Roman"/>
          <w:color w:val="000000"/>
          <w:sz w:val="22"/>
          <w:szCs w:val="24"/>
        </w:rPr>
        <w:t xml:space="preserve">и она была найдена по </w:t>
      </w:r>
      <w:r>
        <w:rPr>
          <w:rFonts w:ascii="Calibri" w:hAnsi="Calibri" w:cs="Times New Roman"/>
          <w:color w:val="000000"/>
          <w:sz w:val="22"/>
          <w:szCs w:val="24"/>
          <w:lang w:val="en-US"/>
        </w:rPr>
        <w:t>Barcode</w:t>
      </w:r>
      <w:r w:rsidRPr="002A4CD7">
        <w:rPr>
          <w:rFonts w:ascii="Calibri" w:hAnsi="Calibri" w:cs="Times New Roman"/>
          <w:color w:val="000000"/>
          <w:sz w:val="22"/>
          <w:szCs w:val="24"/>
        </w:rPr>
        <w:t xml:space="preserve"> 2 </w:t>
      </w:r>
      <w:r>
        <w:rPr>
          <w:rFonts w:ascii="Calibri" w:hAnsi="Calibri" w:cs="Times New Roman"/>
          <w:color w:val="000000"/>
          <w:sz w:val="22"/>
          <w:szCs w:val="24"/>
        </w:rPr>
        <w:t xml:space="preserve">или </w:t>
      </w:r>
      <w:proofErr w:type="gramStart"/>
      <w:r>
        <w:rPr>
          <w:rFonts w:ascii="Calibri" w:hAnsi="Calibri" w:cs="Times New Roman"/>
          <w:color w:val="000000"/>
          <w:sz w:val="22"/>
          <w:szCs w:val="24"/>
        </w:rPr>
        <w:t>наименованию</w:t>
      </w:r>
      <w:proofErr w:type="gramEnd"/>
      <w:r>
        <w:rPr>
          <w:rFonts w:ascii="Calibri" w:hAnsi="Calibri" w:cs="Times New Roman"/>
          <w:color w:val="000000"/>
          <w:sz w:val="22"/>
          <w:szCs w:val="24"/>
        </w:rPr>
        <w:t xml:space="preserve"> то единица измерения берется из </w:t>
      </w:r>
      <w:r>
        <w:rPr>
          <w:rFonts w:ascii="Times New Roman" w:hAnsi="Times New Roman" w:cs="Times New Roman"/>
          <w:bCs/>
        </w:rPr>
        <w:t>поля «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Е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диница измерения</w:t>
      </w:r>
      <w:r>
        <w:rPr>
          <w:rFonts w:ascii="Times New Roman" w:hAnsi="Times New Roman"/>
          <w:b/>
          <w:color w:val="000000"/>
          <w:sz w:val="16"/>
        </w:rPr>
        <w:t>»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sz w:val="22"/>
        </w:rPr>
        <w:t>Если она не совпадает с учетной единицей в Галактике, то выдается сообщение об ошибке и строка не загружается.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Для 41 счета:</w:t>
      </w:r>
      <w:r>
        <w:rPr>
          <w:rFonts w:ascii="Times New Roman" w:hAnsi="Times New Roman" w:cs="Times New Roman"/>
          <w:bCs/>
        </w:rPr>
        <w:t xml:space="preserve"> из поля «Количество»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10 счета: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Если МЦ найдена </w:t>
      </w:r>
      <w:proofErr w:type="gramStart"/>
      <w:r>
        <w:rPr>
          <w:rFonts w:ascii="Times New Roman" w:hAnsi="Times New Roman" w:cs="Times New Roman"/>
          <w:bCs/>
        </w:rPr>
        <w:t xml:space="preserve">по  </w:t>
      </w:r>
      <w:proofErr w:type="spellStart"/>
      <w:r>
        <w:rPr>
          <w:rFonts w:ascii="Calibri" w:hAnsi="Calibri" w:cs="Times New Roman"/>
          <w:b/>
          <w:bCs/>
          <w:color w:val="000000"/>
          <w:sz w:val="22"/>
          <w:szCs w:val="24"/>
        </w:rPr>
        <w:t>NREC</w:t>
      </w:r>
      <w:proofErr w:type="gramEnd"/>
      <w:r>
        <w:rPr>
          <w:rFonts w:ascii="Calibri" w:hAnsi="Calibri" w:cs="Times New Roman"/>
          <w:b/>
          <w:bCs/>
          <w:color w:val="000000"/>
          <w:sz w:val="22"/>
          <w:szCs w:val="24"/>
        </w:rPr>
        <w:t>_katmc</w:t>
      </w:r>
      <w:proofErr w:type="spellEnd"/>
      <w:r w:rsidRPr="002A4CD7"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- </w:t>
      </w:r>
      <w:r>
        <w:rPr>
          <w:rFonts w:ascii="Times New Roman" w:hAnsi="Times New Roman" w:cs="Times New Roman"/>
          <w:bCs/>
        </w:rPr>
        <w:t>из поля «</w:t>
      </w:r>
      <w:r>
        <w:rPr>
          <w:rFonts w:ascii="Calibri" w:hAnsi="Calibri" w:cs="Times New Roman"/>
          <w:b/>
          <w:bCs/>
          <w:color w:val="000000"/>
          <w:sz w:val="22"/>
        </w:rPr>
        <w:t>К</w:t>
      </w:r>
      <w:r>
        <w:rPr>
          <w:rFonts w:ascii="Calibri" w:hAnsi="Calibri"/>
          <w:b/>
          <w:bCs/>
          <w:color w:val="000000"/>
          <w:sz w:val="22"/>
        </w:rPr>
        <w:t>оличество в отпускных единицах для загрузки в Галактику</w:t>
      </w:r>
      <w:r>
        <w:rPr>
          <w:rFonts w:ascii="Calibri" w:hAnsi="Calibri"/>
          <w:color w:val="000000"/>
          <w:sz w:val="22"/>
        </w:rPr>
        <w:t xml:space="preserve">». 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  <w:sz w:val="22"/>
        </w:rPr>
        <w:lastRenderedPageBreak/>
        <w:t>Если у МЦ не было заполнено поле «</w:t>
      </w:r>
      <w:proofErr w:type="spellStart"/>
      <w:r>
        <w:rPr>
          <w:rFonts w:ascii="Times New Roman" w:hAnsi="Times New Roman" w:cs="Times New Roman"/>
          <w:bCs/>
          <w:color w:val="000000"/>
          <w:sz w:val="22"/>
        </w:rPr>
        <w:t>NREC_katmc</w:t>
      </w:r>
      <w:proofErr w:type="spellEnd"/>
      <w:r>
        <w:rPr>
          <w:rFonts w:ascii="Times New Roman" w:hAnsi="Times New Roman" w:cs="Times New Roman"/>
          <w:bCs/>
          <w:color w:val="000000"/>
          <w:sz w:val="22"/>
        </w:rPr>
        <w:t>…»</w:t>
      </w:r>
      <w:r>
        <w:rPr>
          <w:rFonts w:ascii="Calibri" w:hAnsi="Calibri" w:cs="Times New Roman"/>
          <w:b/>
          <w:bCs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из поля «Количество»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strike/>
        </w:rPr>
        <w:t>поставить признак «ручной» и</w:t>
      </w:r>
      <w:r>
        <w:rPr>
          <w:rFonts w:ascii="Times New Roman" w:hAnsi="Times New Roman" w:cs="Times New Roman"/>
          <w:bCs/>
        </w:rPr>
        <w:t xml:space="preserve"> заполнить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НДС» </w:t>
      </w:r>
      <w:r>
        <w:rPr>
          <w:rFonts w:ascii="Times New Roman" w:hAnsi="Times New Roman" w:cs="Times New Roman"/>
          <w:bCs/>
        </w:rPr>
        <w:t>загружаемого файла.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Ставка НДС — из поля «Ставка НДС» загружаемого файла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Группа налогов</w:t>
      </w:r>
      <w:r>
        <w:rPr>
          <w:rFonts w:ascii="Times New Roman" w:hAnsi="Times New Roman" w:cs="Times New Roman"/>
          <w:bCs/>
        </w:rPr>
        <w:t xml:space="preserve"> - поставить в зависимости от поля «Ставка НДС» загружаемого файла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20% - группа с кодом 01 (наименование группы: НДС 20% (18% до 2019))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18% - группа с кодом 01 (наименование группы: НДС 20% (18% до 2019))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- группа с кодом 01 (наименование группы: НДС 10%)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0% - группа с кодом 03 (наименование группы: НДС 0%)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без НДС - группа с кодом 04 (наименование группы: Без НДС)</w:t>
      </w: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всех остальных значениях поля «Ставка НДС» заполняем значением группы с кодом 04, т. е. «Без НДС».</w:t>
      </w:r>
    </w:p>
    <w:p w:rsidR="001D6FFC" w:rsidRDefault="001D6FFC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1D6FFC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 без НДС»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</w:rPr>
        <w:t xml:space="preserve"> — надо создать партию отдельно к каждой позиции накладной </w:t>
      </w:r>
      <w:proofErr w:type="gramStart"/>
      <w:r>
        <w:rPr>
          <w:rFonts w:ascii="Times New Roman" w:hAnsi="Times New Roman" w:cs="Times New Roman"/>
        </w:rPr>
        <w:t>по правилам</w:t>
      </w:r>
      <w:proofErr w:type="gramEnd"/>
      <w:r>
        <w:rPr>
          <w:rFonts w:ascii="Times New Roman" w:hAnsi="Times New Roman" w:cs="Times New Roman"/>
        </w:rPr>
        <w:t xml:space="preserve"> указанным в настройке Галактики.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В партии привязать: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МЦ</w:t>
      </w:r>
      <w:proofErr w:type="gramEnd"/>
      <w:r>
        <w:rPr>
          <w:rFonts w:ascii="Times New Roman" w:hAnsi="Times New Roman" w:cs="Times New Roman"/>
        </w:rPr>
        <w:t xml:space="preserve"> по которой она создана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Контрагент — из накладной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  <w:t>Приходный документ — ссылка на созданную приходную накладную</w:t>
      </w:r>
    </w:p>
    <w:p w:rsidR="001D6FF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Для МЦ по 10 счету, если МЦ найдена по полю </w:t>
      </w:r>
      <w:r>
        <w:rPr>
          <w:rFonts w:ascii="Times New Roman" w:hAnsi="Times New Roman" w:cs="Times New Roman"/>
          <w:bCs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NREC_katmc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...» </w:t>
      </w:r>
      <w:r>
        <w:rPr>
          <w:rFonts w:ascii="Times New Roman" w:hAnsi="Times New Roman" w:cs="Times New Roman"/>
          <w:color w:val="000000"/>
        </w:rPr>
        <w:t xml:space="preserve">в поле «Примечание» </w:t>
      </w:r>
      <w:proofErr w:type="gramStart"/>
      <w:r>
        <w:rPr>
          <w:rFonts w:ascii="Times New Roman" w:hAnsi="Times New Roman" w:cs="Times New Roman"/>
          <w:color w:val="000000"/>
        </w:rPr>
        <w:t>занести  наименование</w:t>
      </w:r>
      <w:proofErr w:type="gramEnd"/>
      <w:r>
        <w:rPr>
          <w:rFonts w:ascii="Times New Roman" w:hAnsi="Times New Roman" w:cs="Times New Roman"/>
          <w:color w:val="000000"/>
        </w:rPr>
        <w:t xml:space="preserve"> МЦ из поля «Наименование» тем самым сохранив историческое наименование МЦ в партии остатков.</w:t>
      </w:r>
    </w:p>
    <w:p w:rsidR="001D6FF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 xml:space="preserve">Группа партий — установить значение группы партий с кодом «ГОЗ» и наименованием «Исполнение </w:t>
      </w:r>
      <w:proofErr w:type="spellStart"/>
      <w:proofErr w:type="gramStart"/>
      <w:r>
        <w:rPr>
          <w:rFonts w:ascii="Times New Roman" w:hAnsi="Times New Roman" w:cs="Times New Roman"/>
          <w:color w:val="000000"/>
          <w:highlight w:val="yellow"/>
        </w:rPr>
        <w:t>гос.заказов</w:t>
      </w:r>
      <w:proofErr w:type="spellEnd"/>
      <w:proofErr w:type="gramEnd"/>
      <w:r>
        <w:rPr>
          <w:rFonts w:ascii="Times New Roman" w:hAnsi="Times New Roman" w:cs="Times New Roman"/>
          <w:color w:val="000000"/>
          <w:highlight w:val="yellow"/>
        </w:rPr>
        <w:t>», если заполнено значение во внешнем классификаторе договора «Исполнение государственного контракта».</w:t>
      </w:r>
    </w:p>
    <w:p w:rsidR="001D6FFC" w:rsidRDefault="00000000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highlight w:val="yellow"/>
        </w:rPr>
        <w:t>При этом заполнить в партии поле «ИГК» значением этого внешнего классификатора из договора.</w:t>
      </w:r>
    </w:p>
    <w:p w:rsidR="001D6FFC" w:rsidRDefault="001D6FFC">
      <w:pPr>
        <w:ind w:firstLine="397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Внешние атрибуты к спецификации накладной: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.Счет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МЦ</w:t>
      </w:r>
      <w:r>
        <w:rPr>
          <w:rFonts w:ascii="Times New Roman" w:hAnsi="Times New Roman" w:cs="Times New Roman"/>
          <w:color w:val="000000"/>
        </w:rPr>
        <w:t>» - из поля «Счет/субсчет бухгалтерский учет» загружаемого файла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strike/>
          <w:color w:val="000000"/>
        </w:rPr>
        <w:t>«</w:t>
      </w:r>
      <w:r>
        <w:rPr>
          <w:rFonts w:ascii="Times New Roman" w:hAnsi="Times New Roman" w:cs="Times New Roman"/>
          <w:b/>
          <w:bCs/>
          <w:strike/>
          <w:color w:val="000000"/>
        </w:rPr>
        <w:t>.Шифр</w:t>
      </w:r>
      <w:proofErr w:type="gramEnd"/>
      <w:r>
        <w:rPr>
          <w:rFonts w:ascii="Times New Roman" w:hAnsi="Times New Roman" w:cs="Times New Roman"/>
          <w:b/>
          <w:bCs/>
          <w:strike/>
          <w:color w:val="000000"/>
        </w:rPr>
        <w:t xml:space="preserve"> заказа</w:t>
      </w:r>
      <w:r>
        <w:rPr>
          <w:rFonts w:ascii="Times New Roman" w:hAnsi="Times New Roman" w:cs="Times New Roman"/>
          <w:strike/>
          <w:color w:val="000000"/>
        </w:rPr>
        <w:t>» - из поля «Код заказа» загружаемого файла</w:t>
      </w:r>
    </w:p>
    <w:p w:rsidR="001D6FFC" w:rsidRDefault="001D6FFC">
      <w:pPr>
        <w:ind w:firstLine="397"/>
        <w:rPr>
          <w:rFonts w:ascii="Times New Roman" w:hAnsi="Times New Roman" w:cs="Times New Roman"/>
          <w:bCs/>
        </w:rPr>
      </w:pP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Целевой учет: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Объект ЦУ - «МТО»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000000"/>
        </w:rPr>
        <w:t xml:space="preserve">КАУ2 «Шифр заказа - </w:t>
      </w:r>
      <w:r>
        <w:rPr>
          <w:rFonts w:ascii="Times New Roman" w:hAnsi="Times New Roman" w:cs="Times New Roman"/>
          <w:color w:val="000000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 w:rsidR="001D6FFC" w:rsidRDefault="00000000">
      <w:pPr>
        <w:ind w:firstLine="39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 xml:space="preserve">Данная информация хранится в таблицах </w:t>
      </w:r>
      <w:r>
        <w:rPr>
          <w:rFonts w:ascii="Times New Roman" w:hAnsi="Times New Roman" w:cs="Times New Roman"/>
          <w:color w:val="000000"/>
          <w:lang w:val="en-US"/>
        </w:rPr>
        <w:t>KITKAU</w:t>
      </w:r>
      <w:r w:rsidRPr="002A4CD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SPECMTR</w:t>
      </w:r>
      <w:r w:rsidRPr="002A4CD7">
        <w:rPr>
          <w:rFonts w:ascii="Times New Roman" w:hAnsi="Times New Roman" w:cs="Times New Roman"/>
          <w:color w:val="000000"/>
        </w:rPr>
        <w:t>.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Дополнительно создать ордера на дооценку </w:t>
      </w:r>
      <w:proofErr w:type="gramStart"/>
      <w:r>
        <w:rPr>
          <w:rFonts w:ascii="Times New Roman" w:hAnsi="Times New Roman" w:cs="Times New Roman"/>
        </w:rPr>
        <w:t>по тем МЦ</w:t>
      </w:r>
      <w:proofErr w:type="gramEnd"/>
      <w:r>
        <w:rPr>
          <w:rFonts w:ascii="Times New Roman" w:hAnsi="Times New Roman" w:cs="Times New Roman"/>
        </w:rPr>
        <w:t xml:space="preserve"> по которым: 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b/>
          <w:bCs/>
          <w:color w:val="000000"/>
        </w:rPr>
        <w:t>Сумма в руб. без НДС включая ТЗР</w:t>
      </w:r>
      <w:r>
        <w:rPr>
          <w:rFonts w:ascii="Times New Roman" w:hAnsi="Times New Roman" w:cs="Times New Roman"/>
          <w:color w:val="000000"/>
        </w:rPr>
        <w:t>» минус «</w:t>
      </w:r>
      <w:r>
        <w:rPr>
          <w:rFonts w:ascii="Times New Roman" w:hAnsi="Times New Roman"/>
          <w:b/>
          <w:bCs/>
          <w:color w:val="000000"/>
        </w:rPr>
        <w:t>Сумма руб. без НДС</w:t>
      </w:r>
      <w:r>
        <w:rPr>
          <w:rFonts w:ascii="Times New Roman" w:hAnsi="Times New Roman"/>
          <w:color w:val="000000"/>
        </w:rPr>
        <w:t>» не равна 0.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с сохранением того же разреза (склад, МОЛ, партия).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</w:rPr>
        <w:t>В ордерах на дооценку количество равно 0, а сумма равна разнице этих полей.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По каждой созданной накладной создать </w:t>
      </w:r>
      <w:r>
        <w:rPr>
          <w:rFonts w:ascii="Times New Roman" w:hAnsi="Times New Roman" w:cs="Times New Roman"/>
          <w:b/>
          <w:bCs/>
        </w:rPr>
        <w:t>Счет-фактуру поставщика</w:t>
      </w:r>
      <w:r>
        <w:rPr>
          <w:rFonts w:ascii="Times New Roman" w:hAnsi="Times New Roman" w:cs="Times New Roman"/>
        </w:rPr>
        <w:t xml:space="preserve">, если указан номер </w:t>
      </w:r>
      <w:proofErr w:type="spellStart"/>
      <w:r>
        <w:rPr>
          <w:rFonts w:ascii="Times New Roman" w:hAnsi="Times New Roman" w:cs="Times New Roman"/>
        </w:rPr>
        <w:t>сф</w:t>
      </w:r>
      <w:proofErr w:type="spellEnd"/>
      <w:r>
        <w:rPr>
          <w:rFonts w:ascii="Times New Roman" w:hAnsi="Times New Roman" w:cs="Times New Roman"/>
        </w:rPr>
        <w:t xml:space="preserve"> в столбце в загружаемом файле. В созданных счетах-фактурах заполняем поля «Номер счета фактуры», «Дата СФ», «Дата получения СФ».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Заполняем спецификацию СФ строками спецификации накладной.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Поля «</w:t>
      </w:r>
      <w:r>
        <w:rPr>
          <w:rFonts w:ascii="Times New Roman" w:hAnsi="Times New Roman" w:cs="Times New Roman"/>
          <w:b/>
        </w:rPr>
        <w:t xml:space="preserve">Сумма руб. без НДС», «Сумма руб. НДС», «Сумма руб. с НДС» </w:t>
      </w:r>
      <w:proofErr w:type="gramStart"/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ОБЩАЯ сумма по счету-фактуре. Суммы по спецификациям могут не совпасть с общими суммами. Это нормально, т.к. в спецификацию заполняются суммы только </w:t>
      </w:r>
      <w:proofErr w:type="gramStart"/>
      <w:r>
        <w:rPr>
          <w:rFonts w:ascii="Times New Roman" w:hAnsi="Times New Roman" w:cs="Times New Roman"/>
        </w:rPr>
        <w:t>по МЦ</w:t>
      </w:r>
      <w:proofErr w:type="gramEnd"/>
      <w:r>
        <w:rPr>
          <w:rFonts w:ascii="Times New Roman" w:hAnsi="Times New Roman" w:cs="Times New Roman"/>
        </w:rPr>
        <w:t xml:space="preserve"> оставшиеся на складах, а в общие суммы по счету-фактуре заносим полные суммы документа.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Далее после создания накладных по данной процедуре мы создадим средствами системы: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1. Приходные ордера (</w:t>
      </w:r>
      <w:proofErr w:type="spellStart"/>
      <w:r>
        <w:rPr>
          <w:rFonts w:ascii="Times New Roman" w:hAnsi="Times New Roman" w:cs="Times New Roman"/>
        </w:rPr>
        <w:t>пакетно</w:t>
      </w:r>
      <w:proofErr w:type="spellEnd"/>
      <w:r>
        <w:rPr>
          <w:rFonts w:ascii="Times New Roman" w:hAnsi="Times New Roman" w:cs="Times New Roman"/>
        </w:rPr>
        <w:t>) с датой оприходования 31.12.2022</w:t>
      </w:r>
    </w:p>
    <w:p w:rsidR="001D6FFC" w:rsidRDefault="00000000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2. Проводки с помощью ТХО «Сальдо по 41 счету»</w:t>
      </w:r>
    </w:p>
    <w:p w:rsidR="001D6FFC" w:rsidRDefault="001D6FFC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1D6FFC" w:rsidRDefault="00000000">
      <w:pPr>
        <w:ind w:firstLine="340"/>
        <w:jc w:val="right"/>
        <w:rPr>
          <w:rFonts w:hint="eastAsia"/>
        </w:rPr>
      </w:pPr>
      <w:r>
        <w:t>Тоненькова Н.В.</w:t>
      </w:r>
    </w:p>
    <w:sectPr w:rsidR="001D6F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C"/>
    <w:rsid w:val="001D6FFC"/>
    <w:rsid w:val="002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9B9BB-252E-44D6-BB5C-91D48DE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2023-04-07T07:24:00Z</dcterms:created>
  <dcterms:modified xsi:type="dcterms:W3CDTF">2023-04-07T07:24:00Z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