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C2AB2" w14:textId="7DA40CD2" w:rsidR="001070E7" w:rsidRDefault="00A30A00" w:rsidP="00A30A00">
      <w:pPr>
        <w:pStyle w:val="Heading1"/>
      </w:pPr>
      <w:r>
        <w:t>Part 3 – Theoretical Fou</w:t>
      </w:r>
      <w:bookmarkStart w:id="0" w:name="_GoBack"/>
      <w:bookmarkEnd w:id="0"/>
      <w:r>
        <w:t xml:space="preserve">ndations  </w:t>
      </w:r>
    </w:p>
    <w:p w14:paraId="198CCA3B" w14:textId="77777777" w:rsidR="00A30A00" w:rsidRPr="00A30A00" w:rsidRDefault="00A30A00" w:rsidP="00A30A00"/>
    <w:p w14:paraId="41587494" w14:textId="0C9CFD09" w:rsidR="00A30A00" w:rsidRDefault="00A30A00" w:rsidP="00A30A00">
      <w:pPr>
        <w:pStyle w:val="Heading2"/>
        <w:numPr>
          <w:ilvl w:val="0"/>
          <w:numId w:val="2"/>
        </w:numPr>
      </w:pPr>
      <w:r>
        <w:t>Control Flow Graph</w:t>
      </w:r>
    </w:p>
    <w:p w14:paraId="503E3F28" w14:textId="4936E950" w:rsidR="00A30A00" w:rsidRDefault="00A30A00" w:rsidP="00A30A00">
      <w:r>
        <w:t>A Control Flow Graph (CFG) is a directed graph that models a single procedure. Within a CFG, nodes represent regions of the code, while the directed edges represent possible branches of execution. The given code snippet was overserved and the following CFG was created.</w:t>
      </w:r>
    </w:p>
    <w:p w14:paraId="5AA17E86" w14:textId="007FBA11" w:rsidR="00A30A00" w:rsidRDefault="00A30A00" w:rsidP="00A30A00"/>
    <w:p w14:paraId="3F11DA6B" w14:textId="288104E4" w:rsidR="00A30A00" w:rsidRDefault="00A30A00" w:rsidP="00A30A00">
      <w:r>
        <w:rPr>
          <w:noProof/>
        </w:rPr>
        <w:drawing>
          <wp:inline distT="0" distB="0" distL="0" distR="0" wp14:anchorId="218E3FCD" wp14:editId="0241B45A">
            <wp:extent cx="5731510" cy="6506210"/>
            <wp:effectExtent l="19050" t="19050" r="21590" b="2794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G 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6506210"/>
                    </a:xfrm>
                    <a:prstGeom prst="rect">
                      <a:avLst/>
                    </a:prstGeom>
                    <a:ln>
                      <a:solidFill>
                        <a:srgbClr val="002060"/>
                      </a:solidFill>
                    </a:ln>
                  </pic:spPr>
                </pic:pic>
              </a:graphicData>
            </a:graphic>
          </wp:inline>
        </w:drawing>
      </w:r>
    </w:p>
    <w:p w14:paraId="78A56628" w14:textId="7C4D09BC" w:rsidR="00FA6E34" w:rsidRDefault="00FA6E34" w:rsidP="00A30A00"/>
    <w:p w14:paraId="327B5F38" w14:textId="2760B8EA" w:rsidR="00FA6E34" w:rsidRDefault="00FA6E34" w:rsidP="00FA6E34">
      <w:pPr>
        <w:pStyle w:val="Heading2"/>
        <w:numPr>
          <w:ilvl w:val="0"/>
          <w:numId w:val="2"/>
        </w:numPr>
      </w:pPr>
      <w:r>
        <w:lastRenderedPageBreak/>
        <w:t>Test Suite with 100 % Statement Coverage.</w:t>
      </w:r>
    </w:p>
    <w:p w14:paraId="2502BB27" w14:textId="77777777" w:rsidR="004C6170" w:rsidRDefault="004C6170" w:rsidP="00FA6E34">
      <w:r>
        <w:t xml:space="preserve">Statement coverage is </w:t>
      </w:r>
      <w:proofErr w:type="gramStart"/>
      <w:r>
        <w:t>define</w:t>
      </w:r>
      <w:proofErr w:type="gramEnd"/>
      <w:r>
        <w:t xml:space="preserve"> as :</w:t>
      </w:r>
    </w:p>
    <w:p w14:paraId="44A2BB0E" w14:textId="4A6735B9" w:rsidR="00FA6E34" w:rsidRDefault="004C6170" w:rsidP="004C6170">
      <w:pPr>
        <w:jc w:val="center"/>
      </w:pPr>
      <w:r>
        <w:rPr>
          <w:noProof/>
        </w:rPr>
        <w:drawing>
          <wp:inline distT="0" distB="0" distL="0" distR="0" wp14:anchorId="37DE9D42" wp14:editId="3097C2D9">
            <wp:extent cx="2186609" cy="436363"/>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185" cy="465614"/>
                    </a:xfrm>
                    <a:prstGeom prst="rect">
                      <a:avLst/>
                    </a:prstGeom>
                  </pic:spPr>
                </pic:pic>
              </a:graphicData>
            </a:graphic>
          </wp:inline>
        </w:drawing>
      </w:r>
    </w:p>
    <w:p w14:paraId="7484E4D4" w14:textId="13F51802" w:rsidR="004C6170" w:rsidRDefault="004C6170" w:rsidP="004C6170">
      <w:proofErr w:type="gramStart"/>
      <w:r>
        <w:t>Therefore</w:t>
      </w:r>
      <w:proofErr w:type="gramEnd"/>
      <w:r>
        <w:t xml:space="preserve"> to achieve 100 % statement overage, all the nodes need to be visited at least once.</w:t>
      </w:r>
    </w:p>
    <w:p w14:paraId="3CA6C564" w14:textId="64EF5DCD" w:rsidR="004C6170" w:rsidRDefault="004C6170" w:rsidP="004C6170"/>
    <w:p w14:paraId="4DEE5E75" w14:textId="5C2A5B22" w:rsidR="004C6170" w:rsidRDefault="004C6170" w:rsidP="004C6170">
      <w:r>
        <w:t>This can be done by running a test containing the flowing passed parameters:</w:t>
      </w:r>
    </w:p>
    <w:tbl>
      <w:tblPr>
        <w:tblStyle w:val="TableGrid"/>
        <w:tblW w:w="0" w:type="auto"/>
        <w:tblLook w:val="04A0" w:firstRow="1" w:lastRow="0" w:firstColumn="1" w:lastColumn="0" w:noHBand="0" w:noVBand="1"/>
      </w:tblPr>
      <w:tblGrid>
        <w:gridCol w:w="4508"/>
        <w:gridCol w:w="4508"/>
      </w:tblGrid>
      <w:tr w:rsidR="004C6170" w14:paraId="664B06F4" w14:textId="77777777" w:rsidTr="004C6170">
        <w:tc>
          <w:tcPr>
            <w:tcW w:w="4508" w:type="dxa"/>
          </w:tcPr>
          <w:p w14:paraId="010312A0" w14:textId="711A1431" w:rsidR="004C6170" w:rsidRDefault="004C6170" w:rsidP="004C6170">
            <w:r>
              <w:t>Parameter</w:t>
            </w:r>
          </w:p>
        </w:tc>
        <w:tc>
          <w:tcPr>
            <w:tcW w:w="4508" w:type="dxa"/>
          </w:tcPr>
          <w:p w14:paraId="6DEE33ED" w14:textId="0185B6D1" w:rsidR="004C6170" w:rsidRDefault="004C6170" w:rsidP="004C6170">
            <w:r>
              <w:t>Content</w:t>
            </w:r>
          </w:p>
        </w:tc>
      </w:tr>
      <w:tr w:rsidR="004C6170" w14:paraId="68478D65" w14:textId="77777777" w:rsidTr="004C6170">
        <w:tc>
          <w:tcPr>
            <w:tcW w:w="4508" w:type="dxa"/>
          </w:tcPr>
          <w:p w14:paraId="6756ADC2" w14:textId="46E0B409" w:rsidR="004C6170" w:rsidRDefault="004C6170" w:rsidP="004C6170">
            <w:r>
              <w:t>text</w:t>
            </w:r>
          </w:p>
        </w:tc>
        <w:tc>
          <w:tcPr>
            <w:tcW w:w="4508" w:type="dxa"/>
          </w:tcPr>
          <w:p w14:paraId="0354D3A2" w14:textId="7E6411A7" w:rsidR="004C6170" w:rsidRDefault="004C6170" w:rsidP="004C6170">
            <w:r>
              <w:t>“test”</w:t>
            </w:r>
          </w:p>
        </w:tc>
      </w:tr>
      <w:tr w:rsidR="004C6170" w14:paraId="5400249A" w14:textId="77777777" w:rsidTr="004C6170">
        <w:tc>
          <w:tcPr>
            <w:tcW w:w="4508" w:type="dxa"/>
          </w:tcPr>
          <w:p w14:paraId="1C084798" w14:textId="295D1392" w:rsidR="004C6170" w:rsidRDefault="004C6170" w:rsidP="004C6170">
            <w:r>
              <w:t>Set happy</w:t>
            </w:r>
          </w:p>
        </w:tc>
        <w:tc>
          <w:tcPr>
            <w:tcW w:w="4508" w:type="dxa"/>
          </w:tcPr>
          <w:p w14:paraId="04AF4BEB" w14:textId="13C0097F" w:rsidR="004C6170" w:rsidRDefault="004C6170" w:rsidP="004C6170">
            <w:r>
              <w:t>[“test”]</w:t>
            </w:r>
          </w:p>
        </w:tc>
      </w:tr>
      <w:tr w:rsidR="004C6170" w14:paraId="5DDCA6A5" w14:textId="77777777" w:rsidTr="004C6170">
        <w:tc>
          <w:tcPr>
            <w:tcW w:w="4508" w:type="dxa"/>
          </w:tcPr>
          <w:p w14:paraId="2489048F" w14:textId="01F3F7C1" w:rsidR="004C6170" w:rsidRDefault="004C6170" w:rsidP="004C6170">
            <w:r>
              <w:t>Set unhappy</w:t>
            </w:r>
          </w:p>
        </w:tc>
        <w:tc>
          <w:tcPr>
            <w:tcW w:w="4508" w:type="dxa"/>
          </w:tcPr>
          <w:p w14:paraId="3780A8E8" w14:textId="3B886DAE" w:rsidR="004C6170" w:rsidRDefault="004C6170" w:rsidP="004C6170">
            <w:r>
              <w:t>[“test”]</w:t>
            </w:r>
          </w:p>
        </w:tc>
      </w:tr>
    </w:tbl>
    <w:p w14:paraId="5FF71485" w14:textId="180C743C" w:rsidR="004C6170" w:rsidRDefault="004C6170" w:rsidP="004C6170"/>
    <w:p w14:paraId="5DE859C7" w14:textId="3559F9C7" w:rsidR="004C6170" w:rsidRDefault="004C6170" w:rsidP="004C6170">
      <w:r>
        <w:t>Within one loop of execution, each node in the CFG will be executed, but not each branch will be executed, and hence branch coverage will not be 100%. Note that in the nodes D and E, the false branches will not be tested with this case.</w:t>
      </w:r>
    </w:p>
    <w:p w14:paraId="57D01D9C" w14:textId="660CCD1A" w:rsidR="004C6170" w:rsidRDefault="004C6170" w:rsidP="004C6170"/>
    <w:p w14:paraId="7323B7BB" w14:textId="7F62AC7E" w:rsidR="004C6170" w:rsidRDefault="004C6170" w:rsidP="004C6170">
      <w:pPr>
        <w:pStyle w:val="Heading2"/>
        <w:numPr>
          <w:ilvl w:val="0"/>
          <w:numId w:val="2"/>
        </w:numPr>
      </w:pPr>
      <w:r>
        <w:t>Test Suite with 100 % Statement and Branch Coverage.</w:t>
      </w:r>
    </w:p>
    <w:p w14:paraId="0FEC9D4F" w14:textId="0CA7B3A4" w:rsidR="004C6170" w:rsidRDefault="004C6170" w:rsidP="004C6170">
      <w:r>
        <w:t>This can be achieved with the following test cases</w:t>
      </w:r>
    </w:p>
    <w:p w14:paraId="6DA81A4F" w14:textId="3C07A73D" w:rsidR="004C6170" w:rsidRDefault="004C6170" w:rsidP="004C6170">
      <w:r>
        <w:t>Test One:</w:t>
      </w:r>
    </w:p>
    <w:tbl>
      <w:tblPr>
        <w:tblStyle w:val="TableGrid"/>
        <w:tblW w:w="0" w:type="auto"/>
        <w:tblLook w:val="04A0" w:firstRow="1" w:lastRow="0" w:firstColumn="1" w:lastColumn="0" w:noHBand="0" w:noVBand="1"/>
      </w:tblPr>
      <w:tblGrid>
        <w:gridCol w:w="4508"/>
        <w:gridCol w:w="4508"/>
      </w:tblGrid>
      <w:tr w:rsidR="004C6170" w14:paraId="29EC353A" w14:textId="77777777" w:rsidTr="00962F3E">
        <w:tc>
          <w:tcPr>
            <w:tcW w:w="4508" w:type="dxa"/>
          </w:tcPr>
          <w:p w14:paraId="650627EE" w14:textId="77777777" w:rsidR="004C6170" w:rsidRDefault="004C6170" w:rsidP="00962F3E">
            <w:r>
              <w:t>Parameter</w:t>
            </w:r>
          </w:p>
        </w:tc>
        <w:tc>
          <w:tcPr>
            <w:tcW w:w="4508" w:type="dxa"/>
          </w:tcPr>
          <w:p w14:paraId="3836D092" w14:textId="77777777" w:rsidR="004C6170" w:rsidRDefault="004C6170" w:rsidP="00962F3E">
            <w:r>
              <w:t>Content</w:t>
            </w:r>
          </w:p>
        </w:tc>
      </w:tr>
      <w:tr w:rsidR="004C6170" w14:paraId="4C96EF65" w14:textId="77777777" w:rsidTr="00962F3E">
        <w:tc>
          <w:tcPr>
            <w:tcW w:w="4508" w:type="dxa"/>
          </w:tcPr>
          <w:p w14:paraId="65C2B0C9" w14:textId="77777777" w:rsidR="004C6170" w:rsidRDefault="004C6170" w:rsidP="00962F3E">
            <w:r>
              <w:t>text</w:t>
            </w:r>
          </w:p>
        </w:tc>
        <w:tc>
          <w:tcPr>
            <w:tcW w:w="4508" w:type="dxa"/>
          </w:tcPr>
          <w:p w14:paraId="7904EA21" w14:textId="77777777" w:rsidR="004C6170" w:rsidRDefault="004C6170" w:rsidP="00962F3E">
            <w:r>
              <w:t>“test”</w:t>
            </w:r>
          </w:p>
        </w:tc>
      </w:tr>
      <w:tr w:rsidR="004C6170" w14:paraId="6F7BA578" w14:textId="77777777" w:rsidTr="00962F3E">
        <w:tc>
          <w:tcPr>
            <w:tcW w:w="4508" w:type="dxa"/>
          </w:tcPr>
          <w:p w14:paraId="556AD5D3" w14:textId="77777777" w:rsidR="004C6170" w:rsidRDefault="004C6170" w:rsidP="00962F3E">
            <w:r>
              <w:t>Set happy</w:t>
            </w:r>
          </w:p>
        </w:tc>
        <w:tc>
          <w:tcPr>
            <w:tcW w:w="4508" w:type="dxa"/>
          </w:tcPr>
          <w:p w14:paraId="7E99DB36" w14:textId="77777777" w:rsidR="004C6170" w:rsidRDefault="004C6170" w:rsidP="00962F3E">
            <w:r>
              <w:t>[“test”]</w:t>
            </w:r>
          </w:p>
        </w:tc>
      </w:tr>
      <w:tr w:rsidR="004C6170" w14:paraId="27ED33E4" w14:textId="77777777" w:rsidTr="00962F3E">
        <w:tc>
          <w:tcPr>
            <w:tcW w:w="4508" w:type="dxa"/>
          </w:tcPr>
          <w:p w14:paraId="7587DA5C" w14:textId="77777777" w:rsidR="004C6170" w:rsidRDefault="004C6170" w:rsidP="00962F3E">
            <w:r>
              <w:t>Set unhappy</w:t>
            </w:r>
          </w:p>
        </w:tc>
        <w:tc>
          <w:tcPr>
            <w:tcW w:w="4508" w:type="dxa"/>
          </w:tcPr>
          <w:p w14:paraId="77D0FFAB" w14:textId="77777777" w:rsidR="004C6170" w:rsidRDefault="004C6170" w:rsidP="00962F3E">
            <w:r>
              <w:t>[“test”]</w:t>
            </w:r>
          </w:p>
        </w:tc>
      </w:tr>
    </w:tbl>
    <w:p w14:paraId="51EC738A" w14:textId="7E45B15E" w:rsidR="004C6170" w:rsidRDefault="004C6170" w:rsidP="004C6170"/>
    <w:p w14:paraId="52B270D6" w14:textId="1B7CF2FF" w:rsidR="004C6170" w:rsidRDefault="004C6170" w:rsidP="004C6170">
      <w:r>
        <w:t>Test Two:</w:t>
      </w:r>
    </w:p>
    <w:tbl>
      <w:tblPr>
        <w:tblStyle w:val="TableGrid"/>
        <w:tblW w:w="0" w:type="auto"/>
        <w:tblLook w:val="04A0" w:firstRow="1" w:lastRow="0" w:firstColumn="1" w:lastColumn="0" w:noHBand="0" w:noVBand="1"/>
      </w:tblPr>
      <w:tblGrid>
        <w:gridCol w:w="4508"/>
        <w:gridCol w:w="4508"/>
      </w:tblGrid>
      <w:tr w:rsidR="004C6170" w14:paraId="6BE42C10" w14:textId="77777777" w:rsidTr="00962F3E">
        <w:tc>
          <w:tcPr>
            <w:tcW w:w="4508" w:type="dxa"/>
          </w:tcPr>
          <w:p w14:paraId="333A5EB8" w14:textId="77777777" w:rsidR="004C6170" w:rsidRDefault="004C6170" w:rsidP="00962F3E">
            <w:r>
              <w:t>Parameter</w:t>
            </w:r>
          </w:p>
        </w:tc>
        <w:tc>
          <w:tcPr>
            <w:tcW w:w="4508" w:type="dxa"/>
          </w:tcPr>
          <w:p w14:paraId="61509800" w14:textId="77777777" w:rsidR="004C6170" w:rsidRDefault="004C6170" w:rsidP="00962F3E">
            <w:r>
              <w:t>Content</w:t>
            </w:r>
          </w:p>
        </w:tc>
      </w:tr>
      <w:tr w:rsidR="004C6170" w14:paraId="6A1C33C4" w14:textId="77777777" w:rsidTr="00962F3E">
        <w:tc>
          <w:tcPr>
            <w:tcW w:w="4508" w:type="dxa"/>
          </w:tcPr>
          <w:p w14:paraId="2B7B4984" w14:textId="77777777" w:rsidR="004C6170" w:rsidRDefault="004C6170" w:rsidP="00962F3E">
            <w:r>
              <w:t>text</w:t>
            </w:r>
          </w:p>
        </w:tc>
        <w:tc>
          <w:tcPr>
            <w:tcW w:w="4508" w:type="dxa"/>
          </w:tcPr>
          <w:p w14:paraId="33C00F6A" w14:textId="77777777" w:rsidR="004C6170" w:rsidRDefault="004C6170" w:rsidP="00962F3E">
            <w:r>
              <w:t>“test”</w:t>
            </w:r>
          </w:p>
        </w:tc>
      </w:tr>
      <w:tr w:rsidR="004C6170" w14:paraId="62A92C4D" w14:textId="77777777" w:rsidTr="00962F3E">
        <w:tc>
          <w:tcPr>
            <w:tcW w:w="4508" w:type="dxa"/>
          </w:tcPr>
          <w:p w14:paraId="56FAD35F" w14:textId="77777777" w:rsidR="004C6170" w:rsidRDefault="004C6170" w:rsidP="00962F3E">
            <w:r>
              <w:t>Set happy</w:t>
            </w:r>
          </w:p>
        </w:tc>
        <w:tc>
          <w:tcPr>
            <w:tcW w:w="4508" w:type="dxa"/>
          </w:tcPr>
          <w:p w14:paraId="6F8BD64D" w14:textId="09426B30" w:rsidR="004C6170" w:rsidRDefault="004C6170" w:rsidP="00962F3E">
            <w:r>
              <w:t>[“</w:t>
            </w:r>
            <w:proofErr w:type="spellStart"/>
            <w:r>
              <w:t>NOTTest</w:t>
            </w:r>
            <w:proofErr w:type="spellEnd"/>
            <w:r>
              <w:t>”]</w:t>
            </w:r>
          </w:p>
        </w:tc>
      </w:tr>
      <w:tr w:rsidR="004C6170" w14:paraId="4057AAF1" w14:textId="77777777" w:rsidTr="00962F3E">
        <w:tc>
          <w:tcPr>
            <w:tcW w:w="4508" w:type="dxa"/>
          </w:tcPr>
          <w:p w14:paraId="0F156835" w14:textId="77777777" w:rsidR="004C6170" w:rsidRDefault="004C6170" w:rsidP="00962F3E">
            <w:r>
              <w:t>Set unhappy</w:t>
            </w:r>
          </w:p>
        </w:tc>
        <w:tc>
          <w:tcPr>
            <w:tcW w:w="4508" w:type="dxa"/>
          </w:tcPr>
          <w:p w14:paraId="434B71C0" w14:textId="2C94B62A" w:rsidR="004C6170" w:rsidRDefault="004C6170" w:rsidP="00962F3E">
            <w:r>
              <w:t>[“</w:t>
            </w:r>
            <w:proofErr w:type="spellStart"/>
            <w:r>
              <w:t>NOTTest</w:t>
            </w:r>
            <w:proofErr w:type="spellEnd"/>
            <w:r>
              <w:t>”]</w:t>
            </w:r>
          </w:p>
        </w:tc>
      </w:tr>
    </w:tbl>
    <w:p w14:paraId="2CF15C14" w14:textId="77777777" w:rsidR="004C6170" w:rsidRDefault="004C6170" w:rsidP="004C6170"/>
    <w:p w14:paraId="142539B6" w14:textId="598CF73F" w:rsidR="004C6170" w:rsidRDefault="004C6170" w:rsidP="004C6170">
      <w:r>
        <w:t>With the first test case, as mentioned before, all the branches will be visited except the false branches of the D and E nodes. These branches on the other hand and now visited in test case 2, and all branches are covered, achieving 100 % branch coverage.</w:t>
      </w:r>
    </w:p>
    <w:p w14:paraId="0FF602E2" w14:textId="4CD0FA1A" w:rsidR="00175243" w:rsidRDefault="00175243" w:rsidP="004C6170">
      <w:r>
        <w:t xml:space="preserve">Another possible testing suit can </w:t>
      </w:r>
      <w:r w:rsidR="00B1791A">
        <w:t>include</w:t>
      </w:r>
      <w:r>
        <w:t xml:space="preserve"> one test, with the sets of Happy and Unhappy stated above, joined into one  each as follows.</w:t>
      </w:r>
    </w:p>
    <w:p w14:paraId="5E318915" w14:textId="36AB58E1" w:rsidR="00175243" w:rsidRDefault="00175243" w:rsidP="004C6170">
      <w:r>
        <w:t>Alternative test</w:t>
      </w:r>
    </w:p>
    <w:tbl>
      <w:tblPr>
        <w:tblStyle w:val="TableGrid"/>
        <w:tblW w:w="0" w:type="auto"/>
        <w:tblLook w:val="04A0" w:firstRow="1" w:lastRow="0" w:firstColumn="1" w:lastColumn="0" w:noHBand="0" w:noVBand="1"/>
      </w:tblPr>
      <w:tblGrid>
        <w:gridCol w:w="4508"/>
        <w:gridCol w:w="4508"/>
      </w:tblGrid>
      <w:tr w:rsidR="00175243" w14:paraId="01F56924" w14:textId="77777777" w:rsidTr="00962F3E">
        <w:tc>
          <w:tcPr>
            <w:tcW w:w="4508" w:type="dxa"/>
          </w:tcPr>
          <w:p w14:paraId="39D54A04" w14:textId="77777777" w:rsidR="00175243" w:rsidRDefault="00175243" w:rsidP="00962F3E">
            <w:r>
              <w:t>Parameter</w:t>
            </w:r>
          </w:p>
        </w:tc>
        <w:tc>
          <w:tcPr>
            <w:tcW w:w="4508" w:type="dxa"/>
          </w:tcPr>
          <w:p w14:paraId="468546AE" w14:textId="77777777" w:rsidR="00175243" w:rsidRDefault="00175243" w:rsidP="00962F3E">
            <w:r>
              <w:t>Content</w:t>
            </w:r>
          </w:p>
        </w:tc>
      </w:tr>
      <w:tr w:rsidR="00175243" w14:paraId="22DC27FB" w14:textId="77777777" w:rsidTr="00962F3E">
        <w:tc>
          <w:tcPr>
            <w:tcW w:w="4508" w:type="dxa"/>
          </w:tcPr>
          <w:p w14:paraId="3ECF3B15" w14:textId="77777777" w:rsidR="00175243" w:rsidRDefault="00175243" w:rsidP="00962F3E">
            <w:r>
              <w:t>text</w:t>
            </w:r>
          </w:p>
        </w:tc>
        <w:tc>
          <w:tcPr>
            <w:tcW w:w="4508" w:type="dxa"/>
          </w:tcPr>
          <w:p w14:paraId="2F1A6687" w14:textId="77777777" w:rsidR="00175243" w:rsidRDefault="00175243" w:rsidP="00962F3E">
            <w:r>
              <w:t>“test”</w:t>
            </w:r>
          </w:p>
        </w:tc>
      </w:tr>
      <w:tr w:rsidR="00175243" w14:paraId="3845C7E1" w14:textId="77777777" w:rsidTr="00962F3E">
        <w:tc>
          <w:tcPr>
            <w:tcW w:w="4508" w:type="dxa"/>
          </w:tcPr>
          <w:p w14:paraId="72F680FA" w14:textId="77777777" w:rsidR="00175243" w:rsidRDefault="00175243" w:rsidP="00962F3E">
            <w:r>
              <w:lastRenderedPageBreak/>
              <w:t>Set happy</w:t>
            </w:r>
          </w:p>
        </w:tc>
        <w:tc>
          <w:tcPr>
            <w:tcW w:w="4508" w:type="dxa"/>
          </w:tcPr>
          <w:p w14:paraId="75BEEAE2" w14:textId="34B96BC7" w:rsidR="00175243" w:rsidRDefault="00175243" w:rsidP="00962F3E">
            <w:r>
              <w:t>[“</w:t>
            </w:r>
            <w:proofErr w:type="spellStart"/>
            <w:r>
              <w:t>NOTTest</w:t>
            </w:r>
            <w:proofErr w:type="spellEnd"/>
            <w:r>
              <w:t>”, “test”]</w:t>
            </w:r>
          </w:p>
        </w:tc>
      </w:tr>
      <w:tr w:rsidR="00175243" w14:paraId="4A29D4E9" w14:textId="77777777" w:rsidTr="00962F3E">
        <w:tc>
          <w:tcPr>
            <w:tcW w:w="4508" w:type="dxa"/>
          </w:tcPr>
          <w:p w14:paraId="6811CC3E" w14:textId="77777777" w:rsidR="00175243" w:rsidRDefault="00175243" w:rsidP="00175243">
            <w:r>
              <w:t>Set unhappy</w:t>
            </w:r>
          </w:p>
        </w:tc>
        <w:tc>
          <w:tcPr>
            <w:tcW w:w="4508" w:type="dxa"/>
          </w:tcPr>
          <w:p w14:paraId="0DD547A2" w14:textId="4BFF2DE7" w:rsidR="00175243" w:rsidRDefault="00175243" w:rsidP="00175243">
            <w:r>
              <w:t>[“</w:t>
            </w:r>
            <w:proofErr w:type="spellStart"/>
            <w:r>
              <w:t>NOTTest</w:t>
            </w:r>
            <w:proofErr w:type="spellEnd"/>
            <w:r>
              <w:t>”, “test”]</w:t>
            </w:r>
          </w:p>
        </w:tc>
      </w:tr>
    </w:tbl>
    <w:p w14:paraId="3B87683E" w14:textId="54B6D9EE" w:rsidR="001221EC" w:rsidRDefault="001221EC" w:rsidP="004C6170"/>
    <w:p w14:paraId="05D35D46" w14:textId="646077AA" w:rsidR="001221EC" w:rsidRDefault="001221EC" w:rsidP="001221EC">
      <w:pPr>
        <w:pStyle w:val="Heading2"/>
        <w:numPr>
          <w:ilvl w:val="0"/>
          <w:numId w:val="2"/>
        </w:numPr>
      </w:pPr>
      <w:r>
        <w:t>Paths for 100% boundary Interior path coverage</w:t>
      </w:r>
    </w:p>
    <w:p w14:paraId="63DBA1ED" w14:textId="1134DC3F" w:rsidR="001221EC" w:rsidRDefault="00175243" w:rsidP="001221EC">
      <w:r>
        <w:t xml:space="preserve">Since the number of possible paths can be unbounded, different testing criteria can be set to limit the number of paths tested. To achieve 100 % boundary interior path coverage, each path differing by a </w:t>
      </w:r>
      <w:proofErr w:type="spellStart"/>
      <w:r>
        <w:t>subpath</w:t>
      </w:r>
      <w:proofErr w:type="spellEnd"/>
      <w:r>
        <w:t xml:space="preserve"> will be visited.</w:t>
      </w:r>
      <w:r w:rsidR="0005481D">
        <w:t xml:space="preserve"> Note that the number of </w:t>
      </w:r>
      <w:proofErr w:type="spellStart"/>
      <w:r w:rsidR="0005481D">
        <w:t>subpaths</w:t>
      </w:r>
      <w:proofErr w:type="spellEnd"/>
      <w:r w:rsidR="0005481D">
        <w:t xml:space="preserve"> can still grow exponentially.</w:t>
      </w:r>
    </w:p>
    <w:p w14:paraId="33F21755" w14:textId="3B6097F5" w:rsidR="0005481D" w:rsidRDefault="0005481D" w:rsidP="001221EC">
      <w:r>
        <w:t>Paths to achieve 100% boundary interior coverage are:</w:t>
      </w:r>
    </w:p>
    <w:p w14:paraId="03B26507" w14:textId="78184A3E" w:rsidR="0005481D" w:rsidRDefault="0005481D" w:rsidP="0005481D">
      <w:pPr>
        <w:pStyle w:val="ListParagraph"/>
        <w:numPr>
          <w:ilvl w:val="0"/>
          <w:numId w:val="4"/>
        </w:numPr>
      </w:pPr>
      <w:r>
        <w:t>A -&gt; B -&gt; H</w:t>
      </w:r>
    </w:p>
    <w:p w14:paraId="56E51F76" w14:textId="42D9869B" w:rsidR="0005481D" w:rsidRDefault="0005481D" w:rsidP="0005481D">
      <w:pPr>
        <w:pStyle w:val="ListParagraph"/>
        <w:numPr>
          <w:ilvl w:val="0"/>
          <w:numId w:val="4"/>
        </w:numPr>
      </w:pPr>
      <w:r>
        <w:t>A -&gt; B -&gt; C -&gt; D -&gt;  E -&gt; B-&gt; H</w:t>
      </w:r>
    </w:p>
    <w:p w14:paraId="5F31DB89" w14:textId="2672FEC0" w:rsidR="0005481D" w:rsidRDefault="0005481D" w:rsidP="0005481D">
      <w:pPr>
        <w:pStyle w:val="ListParagraph"/>
        <w:numPr>
          <w:ilvl w:val="0"/>
          <w:numId w:val="4"/>
        </w:numPr>
      </w:pPr>
      <w:r>
        <w:t>A -&gt; B -&gt; C -&gt; D -&gt;  E-&gt; G-&gt; B-&gt; H</w:t>
      </w:r>
    </w:p>
    <w:p w14:paraId="294AC0D4" w14:textId="5FEB0E5E" w:rsidR="0005481D" w:rsidRDefault="0005481D" w:rsidP="0005481D">
      <w:pPr>
        <w:pStyle w:val="ListParagraph"/>
        <w:numPr>
          <w:ilvl w:val="0"/>
          <w:numId w:val="4"/>
        </w:numPr>
      </w:pPr>
      <w:r>
        <w:t>A -&gt; B -&gt; C -&gt; D -&gt; F-&gt; E-&gt; G -&gt;B -&gt;H</w:t>
      </w:r>
    </w:p>
    <w:p w14:paraId="5CBD292A" w14:textId="25C603AD" w:rsidR="0005481D" w:rsidRDefault="0005481D" w:rsidP="0005481D">
      <w:pPr>
        <w:pStyle w:val="ListParagraph"/>
        <w:numPr>
          <w:ilvl w:val="0"/>
          <w:numId w:val="4"/>
        </w:numPr>
      </w:pPr>
      <w:r>
        <w:t>A -&gt; B -&gt; C -&gt; D -&gt; F-&gt; E -&gt;B -&gt;H</w:t>
      </w:r>
    </w:p>
    <w:p w14:paraId="3887C32A" w14:textId="32620522" w:rsidR="00B1791A" w:rsidRDefault="00B1791A" w:rsidP="00B1791A">
      <w:pPr>
        <w:pStyle w:val="Heading2"/>
        <w:numPr>
          <w:ilvl w:val="0"/>
          <w:numId w:val="2"/>
        </w:numPr>
      </w:pPr>
      <w:r>
        <w:t>Data Flow Graph</w:t>
      </w:r>
    </w:p>
    <w:p w14:paraId="756BC31D" w14:textId="1650B8A3" w:rsidR="00B1791A" w:rsidRDefault="00B1791A" w:rsidP="00B1791A">
      <w:r>
        <w:t>A Data Flow Graph (DFG) links the relationships between def-use-pairs. These are pairs of points where data is defined and used respectively.</w:t>
      </w:r>
    </w:p>
    <w:p w14:paraId="31C7FCBD" w14:textId="525AD2F1" w:rsidR="00011468" w:rsidRDefault="00011468" w:rsidP="00B1791A">
      <w:r>
        <w:rPr>
          <w:noProof/>
        </w:rPr>
        <w:lastRenderedPageBreak/>
        <w:drawing>
          <wp:inline distT="0" distB="0" distL="0" distR="0" wp14:anchorId="015B4A03" wp14:editId="2064A3F7">
            <wp:extent cx="5731510" cy="6394450"/>
            <wp:effectExtent l="0" t="0" r="2540" b="635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G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394450"/>
                    </a:xfrm>
                    <a:prstGeom prst="rect">
                      <a:avLst/>
                    </a:prstGeom>
                  </pic:spPr>
                </pic:pic>
              </a:graphicData>
            </a:graphic>
          </wp:inline>
        </w:drawing>
      </w:r>
    </w:p>
    <w:p w14:paraId="4C1D66F0" w14:textId="77777777" w:rsidR="00B1791A" w:rsidRPr="00B1791A" w:rsidRDefault="00B1791A" w:rsidP="00B1791A"/>
    <w:p w14:paraId="3B8EBE07" w14:textId="665B3712" w:rsidR="00403D00" w:rsidRDefault="00403D00" w:rsidP="00403D00">
      <w:pPr>
        <w:pStyle w:val="Heading2"/>
        <w:numPr>
          <w:ilvl w:val="0"/>
          <w:numId w:val="2"/>
        </w:numPr>
      </w:pPr>
      <w:r>
        <w:t>Data Flow adequacy</w:t>
      </w:r>
    </w:p>
    <w:p w14:paraId="7E82D1BB" w14:textId="1F257EE8" w:rsidR="00403D00" w:rsidRDefault="00403D00" w:rsidP="00403D00">
      <w:r>
        <w:t>The minimal test suit in Q2 does not full fill the definition clear path criteria since there is no definition clear path since the flag will be reassigned between the nodes F and G.</w:t>
      </w:r>
    </w:p>
    <w:p w14:paraId="7C823EA7" w14:textId="1B99EE06" w:rsidR="00403D00" w:rsidRDefault="00403D00" w:rsidP="00403D00">
      <w:pPr>
        <w:pStyle w:val="Heading2"/>
        <w:numPr>
          <w:ilvl w:val="0"/>
          <w:numId w:val="2"/>
        </w:numPr>
      </w:pPr>
      <w:r>
        <w:t>Static Code analysis</w:t>
      </w:r>
    </w:p>
    <w:p w14:paraId="0DF14D77" w14:textId="454B2330" w:rsidR="00EE0172" w:rsidRDefault="00C35B0F" w:rsidP="00C35B0F">
      <w:r>
        <w:t>Static code analysis is a type of analysis that can be performed w</w:t>
      </w:r>
      <w:r w:rsidR="00EE0172">
        <w:t>ithout running the system</w:t>
      </w:r>
      <w:r>
        <w:t>, and a</w:t>
      </w:r>
      <w:r>
        <w:t xml:space="preserve">ims to find faults, </w:t>
      </w:r>
      <w:proofErr w:type="spellStart"/>
      <w:r>
        <w:t>ie</w:t>
      </w:r>
      <w:proofErr w:type="spellEnd"/>
      <w:r>
        <w:t xml:space="preserve"> incorrect step, process or data </w:t>
      </w:r>
      <w:proofErr w:type="spellStart"/>
      <w:r>
        <w:t>definition.</w:t>
      </w:r>
      <w:r>
        <w:t>This</w:t>
      </w:r>
      <w:proofErr w:type="spellEnd"/>
      <w:r>
        <w:t xml:space="preserve"> c</w:t>
      </w:r>
      <w:r w:rsidR="00EE0172">
        <w:t xml:space="preserve">an be done in the early stages of the system design, preventing potential bugs to develop further down the line </w:t>
      </w:r>
    </w:p>
    <w:p w14:paraId="09EEAB10" w14:textId="5DE56B1D" w:rsidR="00EE0172" w:rsidRPr="00EE0172" w:rsidRDefault="00C35B0F" w:rsidP="00EE0172">
      <w:r>
        <w:t>Static Code analysis</w:t>
      </w:r>
      <w:r w:rsidR="00EE0172">
        <w:t xml:space="preserve"> be used to </w:t>
      </w:r>
      <w:r>
        <w:t>compliment</w:t>
      </w:r>
      <w:r w:rsidR="00EE0172">
        <w:t>/ support dynamic code analysis</w:t>
      </w:r>
      <w:r>
        <w:t>. This is often required as static testing offers no insight to the intent of the program.</w:t>
      </w:r>
    </w:p>
    <w:p w14:paraId="45D2A74B" w14:textId="77777777" w:rsidR="00403D00" w:rsidRPr="00403D00" w:rsidRDefault="00403D00" w:rsidP="00403D00">
      <w:pPr>
        <w:pStyle w:val="ListParagraph"/>
      </w:pPr>
    </w:p>
    <w:p w14:paraId="4A710561" w14:textId="6AE487E0" w:rsidR="001911AF" w:rsidRDefault="001911AF" w:rsidP="002C5772">
      <w:pPr>
        <w:pStyle w:val="Heading2"/>
        <w:numPr>
          <w:ilvl w:val="0"/>
          <w:numId w:val="2"/>
        </w:numPr>
      </w:pPr>
      <w:r>
        <w:t>Issues detected</w:t>
      </w:r>
    </w:p>
    <w:p w14:paraId="2281BC2F" w14:textId="4BAB2E25" w:rsidR="001911AF" w:rsidRDefault="001911AF" w:rsidP="008208E0">
      <w:pPr>
        <w:tabs>
          <w:tab w:val="num" w:pos="1440"/>
        </w:tabs>
      </w:pPr>
      <w:r>
        <w:t xml:space="preserve">After </w:t>
      </w:r>
      <w:r w:rsidR="008208E0">
        <w:t>reviewing</w:t>
      </w:r>
      <w:r>
        <w:t xml:space="preserve"> possible manual static code methods </w:t>
      </w:r>
      <w:r w:rsidR="008208E0">
        <w:t xml:space="preserve">such as </w:t>
      </w:r>
      <w:r w:rsidR="008208E0" w:rsidRPr="008208E0">
        <w:rPr>
          <w:lang w:val="en-US"/>
        </w:rPr>
        <w:t>Requirements Testing</w:t>
      </w:r>
      <w:r w:rsidR="008208E0">
        <w:rPr>
          <w:lang w:val="en-US"/>
        </w:rPr>
        <w:t xml:space="preserve">, </w:t>
      </w:r>
      <w:r w:rsidR="008208E0" w:rsidRPr="008208E0">
        <w:rPr>
          <w:lang w:val="en-US"/>
        </w:rPr>
        <w:t>Buddy Checking / Peer Review</w:t>
      </w:r>
      <w:r w:rsidR="008208E0">
        <w:rPr>
          <w:lang w:val="en-US"/>
        </w:rPr>
        <w:t xml:space="preserve">, </w:t>
      </w:r>
      <w:r w:rsidR="008208E0" w:rsidRPr="008208E0">
        <w:rPr>
          <w:lang w:val="en-US"/>
        </w:rPr>
        <w:t>Code walk-throughs</w:t>
      </w:r>
      <w:r>
        <w:t xml:space="preserve">, it was noted that given the task at hand, not all were possible. For </w:t>
      </w:r>
      <w:proofErr w:type="gramStart"/>
      <w:r w:rsidR="00EE229B">
        <w:t>instance</w:t>
      </w:r>
      <w:proofErr w:type="gramEnd"/>
      <w:r>
        <w:t xml:space="preserve"> the </w:t>
      </w:r>
      <w:r w:rsidR="008208E0">
        <w:t xml:space="preserve">no formal requirements were provided so making Requirement testing impossible. The Buddy checking approach was also not adopted since the work assigned was required on an </w:t>
      </w:r>
      <w:proofErr w:type="gramStart"/>
      <w:r w:rsidR="008208E0">
        <w:t>individual bases</w:t>
      </w:r>
      <w:proofErr w:type="gramEnd"/>
      <w:r w:rsidR="008208E0">
        <w:t>. For this reason, a walk though of both the CFG and the DFG was manually carried out, and potential faults were identified. These included:</w:t>
      </w:r>
    </w:p>
    <w:p w14:paraId="09F78D21" w14:textId="34776196" w:rsidR="008208E0" w:rsidRDefault="008208E0" w:rsidP="008208E0">
      <w:pPr>
        <w:pStyle w:val="ListParagraph"/>
        <w:numPr>
          <w:ilvl w:val="0"/>
          <w:numId w:val="6"/>
        </w:numPr>
        <w:tabs>
          <w:tab w:val="num" w:pos="1440"/>
        </w:tabs>
      </w:pPr>
      <w:r>
        <w:t>The last print statement will never be executed since it occurs after the return statement.</w:t>
      </w:r>
    </w:p>
    <w:p w14:paraId="62E78186" w14:textId="317A8229" w:rsidR="008208E0" w:rsidRDefault="008208E0" w:rsidP="008208E0">
      <w:pPr>
        <w:pStyle w:val="ListParagraph"/>
        <w:numPr>
          <w:ilvl w:val="0"/>
          <w:numId w:val="6"/>
        </w:numPr>
        <w:tabs>
          <w:tab w:val="num" w:pos="1440"/>
        </w:tabs>
      </w:pPr>
      <w:r>
        <w:t xml:space="preserve">The </w:t>
      </w:r>
      <w:r w:rsidRPr="008208E0">
        <w:rPr>
          <w:b/>
          <w:bCs/>
        </w:rPr>
        <w:t>flag</w:t>
      </w:r>
      <w:r>
        <w:t xml:space="preserve"> Boolean is never made use </w:t>
      </w:r>
      <w:proofErr w:type="gramStart"/>
      <w:r>
        <w:t>of, but</w:t>
      </w:r>
      <w:proofErr w:type="gramEnd"/>
      <w:r>
        <w:t xml:space="preserve"> is assigned.</w:t>
      </w:r>
    </w:p>
    <w:p w14:paraId="0F8D0EB9" w14:textId="3F245E39" w:rsidR="008208E0" w:rsidRPr="001911AF" w:rsidRDefault="008208E0" w:rsidP="008208E0">
      <w:pPr>
        <w:pStyle w:val="ListParagraph"/>
        <w:numPr>
          <w:ilvl w:val="0"/>
          <w:numId w:val="6"/>
        </w:numPr>
        <w:tabs>
          <w:tab w:val="num" w:pos="1440"/>
        </w:tabs>
      </w:pPr>
      <w:r>
        <w:t xml:space="preserve">The </w:t>
      </w:r>
      <w:r>
        <w:rPr>
          <w:b/>
          <w:bCs/>
        </w:rPr>
        <w:t xml:space="preserve">word </w:t>
      </w:r>
      <w:r>
        <w:t xml:space="preserve"> string is redefined each iteration, instead of </w:t>
      </w:r>
      <w:proofErr w:type="gramStart"/>
      <w:r>
        <w:t>be</w:t>
      </w:r>
      <w:proofErr w:type="gramEnd"/>
      <w:r>
        <w:t xml:space="preserve"> just reassigned.</w:t>
      </w:r>
    </w:p>
    <w:sectPr w:rsidR="008208E0" w:rsidRPr="001911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CE2E9" w14:textId="77777777" w:rsidR="00A437E4" w:rsidRDefault="00A437E4" w:rsidP="00FA6E34">
      <w:pPr>
        <w:spacing w:after="0" w:line="240" w:lineRule="auto"/>
      </w:pPr>
      <w:r>
        <w:separator/>
      </w:r>
    </w:p>
  </w:endnote>
  <w:endnote w:type="continuationSeparator" w:id="0">
    <w:p w14:paraId="5B71E23E" w14:textId="77777777" w:rsidR="00A437E4" w:rsidRDefault="00A437E4" w:rsidP="00FA6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83C95" w14:textId="77777777" w:rsidR="00A437E4" w:rsidRDefault="00A437E4" w:rsidP="00FA6E34">
      <w:pPr>
        <w:spacing w:after="0" w:line="240" w:lineRule="auto"/>
      </w:pPr>
      <w:r>
        <w:separator/>
      </w:r>
    </w:p>
  </w:footnote>
  <w:footnote w:type="continuationSeparator" w:id="0">
    <w:p w14:paraId="28A15F41" w14:textId="77777777" w:rsidR="00A437E4" w:rsidRDefault="00A437E4" w:rsidP="00FA6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6F3D"/>
    <w:multiLevelType w:val="hybridMultilevel"/>
    <w:tmpl w:val="EB5AA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C184F"/>
    <w:multiLevelType w:val="hybridMultilevel"/>
    <w:tmpl w:val="57F85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3722CA"/>
    <w:multiLevelType w:val="hybridMultilevel"/>
    <w:tmpl w:val="57F85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D971A9"/>
    <w:multiLevelType w:val="hybridMultilevel"/>
    <w:tmpl w:val="47A27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FB0CD0"/>
    <w:multiLevelType w:val="hybridMultilevel"/>
    <w:tmpl w:val="7BC6C16A"/>
    <w:lvl w:ilvl="0" w:tplc="B246C4AA">
      <w:start w:val="1"/>
      <w:numFmt w:val="bullet"/>
      <w:lvlText w:val="•"/>
      <w:lvlJc w:val="left"/>
      <w:pPr>
        <w:tabs>
          <w:tab w:val="num" w:pos="720"/>
        </w:tabs>
        <w:ind w:left="720" w:hanging="360"/>
      </w:pPr>
      <w:rPr>
        <w:rFonts w:ascii="Arial" w:hAnsi="Arial" w:hint="default"/>
      </w:rPr>
    </w:lvl>
    <w:lvl w:ilvl="1" w:tplc="4A5053FC">
      <w:start w:val="1"/>
      <w:numFmt w:val="bullet"/>
      <w:lvlText w:val="•"/>
      <w:lvlJc w:val="left"/>
      <w:pPr>
        <w:tabs>
          <w:tab w:val="num" w:pos="1440"/>
        </w:tabs>
        <w:ind w:left="1440" w:hanging="360"/>
      </w:pPr>
      <w:rPr>
        <w:rFonts w:ascii="Arial" w:hAnsi="Arial" w:hint="default"/>
      </w:rPr>
    </w:lvl>
    <w:lvl w:ilvl="2" w:tplc="6D224A54" w:tentative="1">
      <w:start w:val="1"/>
      <w:numFmt w:val="bullet"/>
      <w:lvlText w:val="•"/>
      <w:lvlJc w:val="left"/>
      <w:pPr>
        <w:tabs>
          <w:tab w:val="num" w:pos="2160"/>
        </w:tabs>
        <w:ind w:left="2160" w:hanging="360"/>
      </w:pPr>
      <w:rPr>
        <w:rFonts w:ascii="Arial" w:hAnsi="Arial" w:hint="default"/>
      </w:rPr>
    </w:lvl>
    <w:lvl w:ilvl="3" w:tplc="066A5EDA" w:tentative="1">
      <w:start w:val="1"/>
      <w:numFmt w:val="bullet"/>
      <w:lvlText w:val="•"/>
      <w:lvlJc w:val="left"/>
      <w:pPr>
        <w:tabs>
          <w:tab w:val="num" w:pos="2880"/>
        </w:tabs>
        <w:ind w:left="2880" w:hanging="360"/>
      </w:pPr>
      <w:rPr>
        <w:rFonts w:ascii="Arial" w:hAnsi="Arial" w:hint="default"/>
      </w:rPr>
    </w:lvl>
    <w:lvl w:ilvl="4" w:tplc="6D7CBE54" w:tentative="1">
      <w:start w:val="1"/>
      <w:numFmt w:val="bullet"/>
      <w:lvlText w:val="•"/>
      <w:lvlJc w:val="left"/>
      <w:pPr>
        <w:tabs>
          <w:tab w:val="num" w:pos="3600"/>
        </w:tabs>
        <w:ind w:left="3600" w:hanging="360"/>
      </w:pPr>
      <w:rPr>
        <w:rFonts w:ascii="Arial" w:hAnsi="Arial" w:hint="default"/>
      </w:rPr>
    </w:lvl>
    <w:lvl w:ilvl="5" w:tplc="3E6C39E0" w:tentative="1">
      <w:start w:val="1"/>
      <w:numFmt w:val="bullet"/>
      <w:lvlText w:val="•"/>
      <w:lvlJc w:val="left"/>
      <w:pPr>
        <w:tabs>
          <w:tab w:val="num" w:pos="4320"/>
        </w:tabs>
        <w:ind w:left="4320" w:hanging="360"/>
      </w:pPr>
      <w:rPr>
        <w:rFonts w:ascii="Arial" w:hAnsi="Arial" w:hint="default"/>
      </w:rPr>
    </w:lvl>
    <w:lvl w:ilvl="6" w:tplc="9FE47B04" w:tentative="1">
      <w:start w:val="1"/>
      <w:numFmt w:val="bullet"/>
      <w:lvlText w:val="•"/>
      <w:lvlJc w:val="left"/>
      <w:pPr>
        <w:tabs>
          <w:tab w:val="num" w:pos="5040"/>
        </w:tabs>
        <w:ind w:left="5040" w:hanging="360"/>
      </w:pPr>
      <w:rPr>
        <w:rFonts w:ascii="Arial" w:hAnsi="Arial" w:hint="default"/>
      </w:rPr>
    </w:lvl>
    <w:lvl w:ilvl="7" w:tplc="D2524176" w:tentative="1">
      <w:start w:val="1"/>
      <w:numFmt w:val="bullet"/>
      <w:lvlText w:val="•"/>
      <w:lvlJc w:val="left"/>
      <w:pPr>
        <w:tabs>
          <w:tab w:val="num" w:pos="5760"/>
        </w:tabs>
        <w:ind w:left="5760" w:hanging="360"/>
      </w:pPr>
      <w:rPr>
        <w:rFonts w:ascii="Arial" w:hAnsi="Arial" w:hint="default"/>
      </w:rPr>
    </w:lvl>
    <w:lvl w:ilvl="8" w:tplc="C90666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8EC56C0"/>
    <w:multiLevelType w:val="hybridMultilevel"/>
    <w:tmpl w:val="BA84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9F"/>
    <w:rsid w:val="00011468"/>
    <w:rsid w:val="0005481D"/>
    <w:rsid w:val="001070E7"/>
    <w:rsid w:val="001221EC"/>
    <w:rsid w:val="00175243"/>
    <w:rsid w:val="001911AF"/>
    <w:rsid w:val="003E292D"/>
    <w:rsid w:val="00403D00"/>
    <w:rsid w:val="004C6170"/>
    <w:rsid w:val="007D329F"/>
    <w:rsid w:val="008208E0"/>
    <w:rsid w:val="00A30A00"/>
    <w:rsid w:val="00A437E4"/>
    <w:rsid w:val="00B1791A"/>
    <w:rsid w:val="00C35B0F"/>
    <w:rsid w:val="00EE0172"/>
    <w:rsid w:val="00EE229B"/>
    <w:rsid w:val="00FA6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2DFD"/>
  <w15:chartTrackingRefBased/>
  <w15:docId w15:val="{C44BEF2E-3107-4090-A647-8A293879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E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A00"/>
    <w:pPr>
      <w:ind w:left="720"/>
      <w:contextualSpacing/>
    </w:pPr>
  </w:style>
  <w:style w:type="character" w:customStyle="1" w:styleId="Heading1Char">
    <w:name w:val="Heading 1 Char"/>
    <w:basedOn w:val="DefaultParagraphFont"/>
    <w:link w:val="Heading1"/>
    <w:uiPriority w:val="9"/>
    <w:rsid w:val="00A30A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A0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A6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E34"/>
  </w:style>
  <w:style w:type="paragraph" w:styleId="Footer">
    <w:name w:val="footer"/>
    <w:basedOn w:val="Normal"/>
    <w:link w:val="FooterChar"/>
    <w:uiPriority w:val="99"/>
    <w:unhideWhenUsed/>
    <w:rsid w:val="00FA6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E34"/>
  </w:style>
  <w:style w:type="character" w:customStyle="1" w:styleId="Heading3Char">
    <w:name w:val="Heading 3 Char"/>
    <w:basedOn w:val="DefaultParagraphFont"/>
    <w:link w:val="Heading3"/>
    <w:uiPriority w:val="9"/>
    <w:rsid w:val="00FA6E3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C6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1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1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809335">
      <w:bodyDiv w:val="1"/>
      <w:marLeft w:val="0"/>
      <w:marRight w:val="0"/>
      <w:marTop w:val="0"/>
      <w:marBottom w:val="0"/>
      <w:divBdr>
        <w:top w:val="none" w:sz="0" w:space="0" w:color="auto"/>
        <w:left w:val="none" w:sz="0" w:space="0" w:color="auto"/>
        <w:bottom w:val="none" w:sz="0" w:space="0" w:color="auto"/>
        <w:right w:val="none" w:sz="0" w:space="0" w:color="auto"/>
      </w:divBdr>
      <w:divsChild>
        <w:div w:id="1807311035">
          <w:marLeft w:val="1008"/>
          <w:marRight w:val="0"/>
          <w:marTop w:val="96"/>
          <w:marBottom w:val="0"/>
          <w:divBdr>
            <w:top w:val="none" w:sz="0" w:space="0" w:color="auto"/>
            <w:left w:val="none" w:sz="0" w:space="0" w:color="auto"/>
            <w:bottom w:val="none" w:sz="0" w:space="0" w:color="auto"/>
            <w:right w:val="none" w:sz="0" w:space="0" w:color="auto"/>
          </w:divBdr>
        </w:div>
        <w:div w:id="1076979030">
          <w:marLeft w:val="1008"/>
          <w:marRight w:val="0"/>
          <w:marTop w:val="96"/>
          <w:marBottom w:val="0"/>
          <w:divBdr>
            <w:top w:val="none" w:sz="0" w:space="0" w:color="auto"/>
            <w:left w:val="none" w:sz="0" w:space="0" w:color="auto"/>
            <w:bottom w:val="none" w:sz="0" w:space="0" w:color="auto"/>
            <w:right w:val="none" w:sz="0" w:space="0" w:color="auto"/>
          </w:divBdr>
        </w:div>
        <w:div w:id="1640378108">
          <w:marLeft w:val="1008"/>
          <w:marRight w:val="0"/>
          <w:marTop w:val="96"/>
          <w:marBottom w:val="0"/>
          <w:divBdr>
            <w:top w:val="none" w:sz="0" w:space="0" w:color="auto"/>
            <w:left w:val="none" w:sz="0" w:space="0" w:color="auto"/>
            <w:bottom w:val="none" w:sz="0" w:space="0" w:color="auto"/>
            <w:right w:val="none" w:sz="0" w:space="0" w:color="auto"/>
          </w:divBdr>
        </w:div>
        <w:div w:id="1964725147">
          <w:marLeft w:val="1008"/>
          <w:marRight w:val="0"/>
          <w:marTop w:val="96"/>
          <w:marBottom w:val="0"/>
          <w:divBdr>
            <w:top w:val="none" w:sz="0" w:space="0" w:color="auto"/>
            <w:left w:val="none" w:sz="0" w:space="0" w:color="auto"/>
            <w:bottom w:val="none" w:sz="0" w:space="0" w:color="auto"/>
            <w:right w:val="none" w:sz="0" w:space="0" w:color="auto"/>
          </w:divBdr>
        </w:div>
        <w:div w:id="950286099">
          <w:marLeft w:val="1008"/>
          <w:marRight w:val="0"/>
          <w:marTop w:val="96"/>
          <w:marBottom w:val="0"/>
          <w:divBdr>
            <w:top w:val="none" w:sz="0" w:space="0" w:color="auto"/>
            <w:left w:val="none" w:sz="0" w:space="0" w:color="auto"/>
            <w:bottom w:val="none" w:sz="0" w:space="0" w:color="auto"/>
            <w:right w:val="none" w:sz="0" w:space="0" w:color="auto"/>
          </w:divBdr>
        </w:div>
      </w:divsChild>
    </w:div>
    <w:div w:id="1991716654">
      <w:bodyDiv w:val="1"/>
      <w:marLeft w:val="0"/>
      <w:marRight w:val="0"/>
      <w:marTop w:val="0"/>
      <w:marBottom w:val="0"/>
      <w:divBdr>
        <w:top w:val="none" w:sz="0" w:space="0" w:color="auto"/>
        <w:left w:val="none" w:sz="0" w:space="0" w:color="auto"/>
        <w:bottom w:val="none" w:sz="0" w:space="0" w:color="auto"/>
        <w:right w:val="none" w:sz="0" w:space="0" w:color="auto"/>
      </w:divBdr>
      <w:divsChild>
        <w:div w:id="1683820691">
          <w:marLeft w:val="1008"/>
          <w:marRight w:val="0"/>
          <w:marTop w:val="96"/>
          <w:marBottom w:val="0"/>
          <w:divBdr>
            <w:top w:val="none" w:sz="0" w:space="0" w:color="auto"/>
            <w:left w:val="none" w:sz="0" w:space="0" w:color="auto"/>
            <w:bottom w:val="none" w:sz="0" w:space="0" w:color="auto"/>
            <w:right w:val="none" w:sz="0" w:space="0" w:color="auto"/>
          </w:divBdr>
        </w:div>
        <w:div w:id="1398548167">
          <w:marLeft w:val="1008"/>
          <w:marRight w:val="0"/>
          <w:marTop w:val="96"/>
          <w:marBottom w:val="0"/>
          <w:divBdr>
            <w:top w:val="none" w:sz="0" w:space="0" w:color="auto"/>
            <w:left w:val="none" w:sz="0" w:space="0" w:color="auto"/>
            <w:bottom w:val="none" w:sz="0" w:space="0" w:color="auto"/>
            <w:right w:val="none" w:sz="0" w:space="0" w:color="auto"/>
          </w:divBdr>
        </w:div>
        <w:div w:id="733817437">
          <w:marLeft w:val="1008"/>
          <w:marRight w:val="0"/>
          <w:marTop w:val="96"/>
          <w:marBottom w:val="0"/>
          <w:divBdr>
            <w:top w:val="none" w:sz="0" w:space="0" w:color="auto"/>
            <w:left w:val="none" w:sz="0" w:space="0" w:color="auto"/>
            <w:bottom w:val="none" w:sz="0" w:space="0" w:color="auto"/>
            <w:right w:val="none" w:sz="0" w:space="0" w:color="auto"/>
          </w:divBdr>
        </w:div>
        <w:div w:id="2072120937">
          <w:marLeft w:val="1008"/>
          <w:marRight w:val="0"/>
          <w:marTop w:val="96"/>
          <w:marBottom w:val="0"/>
          <w:divBdr>
            <w:top w:val="none" w:sz="0" w:space="0" w:color="auto"/>
            <w:left w:val="none" w:sz="0" w:space="0" w:color="auto"/>
            <w:bottom w:val="none" w:sz="0" w:space="0" w:color="auto"/>
            <w:right w:val="none" w:sz="0" w:space="0" w:color="auto"/>
          </w:divBdr>
        </w:div>
        <w:div w:id="1421831172">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Brockdorff</dc:creator>
  <cp:keywords/>
  <dc:description/>
  <cp:lastModifiedBy>Lara Brockdorff</cp:lastModifiedBy>
  <cp:revision>11</cp:revision>
  <dcterms:created xsi:type="dcterms:W3CDTF">2020-01-05T17:21:00Z</dcterms:created>
  <dcterms:modified xsi:type="dcterms:W3CDTF">2020-01-06T05:02:00Z</dcterms:modified>
</cp:coreProperties>
</file>