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A formalization of one of the main claims of </w:t>
      </w:r>
      <w:r w:rsidDel="00000000" w:rsidR="00000000" w:rsidRPr="00000000">
        <w:rPr>
          <w:rtl w:val="0"/>
        </w:rPr>
        <w:t xml:space="preserve">“Overlap of vitamin A and vitamin D target genes with CAKUT-related processes”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rtl w:val="0"/>
        </w:rPr>
        <w:t xml:space="preserve">Ozisik et al. 2021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Authors: </w:t>
      </w:r>
      <w:r w:rsidDel="00000000" w:rsidR="00000000" w:rsidRPr="00000000">
        <w:rPr>
          <w:rtl w:val="0"/>
        </w:rPr>
        <w:t xml:space="preserve">Friederike Ehrhart</w:t>
      </w:r>
      <w:r w:rsidDel="00000000" w:rsidR="00000000" w:rsidRPr="00000000">
        <w:rPr>
          <w:vertAlign w:val="superscript"/>
          <w:rtl w:val="0"/>
        </w:rPr>
        <w:t xml:space="preserve">[1]</w:t>
      </w:r>
      <w:r w:rsidDel="00000000" w:rsidR="00000000" w:rsidRPr="00000000">
        <w:rPr>
          <w:rtl w:val="0"/>
        </w:rPr>
        <w:t xml:space="preserve">, ORCID: 0000-0002-7770-620X and Chris T. Evelo</w:t>
      </w:r>
      <w:r w:rsidDel="00000000" w:rsidR="00000000" w:rsidRPr="00000000">
        <w:rPr>
          <w:vertAlign w:val="superscript"/>
          <w:rtl w:val="0"/>
        </w:rPr>
        <w:t xml:space="preserve">[2]</w:t>
      </w:r>
      <w:r w:rsidDel="00000000" w:rsidR="00000000" w:rsidRPr="00000000">
        <w:rPr>
          <w:rtl w:val="0"/>
        </w:rPr>
        <w:t xml:space="preserve">, ORCID: 0000-0002-5301-3142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Affiliations: </w:t>
      </w:r>
      <w:r w:rsidDel="00000000" w:rsidR="00000000" w:rsidRPr="00000000">
        <w:rPr>
          <w:vertAlign w:val="superscript"/>
          <w:rtl w:val="0"/>
        </w:rPr>
        <w:t xml:space="preserve">[1]</w:t>
      </w:r>
      <w:r w:rsidDel="00000000" w:rsidR="00000000" w:rsidRPr="00000000">
        <w:rPr>
          <w:rtl w:val="0"/>
        </w:rPr>
        <w:t xml:space="preserve">Department of Bioinformatics, NUTRIM/MHeNs, Maastricht University, The Netherlands</w:t>
      </w:r>
      <w:r w:rsidDel="00000000" w:rsidR="00000000" w:rsidRPr="00000000">
        <w:rPr>
          <w:rtl w:val="0"/>
        </w:rPr>
        <w:t xml:space="preserve">. E-mail: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friederike.ehrhart@maastrichtuniversity.nl</w:t>
        </w:r>
      </w:hyperlink>
      <w:r w:rsidDel="00000000" w:rsidR="00000000" w:rsidRPr="00000000">
        <w:rPr>
          <w:rtl w:val="0"/>
        </w:rPr>
        <w:t xml:space="preserve"> ; </w:t>
      </w:r>
      <w:r w:rsidDel="00000000" w:rsidR="00000000" w:rsidRPr="00000000">
        <w:rPr>
          <w:vertAlign w:val="superscript"/>
          <w:rtl w:val="0"/>
        </w:rPr>
        <w:t xml:space="preserve">[2]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Department of Bioinformatics, NUTRIM, Maastricht University, The Netherlands and Maastricht Center for Systems Biology (MaCSBio), Maastricht University, The Netherlands.</w:t>
      </w:r>
      <w:r w:rsidDel="00000000" w:rsidR="00000000" w:rsidRPr="00000000">
        <w:rPr>
          <w:rtl w:val="0"/>
        </w:rPr>
        <w:t xml:space="preserve"> E-mail: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chris.evelo@maastrichtuniversity.nl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Keywords: </w:t>
      </w:r>
      <w:r w:rsidDel="00000000" w:rsidR="00000000" w:rsidRPr="00000000">
        <w:rPr>
          <w:rtl w:val="0"/>
        </w:rPr>
        <w:t xml:space="preserve">“genes associated with CAKUT”, “targets of Vitamin 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Article Type:</w:t>
      </w:r>
      <w:r w:rsidDel="00000000" w:rsidR="00000000" w:rsidRPr="00000000">
        <w:rPr>
          <w:rtl w:val="0"/>
        </w:rPr>
        <w:t xml:space="preserve"> Formalization Paper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As RDF/nanopublication: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http://purl.org/np/RAyg4UgIVovBGia-hk4qEuRzOq14fcOlYAclC6YGQaVYU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76.928" w:lineRule="auto"/>
        <w:rPr/>
      </w:pPr>
      <w:r w:rsidDel="00000000" w:rsidR="00000000" w:rsidRPr="00000000">
        <w:rPr>
          <w:b w:val="1"/>
          <w:rtl w:val="0"/>
        </w:rPr>
        <w:t xml:space="preserve">Editor: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Cristina-Iulia</w:t>
      </w:r>
      <w:r w:rsidDel="00000000" w:rsidR="00000000" w:rsidRPr="00000000">
        <w:rPr>
          <w:rtl w:val="0"/>
        </w:rPr>
        <w:t xml:space="preserve"> Bucur, </w:t>
      </w:r>
      <w:r w:rsidDel="00000000" w:rsidR="00000000" w:rsidRPr="00000000">
        <w:rPr>
          <w:rtl w:val="0"/>
        </w:rPr>
        <w:t xml:space="preserve">ORCID</w:t>
      </w:r>
      <w:r w:rsidDel="00000000" w:rsidR="00000000" w:rsidRPr="00000000">
        <w:rPr>
          <w:rtl w:val="0"/>
        </w:rPr>
        <w:t xml:space="preserve">: 0000-0002-7114-6459</w:t>
      </w:r>
    </w:p>
    <w:p w:rsidR="00000000" w:rsidDel="00000000" w:rsidP="00000000" w:rsidRDefault="00000000" w:rsidRPr="00000000" w14:paraId="0000000E">
      <w:pPr>
        <w:spacing w:line="476.92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comments from: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Tobias Kuhn, </w:t>
      </w:r>
      <w:r w:rsidDel="00000000" w:rsidR="00000000" w:rsidRPr="00000000">
        <w:rPr>
          <w:rtl w:val="0"/>
        </w:rPr>
        <w:t xml:space="preserve">ORCID</w:t>
      </w:r>
      <w:r w:rsidDel="00000000" w:rsidR="00000000" w:rsidRPr="00000000">
        <w:rPr>
          <w:rtl w:val="0"/>
        </w:rPr>
        <w:t xml:space="preserve">: 0000-0002-1267-0234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Cristina-Iulia</w:t>
      </w:r>
      <w:r w:rsidDel="00000000" w:rsidR="00000000" w:rsidRPr="00000000">
        <w:rPr>
          <w:rtl w:val="0"/>
        </w:rPr>
        <w:t xml:space="preserve"> Bucur, </w:t>
      </w:r>
      <w:r w:rsidDel="00000000" w:rsidR="00000000" w:rsidRPr="00000000">
        <w:rPr>
          <w:rtl w:val="0"/>
        </w:rPr>
        <w:t xml:space="preserve">ORCID</w:t>
      </w:r>
      <w:r w:rsidDel="00000000" w:rsidR="00000000" w:rsidRPr="00000000">
        <w:rPr>
          <w:rtl w:val="0"/>
        </w:rPr>
        <w:t xml:space="preserve">: 0000-0002-7114-6459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Received:</w:t>
      </w:r>
      <w:r w:rsidDel="00000000" w:rsidR="00000000" w:rsidRPr="00000000">
        <w:rPr>
          <w:rtl w:val="0"/>
        </w:rPr>
        <w:t xml:space="preserve"> 2021-09-24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Accepted: </w:t>
      </w:r>
      <w:r w:rsidDel="00000000" w:rsidR="00000000" w:rsidRPr="00000000">
        <w:rPr>
          <w:rtl w:val="0"/>
        </w:rPr>
        <w:t xml:space="preserve">2021-11-15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Abstract:</w:t>
      </w:r>
    </w:p>
    <w:p w:rsidR="00000000" w:rsidDel="00000000" w:rsidP="00000000" w:rsidRDefault="00000000" w:rsidRPr="00000000" w14:paraId="0000001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In a previous paper that we co-authored (</w:t>
      </w:r>
      <w:r w:rsidDel="00000000" w:rsidR="00000000" w:rsidRPr="00000000">
        <w:rPr>
          <w:rtl w:val="0"/>
        </w:rPr>
        <w:t xml:space="preserve">Ozisik et al. 2021) we showed </w:t>
      </w:r>
      <w:r w:rsidDel="00000000" w:rsidR="00000000" w:rsidRPr="00000000">
        <w:rPr>
          <w:rtl w:val="0"/>
        </w:rPr>
        <w:t xml:space="preserve"> that in some cases Vitamin A and Vitamin D receptor binding sites are present in genes associated with Congenital Anomalies of the Kidney and Urinary Tract (CAKUT). From that finding we derived the statement that s</w:t>
      </w:r>
      <w:r w:rsidDel="00000000" w:rsidR="00000000" w:rsidRPr="00000000">
        <w:rPr>
          <w:rtl w:val="0"/>
        </w:rPr>
        <w:t xml:space="preserve">ometimes</w:t>
      </w:r>
      <w:r w:rsidDel="00000000" w:rsidR="00000000" w:rsidRPr="00000000">
        <w:rPr>
          <w:rtl w:val="0"/>
        </w:rPr>
        <w:t xml:space="preserve"> Vitamin A targets</w:t>
      </w:r>
      <w:r w:rsidDel="00000000" w:rsidR="00000000" w:rsidRPr="00000000">
        <w:rPr>
          <w:rtl w:val="0"/>
        </w:rPr>
        <w:t xml:space="preserve"> are the same as genes associated with CAKUT</w:t>
      </w:r>
      <w:r w:rsidDel="00000000" w:rsidR="00000000" w:rsidRPr="00000000">
        <w:rPr>
          <w:rtl w:val="0"/>
        </w:rPr>
        <w:t xml:space="preserve">. We present here a formalization of that claim, stating that all things of class “</w:t>
      </w:r>
      <w:r w:rsidDel="00000000" w:rsidR="00000000" w:rsidRPr="00000000">
        <w:rPr>
          <w:rtl w:val="0"/>
        </w:rPr>
        <w:t xml:space="preserve">genes associated with CAKUT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  <w:t xml:space="preserve">sometimes</w:t>
      </w:r>
      <w:r w:rsidDel="00000000" w:rsidR="00000000" w:rsidRPr="00000000">
        <w:rPr>
          <w:rtl w:val="0"/>
        </w:rPr>
        <w:t xml:space="preserve"> have a relation of type “</w:t>
      </w:r>
      <w:r w:rsidDel="00000000" w:rsidR="00000000" w:rsidRPr="00000000">
        <w:rPr>
          <w:rtl w:val="0"/>
        </w:rPr>
        <w:t xml:space="preserve">is same as</w:t>
      </w:r>
      <w:r w:rsidDel="00000000" w:rsidR="00000000" w:rsidRPr="00000000">
        <w:rPr>
          <w:rtl w:val="0"/>
        </w:rPr>
        <w:t xml:space="preserve">” to</w:t>
      </w:r>
      <w:r w:rsidDel="00000000" w:rsidR="00000000" w:rsidRPr="00000000">
        <w:rPr>
          <w:rtl w:val="0"/>
        </w:rPr>
        <w:t xml:space="preserve"> a thing of class “</w:t>
      </w:r>
      <w:r w:rsidDel="00000000" w:rsidR="00000000" w:rsidRPr="00000000">
        <w:rPr>
          <w:rtl w:val="0"/>
        </w:rPr>
        <w:t xml:space="preserve">targets of vitamin A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We present here a formalization of the main scientific claim from </w:t>
      </w:r>
      <w:r w:rsidDel="00000000" w:rsidR="00000000" w:rsidRPr="00000000">
        <w:rPr>
          <w:rtl w:val="0"/>
        </w:rPr>
        <w:t xml:space="preserve">Ozisik et al. [1] </w:t>
      </w:r>
      <w:r w:rsidDel="00000000" w:rsidR="00000000" w:rsidRPr="00000000">
        <w:rPr>
          <w:rtl w:val="0"/>
        </w:rPr>
        <w:t xml:space="preserve"> by using a semantic template called the super-pattern [2].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Formalization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Our formalization looks as follows: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455"/>
        <w:tblGridChange w:id="0">
          <w:tblGrid>
            <w:gridCol w:w="4455"/>
            <w:gridCol w:w="44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CONTEXT-CLASS (“in the context of all ..."):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jc w:val="both"/>
              <w:rPr>
                <w:color w:val="1155cc"/>
                <w:u w:val="singl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(universal context)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SUBJECT-CLASS (“things of type ..."):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jc w:val="both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genes associated with CAKUT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QUALIFIER: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both"/>
              <w:rPr>
                <w:color w:val="1155cc"/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sometimes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RELATION-TYPE (“have a relation of type...”):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jc w:val="both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is same as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OBJECT-CLASS (“to things of type...”):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jc w:val="both"/>
              <w:rPr>
                <w:color w:val="1155cc"/>
                <w:u w:val="single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targets of vitamin 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In the context class we use the class </w:t>
      </w:r>
      <w:r w:rsidDel="00000000" w:rsidR="00000000" w:rsidRPr="00000000">
        <w:rPr>
          <w:rtl w:val="0"/>
        </w:rPr>
        <w:t xml:space="preserve">“universal context”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tl w:val="0"/>
        </w:rPr>
        <w:t xml:space="preserve">SuperPattern ontology</w:t>
      </w:r>
      <w:r w:rsidDel="00000000" w:rsidR="00000000" w:rsidRPr="00000000">
        <w:rPr>
          <w:rtl w:val="0"/>
        </w:rPr>
        <w:t xml:space="preserve">. In the subject class, we use the class </w:t>
      </w:r>
      <w:r w:rsidDel="00000000" w:rsidR="00000000" w:rsidRPr="00000000">
        <w:rPr>
          <w:rtl w:val="0"/>
        </w:rPr>
        <w:t xml:space="preserve">“genes associated with CAKUT” (Q109406970)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tl w:val="0"/>
        </w:rPr>
        <w:t xml:space="preserve">Wikidata</w:t>
      </w:r>
      <w:r w:rsidDel="00000000" w:rsidR="00000000" w:rsidRPr="00000000">
        <w:rPr>
          <w:rtl w:val="0"/>
        </w:rPr>
        <w:t xml:space="preserve">. In the object class we use the class </w:t>
      </w:r>
      <w:r w:rsidDel="00000000" w:rsidR="00000000" w:rsidRPr="00000000">
        <w:rPr>
          <w:rtl w:val="0"/>
        </w:rPr>
        <w:t xml:space="preserve">“targets of vitamin A” (Q109406949)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tl w:val="0"/>
        </w:rPr>
        <w:t xml:space="preserve">Wikidata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RDF Code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This is our formalization as a nanopublication in TriG format: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this: &lt;http://purl.org/np/RAyg4UgIVovBGia-hk4qEuRzOq14fcOlYAclC6YGQaVYU&gt; .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sub: &lt;http://purl.org/np/RAyg4UgIVovBGia-hk4qEuRzOq14fcOlYAclC6YGQaVYU#&gt; .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np: &lt;http://www.nanopub.org/nschema#&gt; .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dct: &lt;http://purl.org/dc/terms/&gt; .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nt: &lt;https://w3id.org/np/o/ntemplate/&gt; .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npx: &lt;http://purl.org/nanopub/x/&gt; .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xsd: &lt;http://www.w3.org/2001/XMLSchema#&gt; .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rdfs: &lt;http://www.w3.org/2000/01/rdf-schema#&gt; .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orcid: &lt;https://orcid.org/&gt; .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prov: &lt;http://www.w3.org/ns/prov#&gt; .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sp: &lt;&lt;https://w3id.org/linkflows/superpattern/terms/&gt; .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sub:Head {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np:hasAssertion sub:assertion ;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np:hasProvenance sub:provenance ;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np:hasPublicationInfo sub:pubinfo ;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a np:Nanopublication .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sub:assertion {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sub:spi a &lt;https://w3id.org/linkflows/superpattern/terms/SuperPatternInstance&gt; ;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rdfs:label "Sometimes Vitamin A targets are the same as genes associated with CAKUT" ;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sp:hasContextClass sp:UniversalContext ;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sp:hasSubjectClass &lt;https://www.wikidata.org/wiki/Q109406970&gt; ;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sp:hasQualifier sp:sometimesQualifier ;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sp:hasRelation sp:isSameAs ;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sp:hasObjectClass &lt;https://www.wikidata.org/wiki/Q109406949&gt; . 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sub:provenance {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sub:activity a sp:FormalizationActivity ;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prov:used &lt;https://doi.org/10.12688/f1000research.51018.1&gt; ;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prov:wasAssociatedWith orcid:0000-0002-5301-3142 , orcid:0000-0002-7770-620X .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sub:assertion prov:wasGeneratedBy sub:activity .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sub:pubinfo {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sub:sig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npx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:hasAlgorithm "RSA" ;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npx:hasPublicKey "MIGfMA0GCSqGSIb3DQEBAQUAA4GNADCBiQKBgQCCYtnHL3Zu9ExrWA28zHnRA9JKmj8V9awChjn+7oBn9p6wdLx61J5mD/lWK9H8NdxSk/fdoaEJAin2WLiWs6qBJdSZOLbfq7HSF/GVYoTkuvvjnf2rozS08mI+xwEXMsa7XVa+4bz8jauPyp/eEFbcIHEWtstiuQvjvoXKizK5HQIDAQAB" ;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 "I3KzDEFUZEyP4oMCYA1MchEGcmMpEmFjZLwDF/TtxkXD1yoRj40BopL4n78X+5ldUVsO4ufY1J8JXe+TFgPXX/Z9mBLE+EbzhuX7pGRG9woM16C5fLTwrJoJL7rcUK6ii7moFZ/LsChOKdtC0DrZuie+BecFjvt6xKi693gPih4=" ;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npx:hasSignatureTarget this: .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dct:created "2021-11-15T09:46:19.034+01:00"^^xsd:dateTime ;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dct:creator orcid:0000-0002-7770-620X ;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npx:introduces sub:spi ;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npx:supersedes &lt;http://purl.org/np/RAokVMmiZSbRh01diNeJLum4p13kUd-NZjGFuVtxVz4Bs&gt; ;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&lt;https://w3id.org/linkflows/reviews/isUpdateOf&gt; &lt;http://purl.org/np/RAsdV8EQ1qn_lXOrgoG7mPaF1JXdFLzt2iYy4eMhMMuM4&gt; ;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nt:wasCreatedFromProvenanceTemplate &lt;http://purl.org/np/RAE1wniOy0yO39PlK9QkQ-wqbC3q-R2nXraP5huu8W39k&gt; ;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nt:wasCreatedFromPubinfoTemplate &lt;http://purl.org/np/RA2vCBXZf-icEcVRGhulJXugTGxpsV5yVr9yqCI1bQh4A&gt; , &lt;http://purl.org/np/RAA2MfqdBCzmz9yVWjKLXNbyfBNcwsMmOqcNUxkk1maIM&gt; , &lt;http://purl.org/np/RAjpBMlw3owYhJUBo3DtsuDlXsNAJ8cnGeWAutDVjuAuI&gt; ;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nt:wasCreatedFromTemplate &lt;http://purl.org/np/RAv68imZrEjfcp2rnEg1hzoBqEVc0cQMtp9_1Za0BxNM4&gt; .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Funding: </w:t>
      </w:r>
      <w:r w:rsidDel="00000000" w:rsidR="00000000" w:rsidRPr="00000000">
        <w:rPr>
          <w:rtl w:val="0"/>
        </w:rPr>
        <w:t xml:space="preserve">FE and CEs work is supported by the funding from the European Union’s Horizon 2020 research and innovation programme under the EJP RD COFUND-EJP N° 825575.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[1] Ozisik O, Ehrhart F, Evelo CT et al. Overlap of vitamin A and vitamin D target genes with CAKUT-related processes [version 1; peer review: 2 approved with reservations]. F1000Research 2021, 395(10), doi: 10.12688/f1000research.51018.1.</w:t>
      </w:r>
    </w:p>
    <w:p w:rsidR="00000000" w:rsidDel="00000000" w:rsidP="00000000" w:rsidRDefault="00000000" w:rsidRPr="00000000" w14:paraId="0000006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[2] Bucur, C.I., Kuhn, T., Ceolin, D., Ossenbruggen, J. van. Expressing high-level scientific claims with formal semantics. In: Proceedings of the 11th Knowledge Capture Conference 2021. doi: 10.1145/3460210.3493561.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3id.org/linkflows/superpattern/terms/sometimesQualifier" TargetMode="External"/><Relationship Id="rId10" Type="http://schemas.openxmlformats.org/officeDocument/2006/relationships/hyperlink" Target="https://www.wikidata.org/wiki/Q109406970" TargetMode="External"/><Relationship Id="rId13" Type="http://schemas.openxmlformats.org/officeDocument/2006/relationships/hyperlink" Target="https://www.wikidata.org/wiki/Q109406949" TargetMode="External"/><Relationship Id="rId12" Type="http://schemas.openxmlformats.org/officeDocument/2006/relationships/hyperlink" Target="https://w3id.org/linkflows/superpattern/terms/isSameA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3id.org/linkflows/superpattern/terms/UniversalContext" TargetMode="External"/><Relationship Id="rId5" Type="http://schemas.openxmlformats.org/officeDocument/2006/relationships/styles" Target="styles.xml"/><Relationship Id="rId6" Type="http://schemas.openxmlformats.org/officeDocument/2006/relationships/hyperlink" Target="mailto:friederike.ehrhart@maastrichtuniversity.nl" TargetMode="External"/><Relationship Id="rId7" Type="http://schemas.openxmlformats.org/officeDocument/2006/relationships/hyperlink" Target="mailto:chris.evelo@maastrichtuniversity.nl" TargetMode="External"/><Relationship Id="rId8" Type="http://schemas.openxmlformats.org/officeDocument/2006/relationships/hyperlink" Target="http://purl.org/np/RAyg4UgIVovBGia-hk4qEuRzOq14fcOlYAclC6YGQaV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