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b w:val="1"/>
          <w:rtl w:val="0"/>
        </w:rPr>
        <w:t xml:space="preserve">Title: </w:t>
      </w:r>
      <w:r w:rsidDel="00000000" w:rsidR="00000000" w:rsidRPr="00000000">
        <w:rPr>
          <w:rtl w:val="0"/>
        </w:rPr>
        <w:t xml:space="preserve">A formalization of one of the main claims of </w:t>
      </w:r>
      <w:r w:rsidDel="00000000" w:rsidR="00000000" w:rsidRPr="00000000">
        <w:rPr>
          <w:rtl w:val="0"/>
        </w:rPr>
        <w:t xml:space="preserve">“Creative Commons licenses and the non-commercial condition: Implications for the re-use of biodiversity information”</w:t>
      </w:r>
      <w:r w:rsidDel="00000000" w:rsidR="00000000" w:rsidRPr="00000000">
        <w:rPr>
          <w:rtl w:val="0"/>
        </w:rPr>
        <w:t xml:space="preserve"> by Hagedorn </w:t>
      </w:r>
      <w:r w:rsidDel="00000000" w:rsidR="00000000" w:rsidRPr="00000000">
        <w:rPr>
          <w:rtl w:val="0"/>
        </w:rPr>
        <w:t xml:space="preserve">et al. 2011</w:t>
      </w:r>
      <w:r w:rsidDel="00000000" w:rsidR="00000000" w:rsidRPr="00000000">
        <w:rPr>
          <w:rtl w:val="0"/>
        </w:rPr>
        <w:t xml:space="preserve">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Authors: </w:t>
      </w:r>
      <w:r w:rsidDel="00000000" w:rsidR="00000000" w:rsidRPr="00000000">
        <w:rPr>
          <w:rtl w:val="0"/>
        </w:rPr>
        <w:t xml:space="preserve">Daniel Mietchen</w:t>
      </w:r>
      <w:r w:rsidDel="00000000" w:rsidR="00000000" w:rsidRPr="00000000">
        <w:rPr>
          <w:vertAlign w:val="superscript"/>
          <w:rtl w:val="0"/>
        </w:rPr>
        <w:t xml:space="preserve">[1]</w:t>
      </w:r>
      <w:r w:rsidDel="00000000" w:rsidR="00000000" w:rsidRPr="00000000">
        <w:rPr>
          <w:rtl w:val="0"/>
        </w:rPr>
        <w:t xml:space="preserve">, ORCID: 0000-0001-9488-1870 and </w:t>
      </w:r>
    </w:p>
    <w:p w:rsidR="00000000" w:rsidDel="00000000" w:rsidP="00000000" w:rsidRDefault="00000000" w:rsidRPr="00000000" w14:paraId="00000004">
      <w:pPr>
        <w:spacing w:line="276" w:lineRule="auto"/>
        <w:rPr/>
      </w:pPr>
      <w:r w:rsidDel="00000000" w:rsidR="00000000" w:rsidRPr="00000000">
        <w:rPr>
          <w:rtl w:val="0"/>
        </w:rPr>
        <w:t xml:space="preserve">Lyubomir Penev</w:t>
      </w:r>
      <w:r w:rsidDel="00000000" w:rsidR="00000000" w:rsidRPr="00000000">
        <w:rPr>
          <w:vertAlign w:val="superscript"/>
          <w:rtl w:val="0"/>
        </w:rPr>
        <w:t xml:space="preserve">[2]</w:t>
      </w:r>
      <w:r w:rsidDel="00000000" w:rsidR="00000000" w:rsidRPr="00000000">
        <w:rPr>
          <w:rtl w:val="0"/>
        </w:rPr>
        <w:t xml:space="preserve">, ORCID:  0000-0002-2186-5033 and </w:t>
      </w:r>
    </w:p>
    <w:p w:rsidR="00000000" w:rsidDel="00000000" w:rsidP="00000000" w:rsidRDefault="00000000" w:rsidRPr="00000000" w14:paraId="00000005">
      <w:pPr>
        <w:spacing w:line="276" w:lineRule="auto"/>
        <w:rPr/>
      </w:pPr>
      <w:r w:rsidDel="00000000" w:rsidR="00000000" w:rsidRPr="00000000">
        <w:rPr>
          <w:rtl w:val="0"/>
        </w:rPr>
        <w:t xml:space="preserve">Mariya Dimitrova</w:t>
      </w:r>
      <w:r w:rsidDel="00000000" w:rsidR="00000000" w:rsidRPr="00000000">
        <w:rPr>
          <w:vertAlign w:val="superscript"/>
          <w:rtl w:val="0"/>
        </w:rPr>
        <w:t xml:space="preserve">[3]</w:t>
      </w:r>
      <w:r w:rsidDel="00000000" w:rsidR="00000000" w:rsidRPr="00000000">
        <w:rPr>
          <w:rtl w:val="0"/>
        </w:rPr>
        <w:t xml:space="preserve">, ORCID: 0000-0002-8083-6048</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Affiliations: </w:t>
      </w:r>
      <w:r w:rsidDel="00000000" w:rsidR="00000000" w:rsidRPr="00000000">
        <w:rPr>
          <w:vertAlign w:val="superscript"/>
          <w:rtl w:val="0"/>
        </w:rPr>
        <w:t xml:space="preserve">[1]</w:t>
      </w:r>
      <w:r w:rsidDel="00000000" w:rsidR="00000000" w:rsidRPr="00000000">
        <w:rPr>
          <w:rtl w:val="0"/>
        </w:rPr>
        <w:t xml:space="preserve"> Freie Universität Berlin, Germany. E-mail: </w:t>
      </w:r>
      <w:hyperlink r:id="rId6">
        <w:r w:rsidDel="00000000" w:rsidR="00000000" w:rsidRPr="00000000">
          <w:rPr>
            <w:color w:val="1155cc"/>
            <w:u w:val="single"/>
            <w:rtl w:val="0"/>
          </w:rPr>
          <w:t xml:space="preserve">daniel.mietchen@googlemail.com</w:t>
        </w:r>
      </w:hyperlink>
      <w:r w:rsidDel="00000000" w:rsidR="00000000" w:rsidRPr="00000000">
        <w:rPr>
          <w:rtl w:val="0"/>
        </w:rPr>
        <w:t xml:space="preserve"> ; </w:t>
      </w:r>
      <w:r w:rsidDel="00000000" w:rsidR="00000000" w:rsidRPr="00000000">
        <w:rPr>
          <w:vertAlign w:val="superscript"/>
          <w:rtl w:val="0"/>
        </w:rPr>
        <w:t xml:space="preserve">[2] </w:t>
      </w:r>
      <w:r w:rsidDel="00000000" w:rsidR="00000000" w:rsidRPr="00000000">
        <w:rPr>
          <w:color w:val="222222"/>
          <w:sz w:val="23"/>
          <w:szCs w:val="23"/>
          <w:highlight w:val="white"/>
          <w:rtl w:val="0"/>
        </w:rPr>
        <w:t xml:space="preserve">Bulgarian Academy of Sciences, Bulgaria and Pensoft Publishers,</w:t>
      </w:r>
      <w:r w:rsidDel="00000000" w:rsidR="00000000" w:rsidRPr="00000000">
        <w:rPr>
          <w:rtl w:val="0"/>
        </w:rPr>
        <w:t xml:space="preserve"> Bulgaria. E-mail: </w:t>
      </w:r>
      <w:hyperlink r:id="rId7">
        <w:r w:rsidDel="00000000" w:rsidR="00000000" w:rsidRPr="00000000">
          <w:rPr>
            <w:color w:val="1155cc"/>
            <w:u w:val="single"/>
            <w:rtl w:val="0"/>
          </w:rPr>
          <w:t xml:space="preserve">l.penev@pensoft.net</w:t>
        </w:r>
      </w:hyperlink>
      <w:r w:rsidDel="00000000" w:rsidR="00000000" w:rsidRPr="00000000">
        <w:rPr>
          <w:rtl w:val="0"/>
        </w:rPr>
        <w:t xml:space="preserve"> ; </w:t>
      </w:r>
      <w:r w:rsidDel="00000000" w:rsidR="00000000" w:rsidRPr="00000000">
        <w:rPr>
          <w:vertAlign w:val="superscript"/>
          <w:rtl w:val="0"/>
        </w:rPr>
        <w:t xml:space="preserve">[3]</w:t>
      </w:r>
      <w:r w:rsidDel="00000000" w:rsidR="00000000" w:rsidRPr="00000000">
        <w:rPr>
          <w:rtl w:val="0"/>
        </w:rPr>
        <w:t xml:space="preserve"> Bulgarian Academy of Sciences, Bulgaria and Pensoft Publishers, Bulgaria. E-mail: </w:t>
      </w:r>
      <w:hyperlink r:id="rId8">
        <w:r w:rsidDel="00000000" w:rsidR="00000000" w:rsidRPr="00000000">
          <w:rPr>
            <w:color w:val="1155cc"/>
            <w:u w:val="single"/>
            <w:rtl w:val="0"/>
          </w:rPr>
          <w:t xml:space="preserve">m.dimitrova@pensoft.net</w:t>
        </w:r>
      </w:hyperlink>
      <w:r w:rsidDel="00000000" w:rsidR="00000000" w:rsidRPr="00000000">
        <w:rPr>
          <w:rtl w:val="0"/>
        </w:rPr>
        <w:t xml:space="preserve">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Keywords: </w:t>
      </w:r>
      <w:r w:rsidDel="00000000" w:rsidR="00000000" w:rsidRPr="00000000">
        <w:rPr>
          <w:rtl w:val="0"/>
        </w:rPr>
        <w:t xml:space="preserve">“biodiversity data”, “license with non-commercial clause”, “data reuse”</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Article Type:</w:t>
      </w:r>
      <w:r w:rsidDel="00000000" w:rsidR="00000000" w:rsidRPr="00000000">
        <w:rPr>
          <w:rtl w:val="0"/>
        </w:rPr>
        <w:t xml:space="preserve"> Formalization Paper</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As RDF/nanopublication:</w:t>
      </w:r>
      <w:r w:rsidDel="00000000" w:rsidR="00000000" w:rsidRPr="00000000">
        <w:rPr>
          <w:rtl w:val="0"/>
        </w:rPr>
        <w:t xml:space="preserve"> </w:t>
      </w:r>
      <w:hyperlink r:id="rId9">
        <w:r w:rsidDel="00000000" w:rsidR="00000000" w:rsidRPr="00000000">
          <w:rPr>
            <w:color w:val="1155cc"/>
            <w:u w:val="single"/>
            <w:rtl w:val="0"/>
          </w:rPr>
          <w:t xml:space="preserve">http://purl.org/np/RABzhulhaPhOzo9MxWxl230N72-azdlpMNwu_HtDqsuUc</w:t>
        </w:r>
      </w:hyperlink>
      <w:r w:rsidDel="00000000" w:rsidR="00000000" w:rsidRPr="00000000">
        <w:rPr>
          <w:rtl w:val="0"/>
        </w:rPr>
        <w:t xml:space="preserve">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Editor:</w:t>
      </w:r>
      <w:r w:rsidDel="00000000" w:rsidR="00000000" w:rsidRPr="00000000">
        <w:rPr>
          <w:rtl w:val="0"/>
        </w:rPr>
        <w:t xml:space="preserve"> </w:t>
      </w:r>
      <w:r w:rsidDel="00000000" w:rsidR="00000000" w:rsidRPr="00000000">
        <w:rPr>
          <w:rtl w:val="0"/>
        </w:rPr>
        <w:t xml:space="preserve">Cristina-Iulia</w:t>
      </w:r>
      <w:r w:rsidDel="00000000" w:rsidR="00000000" w:rsidRPr="00000000">
        <w:rPr>
          <w:rtl w:val="0"/>
        </w:rPr>
        <w:t xml:space="preserve"> Bucur, ORCID: 0000-0002-7114-6459</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Review comments from:</w:t>
      </w:r>
    </w:p>
    <w:p w:rsidR="00000000" w:rsidDel="00000000" w:rsidP="00000000" w:rsidRDefault="00000000" w:rsidRPr="00000000" w14:paraId="00000012">
      <w:pPr>
        <w:numPr>
          <w:ilvl w:val="0"/>
          <w:numId w:val="4"/>
        </w:numPr>
        <w:spacing w:line="276" w:lineRule="auto"/>
        <w:ind w:left="720" w:hanging="360"/>
        <w:rPr>
          <w:u w:val="none"/>
        </w:rPr>
      </w:pPr>
      <w:r w:rsidDel="00000000" w:rsidR="00000000" w:rsidRPr="00000000">
        <w:rPr>
          <w:rtl w:val="0"/>
        </w:rPr>
        <w:t xml:space="preserve">Tobias Kuhn, ORCID: 0000-0002-1267-0234</w:t>
      </w:r>
    </w:p>
    <w:p w:rsidR="00000000" w:rsidDel="00000000" w:rsidP="00000000" w:rsidRDefault="00000000" w:rsidRPr="00000000" w14:paraId="00000013">
      <w:pPr>
        <w:numPr>
          <w:ilvl w:val="0"/>
          <w:numId w:val="4"/>
        </w:numPr>
        <w:spacing w:line="276" w:lineRule="auto"/>
        <w:ind w:left="720" w:hanging="360"/>
        <w:rPr>
          <w:u w:val="none"/>
        </w:rPr>
      </w:pPr>
      <w:r w:rsidDel="00000000" w:rsidR="00000000" w:rsidRPr="00000000">
        <w:rPr>
          <w:rtl w:val="0"/>
        </w:rPr>
        <w:t xml:space="preserve">Ricardo Usbeck, ORCID: 0000-0002-0191-7211</w:t>
      </w:r>
    </w:p>
    <w:p w:rsidR="00000000" w:rsidDel="00000000" w:rsidP="00000000" w:rsidRDefault="00000000" w:rsidRPr="00000000" w14:paraId="00000014">
      <w:pPr>
        <w:numPr>
          <w:ilvl w:val="0"/>
          <w:numId w:val="4"/>
        </w:numPr>
        <w:spacing w:line="276" w:lineRule="auto"/>
        <w:ind w:left="720" w:hanging="360"/>
        <w:rPr>
          <w:u w:val="none"/>
        </w:rPr>
      </w:pPr>
      <w:r w:rsidDel="00000000" w:rsidR="00000000" w:rsidRPr="00000000">
        <w:rPr>
          <w:rtl w:val="0"/>
        </w:rPr>
        <w:t xml:space="preserve">Cristina-Iulia</w:t>
      </w:r>
      <w:r w:rsidDel="00000000" w:rsidR="00000000" w:rsidRPr="00000000">
        <w:rPr>
          <w:rtl w:val="0"/>
        </w:rPr>
        <w:t xml:space="preserve"> Bucur, ORCID: 0000-0002-7114-6459</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b w:val="1"/>
          <w:rtl w:val="0"/>
        </w:rPr>
        <w:t xml:space="preserve">Received:</w:t>
      </w:r>
      <w:r w:rsidDel="00000000" w:rsidR="00000000" w:rsidRPr="00000000">
        <w:rPr>
          <w:rtl w:val="0"/>
        </w:rPr>
        <w:t xml:space="preserve"> 2021-07-07</w:t>
      </w:r>
    </w:p>
    <w:p w:rsidR="00000000" w:rsidDel="00000000" w:rsidP="00000000" w:rsidRDefault="00000000" w:rsidRPr="00000000" w14:paraId="00000017">
      <w:pPr>
        <w:spacing w:line="360" w:lineRule="auto"/>
        <w:rPr/>
      </w:pPr>
      <w:r w:rsidDel="00000000" w:rsidR="00000000" w:rsidRPr="00000000">
        <w:rPr>
          <w:b w:val="1"/>
          <w:rtl w:val="0"/>
        </w:rPr>
        <w:t xml:space="preserve">Accepted:</w:t>
      </w:r>
      <w:r w:rsidDel="00000000" w:rsidR="00000000" w:rsidRPr="00000000">
        <w:rPr>
          <w:rtl w:val="0"/>
        </w:rPr>
        <w:t xml:space="preserve"> 2021-12-03</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Abstract:</w:t>
      </w:r>
    </w:p>
    <w:p w:rsidR="00000000" w:rsidDel="00000000" w:rsidP="00000000" w:rsidRDefault="00000000" w:rsidRPr="00000000" w14:paraId="0000001B">
      <w:pPr>
        <w:spacing w:line="276" w:lineRule="auto"/>
        <w:jc w:val="both"/>
        <w:rPr/>
      </w:pPr>
      <w:r w:rsidDel="00000000" w:rsidR="00000000" w:rsidRPr="00000000">
        <w:rPr>
          <w:rtl w:val="0"/>
        </w:rPr>
        <w:t xml:space="preserve">Hagedorn et al.</w:t>
      </w:r>
      <w:r w:rsidDel="00000000" w:rsidR="00000000" w:rsidRPr="00000000">
        <w:rPr>
          <w:rtl w:val="0"/>
        </w:rPr>
        <w:t xml:space="preserve"> </w:t>
      </w:r>
      <w:r w:rsidDel="00000000" w:rsidR="00000000" w:rsidRPr="00000000">
        <w:rPr>
          <w:rtl w:val="0"/>
        </w:rPr>
        <w:t xml:space="preserve">claimed in previous work that when talking about biodiversity data, licenses with a non-commercial clause generally inhibit data reuse. We present here a formalization of that claim, stating that all things of class “license with non-commercial clause” that are in the context of a thing of class “biodiversity data” </w:t>
      </w:r>
      <w:r w:rsidDel="00000000" w:rsidR="00000000" w:rsidRPr="00000000">
        <w:rPr>
          <w:rtl w:val="0"/>
        </w:rPr>
        <w:t xml:space="preserve">generally</w:t>
      </w:r>
      <w:r w:rsidDel="00000000" w:rsidR="00000000" w:rsidRPr="00000000">
        <w:rPr>
          <w:rtl w:val="0"/>
        </w:rPr>
        <w:t xml:space="preserve"> have a relation of type “inhibits” to a thing of class “data reuse” in the same context.</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numPr>
          <w:ilvl w:val="0"/>
          <w:numId w:val="3"/>
        </w:numPr>
        <w:spacing w:line="276"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Hagedorn et al.</w:t>
      </w:r>
      <w:r w:rsidDel="00000000" w:rsidR="00000000" w:rsidRPr="00000000">
        <w:rPr>
          <w:rtl w:val="0"/>
        </w:rPr>
        <w:t xml:space="preserve"> [1] </w:t>
      </w:r>
      <w:r w:rsidDel="00000000" w:rsidR="00000000" w:rsidRPr="00000000">
        <w:rPr>
          <w:rtl w:val="0"/>
        </w:rPr>
        <w:t xml:space="preserve">state that “Unfortunately, in science and education, knowledge and data are often intermingled with copyrighted expressions of the same. Many publishers establish barriers to knowledge sharing by asserting copyright on non-copyrightable plain or formal expressions of that knowledge. In the area of biodiversity, often dealing with textually expressed data or data expressed in images, this is a major obstacle.”. We present here a formalization of the main scientific claim from this quote by using a semantic template called the super-pattern [2].</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b w:val="1"/>
        </w:rPr>
      </w:pPr>
      <w:r w:rsidDel="00000000" w:rsidR="00000000" w:rsidRPr="00000000">
        <w:rPr>
          <w:b w:val="1"/>
          <w:rtl w:val="0"/>
        </w:rPr>
        <w:t xml:space="preserve">Formalization</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t xml:space="preserve">Our formalization looks as follows:</w:t>
      </w:r>
    </w:p>
    <w:p w:rsidR="00000000" w:rsidDel="00000000" w:rsidP="00000000" w:rsidRDefault="00000000" w:rsidRPr="00000000" w14:paraId="00000024">
      <w:pPr>
        <w:spacing w:line="276" w:lineRule="auto"/>
        <w:rPr/>
      </w:pPr>
      <w:r w:rsidDel="00000000" w:rsidR="00000000" w:rsidRPr="00000000">
        <w:rPr>
          <w:rtl w:val="0"/>
        </w:rPr>
      </w:r>
    </w:p>
    <w:tbl>
      <w:tblPr>
        <w:tblStyle w:val="Table1"/>
        <w:tblW w:w="891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spacing w:line="276" w:lineRule="auto"/>
              <w:jc w:val="both"/>
              <w:rPr/>
            </w:pPr>
            <w:r w:rsidDel="00000000" w:rsidR="00000000" w:rsidRPr="00000000">
              <w:rPr>
                <w:rtl w:val="0"/>
              </w:rPr>
              <w:t xml:space="preserve">CONTEXT-CLASS (“in the context of all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spacing w:line="276" w:lineRule="auto"/>
              <w:jc w:val="both"/>
              <w:rPr>
                <w:color w:val="1155cc"/>
                <w:u w:val="single"/>
              </w:rPr>
            </w:pPr>
            <w:hyperlink r:id="rId10">
              <w:r w:rsidDel="00000000" w:rsidR="00000000" w:rsidRPr="00000000">
                <w:rPr>
                  <w:color w:val="1155cc"/>
                  <w:u w:val="single"/>
                  <w:rtl w:val="0"/>
                </w:rPr>
                <w:t xml:space="preserve">biodiversity data</w:t>
              </w:r>
            </w:hyperlink>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spacing w:line="276" w:lineRule="auto"/>
              <w:jc w:val="both"/>
              <w:rPr/>
            </w:pPr>
            <w:r w:rsidDel="00000000" w:rsidR="00000000" w:rsidRPr="00000000">
              <w:rPr>
                <w:rtl w:val="0"/>
              </w:rPr>
              <w:t xml:space="preserve">SUBJECT-CLASS (“things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spacing w:line="276" w:lineRule="auto"/>
              <w:jc w:val="both"/>
              <w:rPr/>
            </w:pPr>
            <w:hyperlink r:id="rId11">
              <w:r w:rsidDel="00000000" w:rsidR="00000000" w:rsidRPr="00000000">
                <w:rPr>
                  <w:color w:val="1155cc"/>
                  <w:u w:val="single"/>
                  <w:rtl w:val="0"/>
                </w:rPr>
                <w:t xml:space="preserve">license with non-commercial clause</w:t>
              </w:r>
            </w:hyperlink>
            <w:r w:rsidDel="00000000" w:rsidR="00000000" w:rsidRPr="00000000">
              <w:rPr>
                <w:rtl w:val="0"/>
              </w:rPr>
              <w:t xml:space="preserve"> </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spacing w:line="276" w:lineRule="auto"/>
              <w:jc w:val="both"/>
              <w:rPr/>
            </w:pPr>
            <w:r w:rsidDel="00000000" w:rsidR="00000000" w:rsidRPr="00000000">
              <w:rPr>
                <w:rtl w:val="0"/>
              </w:rPr>
              <w:t xml:space="preserve">QUALIFIER: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spacing w:line="276" w:lineRule="auto"/>
              <w:jc w:val="both"/>
              <w:rPr>
                <w:color w:val="1155cc"/>
                <w:u w:val="single"/>
              </w:rPr>
            </w:pPr>
            <w:hyperlink r:id="rId12">
              <w:r w:rsidDel="00000000" w:rsidR="00000000" w:rsidRPr="00000000">
                <w:rPr>
                  <w:color w:val="1155cc"/>
                  <w:u w:val="single"/>
                  <w:rtl w:val="0"/>
                </w:rPr>
                <w:t xml:space="preserve">generally</w:t>
              </w:r>
            </w:hyperlink>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spacing w:line="276" w:lineRule="auto"/>
              <w:jc w:val="both"/>
              <w:rPr/>
            </w:pPr>
            <w:r w:rsidDel="00000000" w:rsidR="00000000" w:rsidRPr="00000000">
              <w:rPr>
                <w:rtl w:val="0"/>
              </w:rPr>
              <w:t xml:space="preserve">RELATION-TYPE (“have a relation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spacing w:line="276" w:lineRule="auto"/>
              <w:jc w:val="both"/>
              <w:rPr>
                <w:color w:val="1155cc"/>
                <w:u w:val="single"/>
              </w:rPr>
            </w:pPr>
            <w:hyperlink r:id="rId13">
              <w:r w:rsidDel="00000000" w:rsidR="00000000" w:rsidRPr="00000000">
                <w:rPr>
                  <w:color w:val="1155cc"/>
                  <w:u w:val="single"/>
                  <w:rtl w:val="0"/>
                </w:rPr>
                <w:t xml:space="preserve">inhibits</w:t>
              </w:r>
            </w:hyperlink>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spacing w:line="276" w:lineRule="auto"/>
              <w:jc w:val="both"/>
              <w:rPr/>
            </w:pPr>
            <w:r w:rsidDel="00000000" w:rsidR="00000000" w:rsidRPr="00000000">
              <w:rPr>
                <w:rtl w:val="0"/>
              </w:rPr>
              <w:t xml:space="preserve">OBJECT-CLASS (“to things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spacing w:line="276" w:lineRule="auto"/>
              <w:jc w:val="both"/>
              <w:rPr>
                <w:color w:val="1155cc"/>
                <w:u w:val="single"/>
              </w:rPr>
            </w:pPr>
            <w:hyperlink r:id="rId14">
              <w:r w:rsidDel="00000000" w:rsidR="00000000" w:rsidRPr="00000000">
                <w:rPr>
                  <w:color w:val="1155cc"/>
                  <w:u w:val="single"/>
                  <w:rtl w:val="0"/>
                </w:rPr>
                <w:t xml:space="preserve">data reuse</w:t>
              </w:r>
            </w:hyperlink>
            <w:r w:rsidDel="00000000" w:rsidR="00000000" w:rsidRPr="00000000">
              <w:rPr>
                <w:rtl w:val="0"/>
              </w:rPr>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t xml:space="preserve">In the context class we use the class </w:t>
      </w:r>
      <w:r w:rsidDel="00000000" w:rsidR="00000000" w:rsidRPr="00000000">
        <w:rPr>
          <w:rtl w:val="0"/>
        </w:rPr>
        <w:t xml:space="preserve">“biodiversity data” (Q28946370) </w:t>
      </w:r>
      <w:r w:rsidDel="00000000" w:rsidR="00000000" w:rsidRPr="00000000">
        <w:rPr>
          <w:rtl w:val="0"/>
        </w:rPr>
        <w:t xml:space="preserve">from </w:t>
      </w:r>
      <w:r w:rsidDel="00000000" w:rsidR="00000000" w:rsidRPr="00000000">
        <w:rPr>
          <w:rtl w:val="0"/>
        </w:rPr>
        <w:t xml:space="preserve">Wikidata</w:t>
      </w:r>
      <w:r w:rsidDel="00000000" w:rsidR="00000000" w:rsidRPr="00000000">
        <w:rPr>
          <w:rtl w:val="0"/>
        </w:rPr>
        <w:t xml:space="preserve">. In the subject class, we use a new minted class </w:t>
      </w:r>
      <w:r w:rsidDel="00000000" w:rsidR="00000000" w:rsidRPr="00000000">
        <w:rPr>
          <w:rtl w:val="0"/>
        </w:rPr>
        <w:t xml:space="preserve">“license with non-commercial clause”</w:t>
      </w:r>
      <w:r w:rsidDel="00000000" w:rsidR="00000000" w:rsidRPr="00000000">
        <w:rPr>
          <w:rtl w:val="0"/>
        </w:rPr>
        <w:t xml:space="preserve"> that is a subclass of “license” (Q79719) from Wikidata and is related to the class </w:t>
      </w:r>
      <w:r w:rsidDel="00000000" w:rsidR="00000000" w:rsidRPr="00000000">
        <w:rPr>
          <w:rtl w:val="0"/>
        </w:rPr>
        <w:t xml:space="preserve">“Creative Commons NonCommercial” (Q65071627)</w:t>
      </w:r>
      <w:r w:rsidDel="00000000" w:rsidR="00000000" w:rsidRPr="00000000">
        <w:rPr>
          <w:rtl w:val="0"/>
        </w:rPr>
        <w:t xml:space="preserve"> from </w:t>
      </w:r>
      <w:r w:rsidDel="00000000" w:rsidR="00000000" w:rsidRPr="00000000">
        <w:rPr>
          <w:rtl w:val="0"/>
        </w:rPr>
        <w:t xml:space="preserve">Wikidata</w:t>
      </w:r>
      <w:r w:rsidDel="00000000" w:rsidR="00000000" w:rsidRPr="00000000">
        <w:rPr>
          <w:rtl w:val="0"/>
        </w:rPr>
        <w:t xml:space="preserve">. In the object class we use the class “data reuse” (Q58023280) from </w:t>
      </w:r>
      <w:r w:rsidDel="00000000" w:rsidR="00000000" w:rsidRPr="00000000">
        <w:rPr>
          <w:rtl w:val="0"/>
        </w:rPr>
        <w:t xml:space="preserve">Wikidata</w:t>
      </w:r>
      <w:r w:rsidDel="00000000" w:rsidR="00000000" w:rsidRPr="00000000">
        <w:rPr>
          <w:rtl w:val="0"/>
        </w:rPr>
        <w:t xml:space="preserve">.</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b w:val="1"/>
        </w:rPr>
      </w:pPr>
      <w:r w:rsidDel="00000000" w:rsidR="00000000" w:rsidRPr="00000000">
        <w:rPr>
          <w:b w:val="1"/>
          <w:rtl w:val="0"/>
        </w:rPr>
        <w:t xml:space="preserve">RDF Code</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This is our formalization as a nanopublication in TriG format:</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&lt;http://purl.org/np/RABzhulhaPhOzo9MxWxl230N72-azdlpMNwu_HtDqsuUc&gt; .</w:t>
      </w:r>
    </w:p>
    <w:p w:rsidR="00000000" w:rsidDel="00000000" w:rsidP="00000000" w:rsidRDefault="00000000" w:rsidRPr="00000000" w14:paraId="0000003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&lt;http://purl.org/np/RABzhulhaPhOzo9MxWxl230N72-azdlpMNwu_HtDqsuUc#&gt; .</w:t>
      </w:r>
    </w:p>
    <w:p w:rsidR="00000000" w:rsidDel="00000000" w:rsidP="00000000" w:rsidRDefault="00000000" w:rsidRPr="00000000" w14:paraId="0000003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3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3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3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3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3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3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4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4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sp: &lt;https://w3id.org/linkflows/superpattern/terms/&gt; .</w:t>
      </w:r>
    </w:p>
    <w:p w:rsidR="00000000" w:rsidDel="00000000" w:rsidP="00000000" w:rsidRDefault="00000000" w:rsidRPr="00000000" w14:paraId="00000042">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4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4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4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4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4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4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4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4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sub:spi a sp:SuperPatternInstance ;</w:t>
      </w:r>
    </w:p>
    <w:p w:rsidR="00000000" w:rsidDel="00000000" w:rsidP="00000000" w:rsidRDefault="00000000" w:rsidRPr="00000000" w14:paraId="0000004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"When talking about biodiversity data, licenses with a non-commercial clause generally inhibit data reuse." ;</w:t>
      </w:r>
    </w:p>
    <w:p w:rsidR="00000000" w:rsidDel="00000000" w:rsidP="00000000" w:rsidRDefault="00000000" w:rsidRPr="00000000" w14:paraId="0000004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sp:hasContextClass &lt;http://www.wikidata.org/entity/Q28946370&gt; ;</w:t>
      </w:r>
    </w:p>
    <w:p w:rsidR="00000000" w:rsidDel="00000000" w:rsidP="00000000" w:rsidRDefault="00000000" w:rsidRPr="00000000" w14:paraId="0000004D">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sp:hasSubjectClass &lt;http://purl.org/np/RA5Txa3acYP9_MUWEw7s7wenDTB1QXNMB7UehJW-2E-_8#license-with-non-commercial-clause&gt; ;</w:t>
      </w:r>
    </w:p>
    <w:p w:rsidR="00000000" w:rsidDel="00000000" w:rsidP="00000000" w:rsidRDefault="00000000" w:rsidRPr="00000000" w14:paraId="0000004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sp:hasQualifier&gt; sp:generallyQualifier ;</w:t>
      </w:r>
    </w:p>
    <w:p w:rsidR="00000000" w:rsidDel="00000000" w:rsidP="00000000" w:rsidRDefault="00000000" w:rsidRPr="00000000" w14:paraId="0000004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sp:hasRelation sp:inhibits ;</w:t>
      </w:r>
    </w:p>
    <w:p w:rsidR="00000000" w:rsidDel="00000000" w:rsidP="00000000" w:rsidRDefault="00000000" w:rsidRPr="00000000" w14:paraId="00000050">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sp:hasObjectClass &lt;http://www.wikidata.org/entity/Q58023280&gt; .</w:t>
      </w:r>
    </w:p>
    <w:p w:rsidR="00000000" w:rsidDel="00000000" w:rsidP="00000000" w:rsidRDefault="00000000" w:rsidRPr="00000000" w14:paraId="0000005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5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5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sub:activity a sp:FormalizationActivity ;</w:t>
      </w:r>
    </w:p>
    <w:p w:rsidR="00000000" w:rsidDel="00000000" w:rsidP="00000000" w:rsidRDefault="00000000" w:rsidRPr="00000000" w14:paraId="0000005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prov:used sub:quote , &lt;https://doi.org/10.3897/zookeys.150.2189&gt; ;</w:t>
      </w:r>
    </w:p>
    <w:p w:rsidR="00000000" w:rsidDel="00000000" w:rsidP="00000000" w:rsidRDefault="00000000" w:rsidRPr="00000000" w14:paraId="0000005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prov:wasAssociatedWith orcid:0000-0001-9488-1870 , orcid:0000-0002-2186-5033 , orcid:0000-0002-8083-6048 .</w:t>
      </w:r>
    </w:p>
    <w:p w:rsidR="00000000" w:rsidDel="00000000" w:rsidP="00000000" w:rsidRDefault="00000000" w:rsidRPr="00000000" w14:paraId="0000005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prov:wasGeneratedBy sub:activity .</w:t>
      </w:r>
    </w:p>
    <w:p w:rsidR="00000000" w:rsidDel="00000000" w:rsidP="00000000" w:rsidRDefault="00000000" w:rsidRPr="00000000" w14:paraId="0000005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sub:quote prov:value "Unfortunately, in science and education, knowledge and data are often intermingled with copyrighted expressions of the same. Many publishers establish barriers to knowledge sharing by asserting copyright on non-copyrightable plain or formal expressions of that knowledge. In the area of biodiversity, often dealing with textually expressed data or data expressed in images, this is a major obstacle." ;</w:t>
      </w:r>
    </w:p>
    <w:p w:rsidR="00000000" w:rsidDel="00000000" w:rsidP="00000000" w:rsidRDefault="00000000" w:rsidRPr="00000000" w14:paraId="0000005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prov:wasQuotedFrom &lt;https://doi.org/10.3897/zookeys.150.2189&gt; .</w:t>
      </w:r>
    </w:p>
    <w:p w:rsidR="00000000" w:rsidDel="00000000" w:rsidP="00000000" w:rsidRDefault="00000000" w:rsidRPr="00000000" w14:paraId="0000005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5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5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5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"MIGfMA0GCSqGSIb3DQEBAQUAA4GNADCBiQKBgQCwi1YMnpV5z/0oMXyFYDKS5cirQQWTMZ/jbglmVY1gl3YAgrkqsQUmgaxA/ho+VV8jsfREIL8PT2czbmCjGjMJoNaKVqJq1GoIUV9+Kj9yXxNySyDAOTDsIM0zdj1BEu5uNbtfzwQPGuhVpgLR05Uk/meCyYLPs3BxC5zRbtulmwIDAQAB" ;</w:t>
      </w:r>
    </w:p>
    <w:p w:rsidR="00000000" w:rsidDel="00000000" w:rsidP="00000000" w:rsidRDefault="00000000" w:rsidRPr="00000000" w14:paraId="0000005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"pqWZhyfzNdZhmUc6gaCbmq2GWJb4R/pWwk4rMvlOn35Nx9y44fsz9zGWDyEEVg0frXq6EOsd5Umyq5YY1BIHFJBjiOKUaVmtxU+MuyCuTCbLp3s1k+hYl7ocAl40F5SOMfcY+Dqxte1rNQM5rmVQJa9wJ+mmKejz7Cs+Bm9xsD8=" ;</w:t>
      </w:r>
    </w:p>
    <w:p w:rsidR="00000000" w:rsidDel="00000000" w:rsidP="00000000" w:rsidRDefault="00000000" w:rsidRPr="00000000" w14:paraId="0000005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5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"2021-11-30T21:54:51.835+02:00"^^xsd:dateTime ;</w:t>
      </w:r>
    </w:p>
    <w:p w:rsidR="00000000" w:rsidDel="00000000" w:rsidP="00000000" w:rsidRDefault="00000000" w:rsidRPr="00000000" w14:paraId="0000006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orcid:0000-0002-8083-6048 ;</w:t>
      </w:r>
    </w:p>
    <w:p w:rsidR="00000000" w:rsidDel="00000000" w:rsidP="00000000" w:rsidRDefault="00000000" w:rsidRPr="00000000" w14:paraId="0000006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sub:spi ;</w:t>
      </w:r>
    </w:p>
    <w:p w:rsidR="00000000" w:rsidDel="00000000" w:rsidP="00000000" w:rsidRDefault="00000000" w:rsidRPr="00000000" w14:paraId="0000006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npx:supersedes &lt;http://purl.org/np/RA2hde9hXKfi0juhaF7yWd1aKsyZknPYj2Od-rLlAKmSM&gt; ;</w:t>
      </w:r>
    </w:p>
    <w:p w:rsidR="00000000" w:rsidDel="00000000" w:rsidP="00000000" w:rsidRDefault="00000000" w:rsidRPr="00000000" w14:paraId="0000006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&lt;https://w3id.org/linkflows/reviews/isUpdateOf&gt; &lt;http://purl.org/np/RAjk3YoNydLhbuD4BV9FD21ecELazvZibHHM7IXtJd-4A&gt; ;</w:t>
      </w:r>
    </w:p>
    <w:p w:rsidR="00000000" w:rsidDel="00000000" w:rsidP="00000000" w:rsidRDefault="00000000" w:rsidRPr="00000000" w14:paraId="0000006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&lt;http://purl.org/np/RAE1wniOy0yO39PlK9QkQ-wqbC3q-R2nXraP5huu8W39k&gt; ;</w:t>
      </w:r>
    </w:p>
    <w:p w:rsidR="00000000" w:rsidDel="00000000" w:rsidP="00000000" w:rsidRDefault="00000000" w:rsidRPr="00000000" w14:paraId="0000006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&lt;http://purl.org/np/RA2vCBXZf-icEcVRGhulJXugTGxpsV5yVr9yqCI1bQh4A&gt; , &lt;http://purl.org/np/RAA2MfqdBCzmz9yVWjKLXNbyfBNcwsMmOqcNUxkk1maIM&gt; , &lt;http://purl.org/np/RAjpBMlw3owYhJUBo3DtsuDlXsNAJ8cnGeWAutDVjuAuI&gt; ;</w:t>
      </w:r>
    </w:p>
    <w:p w:rsidR="00000000" w:rsidDel="00000000" w:rsidP="00000000" w:rsidRDefault="00000000" w:rsidRPr="00000000" w14:paraId="0000006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&lt;http://purl.org/np/RAv68imZrEjfcp2rnEg1hzoBqEVc0cQMtp9_1Za0BxNM4&gt; .</w:t>
      </w:r>
    </w:p>
    <w:p w:rsidR="00000000" w:rsidDel="00000000" w:rsidP="00000000" w:rsidRDefault="00000000" w:rsidRPr="00000000" w14:paraId="0000006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The following nanopublications introduce the newly minted classes in TriG format.</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ind w:left="0" w:firstLine="0"/>
        <w:rPr/>
      </w:pPr>
      <w:r w:rsidDel="00000000" w:rsidR="00000000" w:rsidRPr="00000000">
        <w:rPr>
          <w:rtl w:val="0"/>
        </w:rPr>
        <w:t xml:space="preserve">This is the class definition of “license with non-commercial clause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&lt;http://purl.org/np/RA5Txa3acYP9_MUWEw7s7wenDTB1QXNMB7UehJW-2E-_8&gt; .</w:t>
      </w:r>
    </w:p>
    <w:p w:rsidR="00000000" w:rsidDel="00000000" w:rsidP="00000000" w:rsidRDefault="00000000" w:rsidRPr="00000000" w14:paraId="0000006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&lt;http://purl.org/np/RA5Txa3acYP9_MUWEw7s7wenDTB1QXNMB7UehJW-2E-_8#&gt; .</w:t>
      </w:r>
    </w:p>
    <w:p w:rsidR="00000000" w:rsidDel="00000000" w:rsidP="00000000" w:rsidRDefault="00000000" w:rsidRPr="00000000" w14:paraId="0000006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7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7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7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7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7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7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7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7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skos: &lt;http://www.w3.org/2004/02/skos/core#&gt; .</w:t>
      </w:r>
    </w:p>
    <w:p w:rsidR="00000000" w:rsidDel="00000000" w:rsidP="00000000" w:rsidRDefault="00000000" w:rsidRPr="00000000" w14:paraId="00000078">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7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7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7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7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7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7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7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8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sub:license-with-non-commercial-clause a &lt;http://www.w3.org/2002/07/owl#Class&gt; ;</w:t>
      </w:r>
    </w:p>
    <w:p w:rsidR="00000000" w:rsidDel="00000000" w:rsidP="00000000" w:rsidRDefault="00000000" w:rsidRPr="00000000" w14:paraId="0000008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"license with a non-commercial clause" ;</w:t>
      </w:r>
    </w:p>
    <w:p w:rsidR="00000000" w:rsidDel="00000000" w:rsidP="00000000" w:rsidRDefault="00000000" w:rsidRPr="00000000" w14:paraId="0000008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rdfs:subClassOf &lt;http://www.wikidata.org/entity/Q79719&gt; ;</w:t>
      </w:r>
    </w:p>
    <w:p w:rsidR="00000000" w:rsidDel="00000000" w:rsidP="00000000" w:rsidRDefault="00000000" w:rsidRPr="00000000" w14:paraId="0000008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"a type of license which contain a clause which prohibits use for commercial purposes" ;</w:t>
      </w:r>
    </w:p>
    <w:p w:rsidR="00000000" w:rsidDel="00000000" w:rsidP="00000000" w:rsidRDefault="00000000" w:rsidRPr="00000000" w14:paraId="0000008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skos:relatedMatch &lt;http://www.wikidata.org/entity/Q65071627&gt; .</w:t>
      </w:r>
    </w:p>
    <w:p w:rsidR="00000000" w:rsidDel="00000000" w:rsidP="00000000" w:rsidRDefault="00000000" w:rsidRPr="00000000" w14:paraId="0000008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8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orcid:0000-0002-8083-6048 .</w:t>
      </w:r>
    </w:p>
    <w:p w:rsidR="00000000" w:rsidDel="00000000" w:rsidP="00000000" w:rsidRDefault="00000000" w:rsidRPr="00000000" w14:paraId="0000008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8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8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"MIGfMA0GCSqGSIb3DQEBAQUAA4GNADCBiQKBgQCwi1YMnpV5z/0oMXyFYDKS5cirQQWTMZ/jbglmVY1gl3YAgrkqsQUmgaxA/ho+VV8jsfREIL8PT2czbmCjGjMJoNaKVqJq1GoIUV9+Kj9yXxNySyDAOTDsIM0zdj1BEu5uNbtfzwQPGuhVpgLR05Uk/meCyYLPs3BxC5zRbtulmwIDAQAB" ;</w:t>
      </w:r>
    </w:p>
    <w:p w:rsidR="00000000" w:rsidDel="00000000" w:rsidP="00000000" w:rsidRDefault="00000000" w:rsidRPr="00000000" w14:paraId="0000008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"lv9gGKSM989WhbvU+7dDcM+xIFW6jJnN0Lc91RN3tagMFc4utpd3/DBLQg8eDWPL+H9zfUa7SQ0grqCKggz86CyRJYctYHP/baTyhgemrPO3gyDTob5CqKpNm6hJ3xhC8ud3KH1LyzM+9UZW29OKeIe+zBx0rSs4PgS4z+cURsg=" ;</w:t>
      </w:r>
    </w:p>
    <w:p w:rsidR="00000000" w:rsidDel="00000000" w:rsidP="00000000" w:rsidRDefault="00000000" w:rsidRPr="00000000" w14:paraId="0000008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8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"2021-10-28T10:20:26.973+03:00"^^xsd:dateTime ;</w:t>
      </w:r>
    </w:p>
    <w:p w:rsidR="00000000" w:rsidDel="00000000" w:rsidP="00000000" w:rsidRDefault="00000000" w:rsidRPr="00000000" w14:paraId="0000008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orcid:0000-0002-8083-6048 ;</w:t>
      </w:r>
    </w:p>
    <w:p w:rsidR="00000000" w:rsidDel="00000000" w:rsidP="00000000" w:rsidRDefault="00000000" w:rsidRPr="00000000" w14:paraId="0000009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sub:license-with-non-commercial-clause ;</w:t>
      </w:r>
    </w:p>
    <w:p w:rsidR="00000000" w:rsidDel="00000000" w:rsidP="00000000" w:rsidRDefault="00000000" w:rsidRPr="00000000" w14:paraId="0000009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npx:supersedes &lt;http://purl.org/np/RAlLxbLmjwDt_cTFqr44HHD0xfGJJbhuYLJn0GeGGa3lI&gt; ;</w:t>
      </w:r>
    </w:p>
    <w:p w:rsidR="00000000" w:rsidDel="00000000" w:rsidP="00000000" w:rsidRDefault="00000000" w:rsidRPr="00000000" w14:paraId="0000009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9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 &lt;http://purl.org/np/RAjpBMlw3owYhJUBo3DtsuDlXsNAJ8cnGeWAutDVjuAuI&gt; ;</w:t>
      </w:r>
    </w:p>
    <w:p w:rsidR="00000000" w:rsidDel="00000000" w:rsidP="00000000" w:rsidRDefault="00000000" w:rsidRPr="00000000" w14:paraId="0000009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09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96">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b w:val="1"/>
          <w:rtl w:val="0"/>
        </w:rPr>
        <w:t xml:space="preserve">References</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t xml:space="preserve">[1] Hagedorn, G., Mietchen, D., Agosti, D., Penev, L., Berendsohn, W., Hobern, D. Creative Commons licenses and the non-commercial condition: Implications for the re-use of biodiversity information.In: ZooKeys 150 (2011): 127-149. doi: 10.3897/zookeys.150.2189.</w:t>
      </w:r>
    </w:p>
    <w:p w:rsidR="00000000" w:rsidDel="00000000" w:rsidP="00000000" w:rsidRDefault="00000000" w:rsidRPr="00000000" w14:paraId="0000009B">
      <w:pPr>
        <w:spacing w:line="276" w:lineRule="auto"/>
        <w:jc w:val="both"/>
        <w:rPr/>
      </w:pPr>
      <w:r w:rsidDel="00000000" w:rsidR="00000000" w:rsidRPr="00000000">
        <w:rPr>
          <w:rtl w:val="0"/>
        </w:rPr>
        <w:t xml:space="preserve">[2] Bucur, C.I., Kuhn, T., Ceolin, D., Ossenbruggen, J. van. Expressing high-level scientific claims with formal semantics. In: Proceedings of the 11th Knowledge Capture Conference 2021. doi: 10.1145/3460210.3493561.</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b w:val="1"/>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url.org/np/RA5Txa3acYP9_MUWEw7s7wenDTB1QXNMB7UehJW-2E-_8#license-with-non-commercial-clause" TargetMode="External"/><Relationship Id="rId10" Type="http://schemas.openxmlformats.org/officeDocument/2006/relationships/hyperlink" Target="https://www.wikidata.org/wiki/Q28946370" TargetMode="External"/><Relationship Id="rId13" Type="http://schemas.openxmlformats.org/officeDocument/2006/relationships/hyperlink" Target="https://w3id.org/linkflows/superpattern/terms/inhibits" TargetMode="External"/><Relationship Id="rId12" Type="http://schemas.openxmlformats.org/officeDocument/2006/relationships/hyperlink" Target="https://w3id.org/linkflows/superpattern/terms/generallyQual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url.org/np/RABzhulhaPhOzo9MxWxl230N72-azdlpMNwu_HtDqsuUc" TargetMode="External"/><Relationship Id="rId14" Type="http://schemas.openxmlformats.org/officeDocument/2006/relationships/hyperlink" Target="https://www.wikidata.org/wiki/Q58023280" TargetMode="External"/><Relationship Id="rId5" Type="http://schemas.openxmlformats.org/officeDocument/2006/relationships/styles" Target="styles.xml"/><Relationship Id="rId6" Type="http://schemas.openxmlformats.org/officeDocument/2006/relationships/hyperlink" Target="mailto:daniel.mietchen@googlemail.com" TargetMode="External"/><Relationship Id="rId7" Type="http://schemas.openxmlformats.org/officeDocument/2006/relationships/hyperlink" Target="mailto:l.penev@pensoft.net" TargetMode="External"/><Relationship Id="rId8" Type="http://schemas.openxmlformats.org/officeDocument/2006/relationships/hyperlink" Target="mailto:m.dimitrova@pensof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