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5C851" w14:textId="3537ED8C" w:rsidR="00243593" w:rsidRPr="00243593" w:rsidRDefault="00243593" w:rsidP="00243593">
      <w:pPr>
        <w:rPr>
          <w:rFonts w:ascii="Segoe UI Emoji" w:hAnsi="Segoe UI Emoji" w:cs="Segoe UI Emoji"/>
          <w:b/>
          <w:bCs/>
          <w:sz w:val="32"/>
          <w:szCs w:val="32"/>
        </w:rPr>
      </w:pPr>
      <w:r w:rsidRPr="00243593">
        <w:rPr>
          <w:rFonts w:ascii="Segoe UI Emoji" w:hAnsi="Segoe UI Emoji" w:cs="Segoe UI Emoji"/>
          <w:b/>
          <w:bCs/>
          <w:sz w:val="32"/>
          <w:szCs w:val="32"/>
        </w:rPr>
        <w:t>Informe de Análisis</w:t>
      </w:r>
    </w:p>
    <w:p w14:paraId="0A02722B" w14:textId="3DA0DD70" w:rsidR="00243593" w:rsidRPr="00243593" w:rsidRDefault="00243593" w:rsidP="00243593">
      <w:pPr>
        <w:rPr>
          <w:rFonts w:ascii="Segoe UI Emoji" w:hAnsi="Segoe UI Emoji" w:cs="Segoe UI Emoji"/>
          <w:b/>
          <w:bCs/>
        </w:rPr>
      </w:pPr>
      <w:r w:rsidRPr="00243593">
        <w:rPr>
          <w:rFonts w:ascii="Segoe UI Emoji" w:hAnsi="Segoe UI Emoji" w:cs="Segoe UI Emoji"/>
          <w:b/>
          <w:bCs/>
        </w:rPr>
        <w:t>Análisis de Ventas, Clientes y Rentabilidad</w:t>
      </w:r>
    </w:p>
    <w:p w14:paraId="1AE28B94" w14:textId="77777777" w:rsidR="00243593" w:rsidRPr="00243593" w:rsidRDefault="00243593" w:rsidP="00243593">
      <w:pPr>
        <w:rPr>
          <w:rFonts w:ascii="Segoe UI Emoji" w:hAnsi="Segoe UI Emoji" w:cs="Segoe UI Emoji"/>
        </w:rPr>
      </w:pPr>
      <w:r w:rsidRPr="00243593">
        <w:rPr>
          <w:rFonts w:ascii="Segoe UI Emoji" w:hAnsi="Segoe UI Emoji" w:cs="Segoe UI Emoji"/>
        </w:rPr>
        <w:t>El total de productos vendidos asciende a 87 millones, con un volumen total de ventas de $4.02 billones. Sin embargo, la rentabilidad de los productos no está directamente relacionada con su volumen de ventas. Existen diferencias significativas entre los productos más baratos y los más caros, con una variación de precios de $99.83K. Este dato sugiere la coexistencia de productos premium y económicos dentro del mercado.</w:t>
      </w:r>
    </w:p>
    <w:p w14:paraId="001169D6" w14:textId="77777777" w:rsidR="00243593" w:rsidRPr="00243593" w:rsidRDefault="00243593" w:rsidP="00243593">
      <w:pPr>
        <w:rPr>
          <w:rFonts w:ascii="Segoe UI Emoji" w:hAnsi="Segoe UI Emoji" w:cs="Segoe UI Emoji"/>
        </w:rPr>
      </w:pPr>
      <w:r w:rsidRPr="00243593">
        <w:rPr>
          <w:rFonts w:ascii="Segoe UI Emoji" w:hAnsi="Segoe UI Emoji" w:cs="Segoe UI Emoji"/>
        </w:rPr>
        <w:t>Tras analizar la rentabilidad de los productos, se observa que no siempre los más vendidos son los más rentables. Mientras que Longos - Chicken Wings y Yoghurt Tubes lideran en cantidad de unidades vendidas, los mayores ingresos provienen de Apricots - Dried y Yoghurt Tubes, lo que indica que algunos productos con menor volumen de ventas generan más ingresos gracias a su precio más alto.</w:t>
      </w:r>
    </w:p>
    <w:p w14:paraId="3715EBA4" w14:textId="77777777" w:rsidR="00243593" w:rsidRPr="00243593" w:rsidRDefault="00243593" w:rsidP="00243593">
      <w:pPr>
        <w:rPr>
          <w:rFonts w:ascii="Segoe UI Emoji" w:hAnsi="Segoe UI Emoji" w:cs="Segoe UI Emoji"/>
        </w:rPr>
      </w:pPr>
      <w:r w:rsidRPr="00243593">
        <w:rPr>
          <w:rFonts w:ascii="Segoe UI Emoji" w:hAnsi="Segoe UI Emoji" w:cs="Segoe UI Emoji"/>
        </w:rPr>
        <w:t>Además, el análisis de ventas por mes reveló que las compras no se distribuyen de manera completamente equitativa. Marzo (24.05%) y enero (24.02%) son los meses con mayor volumen de ventas, mientras que mayo (6.98%) registra el menor porcentaje de compras. Esto sugiere que hay una tendencia estacional en el consumo, con ciertos meses más activos y otros con una caída significativa en la demanda.</w:t>
      </w:r>
    </w:p>
    <w:p w14:paraId="5EFDD58F" w14:textId="5F5BF9C3" w:rsidR="00243593" w:rsidRPr="00243593" w:rsidRDefault="00243593" w:rsidP="00243593">
      <w:pPr>
        <w:rPr>
          <w:rFonts w:ascii="Segoe UI Emoji" w:hAnsi="Segoe UI Emoji" w:cs="Segoe UI Emoji"/>
        </w:rPr>
      </w:pPr>
      <w:r w:rsidRPr="00243593">
        <w:rPr>
          <w:rFonts w:ascii="Segoe UI Emoji" w:hAnsi="Segoe UI Emoji" w:cs="Segoe UI Emoji"/>
        </w:rPr>
        <w:t>Conclusión Clave:</w:t>
      </w:r>
    </w:p>
    <w:p w14:paraId="4AF6B467" w14:textId="77777777" w:rsidR="00243593" w:rsidRPr="00243593" w:rsidRDefault="00243593" w:rsidP="00243593">
      <w:pPr>
        <w:numPr>
          <w:ilvl w:val="0"/>
          <w:numId w:val="2"/>
        </w:numPr>
        <w:rPr>
          <w:rFonts w:ascii="Segoe UI Emoji" w:hAnsi="Segoe UI Emoji" w:cs="Segoe UI Emoji"/>
        </w:rPr>
      </w:pPr>
      <w:r w:rsidRPr="00243593">
        <w:rPr>
          <w:rFonts w:ascii="Segoe UI Emoji" w:hAnsi="Segoe UI Emoji" w:cs="Segoe UI Emoji"/>
        </w:rPr>
        <w:t>Es importante diferenciar entre volumen de ventas e ingresos netos para definir estrategias comerciales efectivas.</w:t>
      </w:r>
    </w:p>
    <w:p w14:paraId="7573AB02" w14:textId="77777777" w:rsidR="00243593" w:rsidRPr="00243593" w:rsidRDefault="00243593" w:rsidP="00243593">
      <w:pPr>
        <w:numPr>
          <w:ilvl w:val="0"/>
          <w:numId w:val="2"/>
        </w:numPr>
        <w:rPr>
          <w:rFonts w:ascii="Segoe UI Emoji" w:hAnsi="Segoe UI Emoji" w:cs="Segoe UI Emoji"/>
        </w:rPr>
      </w:pPr>
      <w:r w:rsidRPr="00243593">
        <w:rPr>
          <w:rFonts w:ascii="Segoe UI Emoji" w:hAnsi="Segoe UI Emoji" w:cs="Segoe UI Emoji"/>
        </w:rPr>
        <w:t>Se necesita analizar los márgenes de ganancia por producto para identificar oportunidades de optimización.</w:t>
      </w:r>
    </w:p>
    <w:p w14:paraId="71745287" w14:textId="77777777" w:rsidR="00243593" w:rsidRPr="00243593" w:rsidRDefault="00243593" w:rsidP="00243593">
      <w:pPr>
        <w:numPr>
          <w:ilvl w:val="0"/>
          <w:numId w:val="2"/>
        </w:numPr>
        <w:rPr>
          <w:rFonts w:ascii="Segoe UI Emoji" w:hAnsi="Segoe UI Emoji" w:cs="Segoe UI Emoji"/>
        </w:rPr>
      </w:pPr>
      <w:r w:rsidRPr="00243593">
        <w:rPr>
          <w:rFonts w:ascii="Segoe UI Emoji" w:hAnsi="Segoe UI Emoji" w:cs="Segoe UI Emoji"/>
        </w:rPr>
        <w:t>La identificación de patrones estacionales de compras permitirá diseñar estrategias promocionales enfocadas en los meses de menor demanda y fortalecer campañas de fidelización en los meses con mayor actividad comercial.</w:t>
      </w:r>
    </w:p>
    <w:p w14:paraId="033FC7E3" w14:textId="66899324" w:rsidR="00243593" w:rsidRPr="00243593" w:rsidRDefault="00243593" w:rsidP="00243593">
      <w:pPr>
        <w:rPr>
          <w:rFonts w:ascii="Segoe UI Emoji" w:hAnsi="Segoe UI Emoji" w:cs="Segoe UI Emoji"/>
          <w:b/>
          <w:bCs/>
        </w:rPr>
      </w:pPr>
      <w:r w:rsidRPr="00243593">
        <w:rPr>
          <w:rFonts w:ascii="Segoe UI Emoji" w:hAnsi="Segoe UI Emoji" w:cs="Segoe UI Emoji"/>
          <w:b/>
          <w:bCs/>
        </w:rPr>
        <w:t>Análisis de Categorías y Productos</w:t>
      </w:r>
    </w:p>
    <w:p w14:paraId="40E3F262" w14:textId="77777777" w:rsidR="00243593" w:rsidRPr="00243593" w:rsidRDefault="00243593" w:rsidP="00243593">
      <w:pPr>
        <w:rPr>
          <w:rFonts w:ascii="Segoe UI Emoji" w:hAnsi="Segoe UI Emoji" w:cs="Segoe UI Emoji"/>
        </w:rPr>
      </w:pPr>
      <w:r w:rsidRPr="00243593">
        <w:rPr>
          <w:rFonts w:ascii="Segoe UI Emoji" w:hAnsi="Segoe UI Emoji" w:cs="Segoe UI Emoji"/>
        </w:rPr>
        <w:t>Al segmentar las ventas por categoría, se identificó que Confections y Meat son las categorías con mayores ingresos, cada una superando los $500M en ventas. En contraste, las categorías Grain y Shell Fish registran los ingresos más bajos.</w:t>
      </w:r>
    </w:p>
    <w:p w14:paraId="03D665CF" w14:textId="77777777" w:rsidR="00243593" w:rsidRPr="00243593" w:rsidRDefault="00243593" w:rsidP="00243593">
      <w:pPr>
        <w:rPr>
          <w:rFonts w:ascii="Segoe UI Emoji" w:hAnsi="Segoe UI Emoji" w:cs="Segoe UI Emoji"/>
        </w:rPr>
      </w:pPr>
      <w:r w:rsidRPr="00243593">
        <w:rPr>
          <w:rFonts w:ascii="Segoe UI Emoji" w:hAnsi="Segoe UI Emoji" w:cs="Segoe UI Emoji"/>
        </w:rPr>
        <w:lastRenderedPageBreak/>
        <w:t>El análisis por producto muestra que el mayor ingreso proviene de Beef - Texas Style Burger ($17.65B), mientras que otros productos con precios altos, como Chestnuts - Whole, Canned y Eggplant - Asian, también generan ingresos elevados.</w:t>
      </w:r>
    </w:p>
    <w:p w14:paraId="530C7643" w14:textId="77777777" w:rsidR="00243593" w:rsidRPr="00243593" w:rsidRDefault="00243593" w:rsidP="00243593">
      <w:pPr>
        <w:rPr>
          <w:rFonts w:ascii="Segoe UI Emoji" w:hAnsi="Segoe UI Emoji" w:cs="Segoe UI Emoji"/>
        </w:rPr>
      </w:pPr>
      <w:r w:rsidRPr="00243593">
        <w:rPr>
          <w:rFonts w:ascii="Segoe UI Emoji" w:hAnsi="Segoe UI Emoji" w:cs="Segoe UI Emoji"/>
        </w:rPr>
        <w:t>Un análisis de precio unitario vs. ingresos totales confirma que algunos productos con precios más altos generan mayores ingresos, aunque se vendan en menor cantidad. Esto resalta la importancia de estudiar márgenes de ganancia por categoría y explorar estrategias de precios dinámicos para mejorar la rentabilidad.</w:t>
      </w:r>
    </w:p>
    <w:p w14:paraId="4BE0BC56" w14:textId="46DEBC19" w:rsidR="00243593" w:rsidRPr="00243593" w:rsidRDefault="00243593" w:rsidP="00243593">
      <w:pPr>
        <w:rPr>
          <w:rFonts w:ascii="Segoe UI Emoji" w:hAnsi="Segoe UI Emoji" w:cs="Segoe UI Emoji"/>
          <w:b/>
          <w:bCs/>
        </w:rPr>
      </w:pPr>
      <w:r w:rsidRPr="00243593">
        <w:rPr>
          <w:rFonts w:ascii="Segoe UI Emoji" w:hAnsi="Segoe UI Emoji" w:cs="Segoe UI Emoji"/>
          <w:b/>
          <w:bCs/>
        </w:rPr>
        <w:t>Análisis de Clientes y Segmentación</w:t>
      </w:r>
    </w:p>
    <w:p w14:paraId="07A6160C" w14:textId="77777777" w:rsidR="00243593" w:rsidRPr="00243593" w:rsidRDefault="00243593" w:rsidP="00243593">
      <w:pPr>
        <w:rPr>
          <w:rFonts w:ascii="Segoe UI Emoji" w:hAnsi="Segoe UI Emoji" w:cs="Segoe UI Emoji"/>
        </w:rPr>
      </w:pPr>
      <w:r w:rsidRPr="00243593">
        <w:rPr>
          <w:rFonts w:ascii="Segoe UI Emoji" w:hAnsi="Segoe UI Emoji" w:cs="Segoe UI Emoji"/>
        </w:rPr>
        <w:t>Actualmente, la base de clientes asciende a 98.76K, lo que representa un mercado amplio. Sin embargo, es necesario evaluar retención y recurrencia de compra.</w:t>
      </w:r>
    </w:p>
    <w:p w14:paraId="09A885EE" w14:textId="77777777" w:rsidR="00243593" w:rsidRPr="00243593" w:rsidRDefault="00243593" w:rsidP="00243593">
      <w:pPr>
        <w:numPr>
          <w:ilvl w:val="0"/>
          <w:numId w:val="3"/>
        </w:numPr>
        <w:rPr>
          <w:rFonts w:ascii="Segoe UI Emoji" w:hAnsi="Segoe UI Emoji" w:cs="Segoe UI Emoji"/>
        </w:rPr>
      </w:pPr>
      <w:r w:rsidRPr="00243593">
        <w:rPr>
          <w:rFonts w:ascii="Segoe UI Emoji" w:hAnsi="Segoe UI Emoji" w:cs="Segoe UI Emoji"/>
        </w:rPr>
        <w:t>Clientes VIP (17.2%) → Generan el 76.42% del total de compras, confirmando la regla 80/20 (el 80% de los ingresos proviene del 20% de los clientes).</w:t>
      </w:r>
    </w:p>
    <w:p w14:paraId="2126BE73" w14:textId="77777777" w:rsidR="00243593" w:rsidRPr="00243593" w:rsidRDefault="00243593" w:rsidP="00243593">
      <w:pPr>
        <w:numPr>
          <w:ilvl w:val="0"/>
          <w:numId w:val="3"/>
        </w:numPr>
        <w:rPr>
          <w:rFonts w:ascii="Segoe UI Emoji" w:hAnsi="Segoe UI Emoji" w:cs="Segoe UI Emoji"/>
        </w:rPr>
      </w:pPr>
      <w:r w:rsidRPr="00243593">
        <w:rPr>
          <w:rFonts w:ascii="Segoe UI Emoji" w:hAnsi="Segoe UI Emoji" w:cs="Segoe UI Emoji"/>
        </w:rPr>
        <w:t>Frecuencia de Compra → La mayoría de los clientes realizan compras ocasionalmente (</w:t>
      </w:r>
      <w:r w:rsidRPr="00243593">
        <w:rPr>
          <w:rFonts w:ascii="Cambria Math" w:hAnsi="Cambria Math" w:cs="Cambria Math"/>
        </w:rPr>
        <w:t>≤</w:t>
      </w:r>
      <w:r w:rsidRPr="00243593">
        <w:rPr>
          <w:rFonts w:ascii="Segoe UI Emoji" w:hAnsi="Segoe UI Emoji" w:cs="Segoe UI Emoji"/>
        </w:rPr>
        <w:t xml:space="preserve"> 50 compras), mientras que solo un pequeño porcentaje supera las 80 compras.</w:t>
      </w:r>
    </w:p>
    <w:p w14:paraId="66650416" w14:textId="77777777" w:rsidR="00243593" w:rsidRPr="00243593" w:rsidRDefault="00243593" w:rsidP="00243593">
      <w:pPr>
        <w:numPr>
          <w:ilvl w:val="0"/>
          <w:numId w:val="3"/>
        </w:numPr>
        <w:rPr>
          <w:rFonts w:ascii="Segoe UI Emoji" w:hAnsi="Segoe UI Emoji" w:cs="Segoe UI Emoji"/>
        </w:rPr>
      </w:pPr>
      <w:r w:rsidRPr="00243593">
        <w:rPr>
          <w:rFonts w:ascii="Segoe UI Emoji" w:hAnsi="Segoe UI Emoji" w:cs="Segoe UI Emoji"/>
        </w:rPr>
        <w:t>Distribución Geográfica → La mayor concentración de clientes se encuentra en Norteamérica, Europa y Oceanía, mientras que la presencia en África y Sudamérica es baja.</w:t>
      </w:r>
    </w:p>
    <w:p w14:paraId="4C5AB6AE" w14:textId="69E2D3C3" w:rsidR="00243593" w:rsidRPr="00243593" w:rsidRDefault="00243593" w:rsidP="00243593">
      <w:pPr>
        <w:rPr>
          <w:rFonts w:ascii="Segoe UI Emoji" w:hAnsi="Segoe UI Emoji" w:cs="Segoe UI Emoji"/>
        </w:rPr>
      </w:pPr>
      <w:r w:rsidRPr="00243593">
        <w:rPr>
          <w:rFonts w:ascii="Segoe UI Emoji" w:hAnsi="Segoe UI Emoji" w:cs="Segoe UI Emoji"/>
        </w:rPr>
        <w:t>Conclusión Clave:</w:t>
      </w:r>
    </w:p>
    <w:p w14:paraId="4F1F0042" w14:textId="77777777" w:rsidR="00243593" w:rsidRPr="00243593" w:rsidRDefault="00243593" w:rsidP="00243593">
      <w:pPr>
        <w:numPr>
          <w:ilvl w:val="0"/>
          <w:numId w:val="4"/>
        </w:numPr>
        <w:rPr>
          <w:rFonts w:ascii="Segoe UI Emoji" w:hAnsi="Segoe UI Emoji" w:cs="Segoe UI Emoji"/>
        </w:rPr>
      </w:pPr>
      <w:r w:rsidRPr="00243593">
        <w:rPr>
          <w:rFonts w:ascii="Segoe UI Emoji" w:hAnsi="Segoe UI Emoji" w:cs="Segoe UI Emoji"/>
        </w:rPr>
        <w:t>Fidelizar clientes VIP mediante estrategias exclusivas es clave para mantener la rentabilidad.</w:t>
      </w:r>
    </w:p>
    <w:p w14:paraId="7359D604" w14:textId="77777777" w:rsidR="00243593" w:rsidRPr="00243593" w:rsidRDefault="00243593" w:rsidP="00243593">
      <w:pPr>
        <w:numPr>
          <w:ilvl w:val="0"/>
          <w:numId w:val="4"/>
        </w:numPr>
        <w:rPr>
          <w:rFonts w:ascii="Segoe UI Emoji" w:hAnsi="Segoe UI Emoji" w:cs="Segoe UI Emoji"/>
        </w:rPr>
      </w:pPr>
      <w:r w:rsidRPr="00243593">
        <w:rPr>
          <w:rFonts w:ascii="Segoe UI Emoji" w:hAnsi="Segoe UI Emoji" w:cs="Segoe UI Emoji"/>
        </w:rPr>
        <w:t>Estimular compras recurrentes entre clientes ocasionales con promociones y descuentos estratégicos.</w:t>
      </w:r>
    </w:p>
    <w:p w14:paraId="587442D3" w14:textId="77777777" w:rsidR="00243593" w:rsidRPr="00243593" w:rsidRDefault="00243593" w:rsidP="00243593">
      <w:pPr>
        <w:numPr>
          <w:ilvl w:val="0"/>
          <w:numId w:val="4"/>
        </w:numPr>
        <w:rPr>
          <w:rFonts w:ascii="Segoe UI Emoji" w:hAnsi="Segoe UI Emoji" w:cs="Segoe UI Emoji"/>
        </w:rPr>
      </w:pPr>
      <w:r w:rsidRPr="00243593">
        <w:rPr>
          <w:rFonts w:ascii="Segoe UI Emoji" w:hAnsi="Segoe UI Emoji" w:cs="Segoe UI Emoji"/>
        </w:rPr>
        <w:t>El análisis geográfico puede ayudar a definir estrategias de expansión en regiones con baja presencia.</w:t>
      </w:r>
    </w:p>
    <w:p w14:paraId="1BC84A0D" w14:textId="3DE2C106" w:rsidR="00243593" w:rsidRPr="00243593" w:rsidRDefault="00243593" w:rsidP="00243593">
      <w:pPr>
        <w:rPr>
          <w:rFonts w:ascii="Segoe UI Emoji" w:hAnsi="Segoe UI Emoji" w:cs="Segoe UI Emoji"/>
          <w:b/>
          <w:bCs/>
        </w:rPr>
      </w:pPr>
      <w:r w:rsidRPr="00243593">
        <w:rPr>
          <w:rFonts w:ascii="Segoe UI Emoji" w:hAnsi="Segoe UI Emoji" w:cs="Segoe UI Emoji"/>
          <w:b/>
          <w:bCs/>
        </w:rPr>
        <w:t>Desempeño de Vendedores y Equipo de Ventas</w:t>
      </w:r>
    </w:p>
    <w:p w14:paraId="6DCD8367" w14:textId="77777777" w:rsidR="00243593" w:rsidRPr="00243593" w:rsidRDefault="00243593" w:rsidP="00243593">
      <w:pPr>
        <w:rPr>
          <w:rFonts w:ascii="Segoe UI Emoji" w:hAnsi="Segoe UI Emoji" w:cs="Segoe UI Emoji"/>
        </w:rPr>
      </w:pPr>
      <w:r w:rsidRPr="00243593">
        <w:rPr>
          <w:rFonts w:ascii="Segoe UI Emoji" w:hAnsi="Segoe UI Emoji" w:cs="Segoe UI Emoji"/>
        </w:rPr>
        <w:t xml:space="preserve">El análisis de los vendedores muestra que la distribución de ventas está bien equilibrada. Devon Brewer (4.39%) y Julie Dyer (4.38%) lideran en participación </w:t>
      </w:r>
      <w:r w:rsidRPr="00243593">
        <w:rPr>
          <w:rFonts w:ascii="Segoe UI Emoji" w:hAnsi="Segoe UI Emoji" w:cs="Segoe UI Emoji"/>
        </w:rPr>
        <w:lastRenderedPageBreak/>
        <w:t>de ventas, pero la diferencia entre los mejores vendedores es mínima, lo que indica una fuerza de ventas bien distribuida.</w:t>
      </w:r>
    </w:p>
    <w:p w14:paraId="0036E67B" w14:textId="3F13CD36" w:rsidR="00243593" w:rsidRPr="00243593" w:rsidRDefault="00243593" w:rsidP="00243593">
      <w:pPr>
        <w:rPr>
          <w:rFonts w:ascii="Segoe UI Emoji" w:hAnsi="Segoe UI Emoji" w:cs="Segoe UI Emoji"/>
        </w:rPr>
      </w:pPr>
      <w:r w:rsidRPr="00243593">
        <w:rPr>
          <w:rFonts w:ascii="Segoe UI Emoji" w:hAnsi="Segoe UI Emoji" w:cs="Segoe UI Emoji"/>
        </w:rPr>
        <w:t>Composición del Equipo de Ventas:</w:t>
      </w:r>
    </w:p>
    <w:p w14:paraId="5534AB10" w14:textId="77777777" w:rsidR="00243593" w:rsidRPr="00243593" w:rsidRDefault="00243593" w:rsidP="00243593">
      <w:pPr>
        <w:numPr>
          <w:ilvl w:val="0"/>
          <w:numId w:val="5"/>
        </w:numPr>
        <w:rPr>
          <w:rFonts w:ascii="Segoe UI Emoji" w:hAnsi="Segoe UI Emoji" w:cs="Segoe UI Emoji"/>
        </w:rPr>
      </w:pPr>
      <w:r w:rsidRPr="00243593">
        <w:rPr>
          <w:rFonts w:ascii="Segoe UI Emoji" w:hAnsi="Segoe UI Emoji" w:cs="Segoe UI Emoji"/>
        </w:rPr>
        <w:t>65.22% de los empleados son hombres y 34.78% mujeres.</w:t>
      </w:r>
    </w:p>
    <w:p w14:paraId="60936F5C" w14:textId="77777777" w:rsidR="00243593" w:rsidRPr="00243593" w:rsidRDefault="00243593" w:rsidP="00243593">
      <w:pPr>
        <w:numPr>
          <w:ilvl w:val="0"/>
          <w:numId w:val="5"/>
        </w:numPr>
        <w:rPr>
          <w:rFonts w:ascii="Segoe UI Emoji" w:hAnsi="Segoe UI Emoji" w:cs="Segoe UI Emoji"/>
        </w:rPr>
      </w:pPr>
      <w:r w:rsidRPr="00243593">
        <w:rPr>
          <w:rFonts w:ascii="Segoe UI Emoji" w:hAnsi="Segoe UI Emoji" w:cs="Segoe UI Emoji"/>
        </w:rPr>
        <w:t>En los niveles Senior, los hombres representan el 47.83%, mientras que en el nivel Mid-Level hay una mayor diferencia a favor de los hombres.</w:t>
      </w:r>
    </w:p>
    <w:p w14:paraId="13240FE4" w14:textId="77777777" w:rsidR="00243593" w:rsidRPr="00243593" w:rsidRDefault="00243593" w:rsidP="00243593">
      <w:pPr>
        <w:numPr>
          <w:ilvl w:val="0"/>
          <w:numId w:val="5"/>
        </w:numPr>
        <w:rPr>
          <w:rFonts w:ascii="Segoe UI Emoji" w:hAnsi="Segoe UI Emoji" w:cs="Segoe UI Emoji"/>
        </w:rPr>
      </w:pPr>
      <w:r w:rsidRPr="00243593">
        <w:rPr>
          <w:rFonts w:ascii="Segoe UI Emoji" w:hAnsi="Segoe UI Emoji" w:cs="Segoe UI Emoji"/>
        </w:rPr>
        <w:t>Edad promedio: Mujeres 59 años, Hombres 56 años.</w:t>
      </w:r>
    </w:p>
    <w:p w14:paraId="69824DC8" w14:textId="77777777" w:rsidR="00243593" w:rsidRPr="00243593" w:rsidRDefault="00243593" w:rsidP="00243593">
      <w:pPr>
        <w:numPr>
          <w:ilvl w:val="0"/>
          <w:numId w:val="5"/>
        </w:numPr>
        <w:rPr>
          <w:rFonts w:ascii="Segoe UI Emoji" w:hAnsi="Segoe UI Emoji" w:cs="Segoe UI Emoji"/>
        </w:rPr>
      </w:pPr>
      <w:r w:rsidRPr="00243593">
        <w:rPr>
          <w:rFonts w:ascii="Segoe UI Emoji" w:hAnsi="Segoe UI Emoji" w:cs="Segoe UI Emoji"/>
        </w:rPr>
        <w:t>Años trabajados promedio: Mujeres 12.38 años, Hombres 11.60 años.</w:t>
      </w:r>
    </w:p>
    <w:p w14:paraId="46EED516" w14:textId="75B455C6" w:rsidR="00243593" w:rsidRPr="00243593" w:rsidRDefault="00243593" w:rsidP="00243593">
      <w:pPr>
        <w:rPr>
          <w:rFonts w:ascii="Segoe UI Emoji" w:hAnsi="Segoe UI Emoji" w:cs="Segoe UI Emoji"/>
        </w:rPr>
      </w:pPr>
      <w:r w:rsidRPr="00243593">
        <w:rPr>
          <w:rFonts w:ascii="Segoe UI Emoji" w:hAnsi="Segoe UI Emoji" w:cs="Segoe UI Emoji"/>
        </w:rPr>
        <w:t>Hallazgo Clave:</w:t>
      </w:r>
    </w:p>
    <w:p w14:paraId="53718841" w14:textId="77777777" w:rsidR="00243593" w:rsidRPr="00243593" w:rsidRDefault="00243593" w:rsidP="00243593">
      <w:pPr>
        <w:numPr>
          <w:ilvl w:val="0"/>
          <w:numId w:val="6"/>
        </w:numPr>
        <w:rPr>
          <w:rFonts w:ascii="Segoe UI Emoji" w:hAnsi="Segoe UI Emoji" w:cs="Segoe UI Emoji"/>
        </w:rPr>
      </w:pPr>
      <w:r w:rsidRPr="00243593">
        <w:rPr>
          <w:rFonts w:ascii="Segoe UI Emoji" w:hAnsi="Segoe UI Emoji" w:cs="Segoe UI Emoji"/>
        </w:rPr>
        <w:t>No hay empleados en la categoría Junior, lo que sugiere que el equipo está compuesto por personal con más de 10 años de experiencia.</w:t>
      </w:r>
    </w:p>
    <w:p w14:paraId="45850898" w14:textId="77777777" w:rsidR="00243593" w:rsidRPr="00243593" w:rsidRDefault="00243593" w:rsidP="00243593">
      <w:pPr>
        <w:numPr>
          <w:ilvl w:val="0"/>
          <w:numId w:val="6"/>
        </w:numPr>
        <w:rPr>
          <w:rFonts w:ascii="Segoe UI Emoji" w:hAnsi="Segoe UI Emoji" w:cs="Segoe UI Emoji"/>
        </w:rPr>
      </w:pPr>
      <w:r w:rsidRPr="00243593">
        <w:rPr>
          <w:rFonts w:ascii="Segoe UI Emoji" w:hAnsi="Segoe UI Emoji" w:cs="Segoe UI Emoji"/>
        </w:rPr>
        <w:t>Esto podría representar un riesgo a largo plazo, ya que la falta de empleados jóvenes puede afectar la continuidad del equipo en el futuro.</w:t>
      </w:r>
    </w:p>
    <w:p w14:paraId="1BA7870A" w14:textId="77777777" w:rsidR="00243593" w:rsidRPr="00243593" w:rsidRDefault="00243593" w:rsidP="00243593">
      <w:pPr>
        <w:numPr>
          <w:ilvl w:val="0"/>
          <w:numId w:val="6"/>
        </w:numPr>
        <w:rPr>
          <w:rFonts w:ascii="Segoe UI Emoji" w:hAnsi="Segoe UI Emoji" w:cs="Segoe UI Emoji"/>
        </w:rPr>
      </w:pPr>
      <w:r w:rsidRPr="00243593">
        <w:rPr>
          <w:rFonts w:ascii="Segoe UI Emoji" w:hAnsi="Segoe UI Emoji" w:cs="Segoe UI Emoji"/>
        </w:rPr>
        <w:t>Se recomienda analizar estrategias de contratación para incorporar talento joven y garantizar el relevo generacional dentro del equipo de ventas.</w:t>
      </w:r>
    </w:p>
    <w:p w14:paraId="7D6044D8" w14:textId="77777777" w:rsidR="00565248" w:rsidRDefault="00565248">
      <w:pPr>
        <w:rPr>
          <w:b/>
          <w:bCs/>
        </w:rPr>
      </w:pPr>
      <w:r>
        <w:rPr>
          <w:b/>
          <w:bCs/>
        </w:rPr>
        <w:br w:type="page"/>
      </w:r>
    </w:p>
    <w:p w14:paraId="7DF4F57D" w14:textId="7BFEE9E7" w:rsidR="00565248" w:rsidRPr="00565248" w:rsidRDefault="00565248" w:rsidP="00565248">
      <w:pPr>
        <w:rPr>
          <w:b/>
          <w:bCs/>
        </w:rPr>
      </w:pPr>
      <w:r w:rsidRPr="00565248">
        <w:rPr>
          <w:b/>
          <w:bCs/>
        </w:rPr>
        <w:lastRenderedPageBreak/>
        <w:t xml:space="preserve"> Análisis Final General</w:t>
      </w:r>
    </w:p>
    <w:p w14:paraId="397ABC9D" w14:textId="1862B0CC" w:rsidR="00565248" w:rsidRPr="00565248" w:rsidRDefault="00565248" w:rsidP="00565248">
      <w:pPr>
        <w:rPr>
          <w:b/>
          <w:bCs/>
        </w:rPr>
      </w:pPr>
      <w:r w:rsidRPr="00565248">
        <w:rPr>
          <w:b/>
          <w:bCs/>
        </w:rPr>
        <w:t xml:space="preserve"> Visión Global</w:t>
      </w:r>
    </w:p>
    <w:p w14:paraId="34A2A4C8" w14:textId="77777777" w:rsidR="00565248" w:rsidRPr="00565248" w:rsidRDefault="00565248" w:rsidP="00565248">
      <w:r w:rsidRPr="00565248">
        <w:t xml:space="preserve">El análisis de los datos revela un rendimiento sólido en ventas, con un total de </w:t>
      </w:r>
      <w:r w:rsidRPr="00565248">
        <w:rPr>
          <w:b/>
          <w:bCs/>
        </w:rPr>
        <w:t>$4.02 billones generados</w:t>
      </w:r>
      <w:r w:rsidRPr="00565248">
        <w:t xml:space="preserve"> y más de </w:t>
      </w:r>
      <w:r w:rsidRPr="00565248">
        <w:rPr>
          <w:b/>
          <w:bCs/>
        </w:rPr>
        <w:t>98,76 mil clientes activos</w:t>
      </w:r>
      <w:r w:rsidRPr="00565248">
        <w:t>. Se observa que un pequeño porcentaje de los clientes (VIP) genera la mayor parte de los ingresos, lo que indica una alta concentración de ventas en una base de clientes leales.</w:t>
      </w:r>
    </w:p>
    <w:p w14:paraId="5E986D03" w14:textId="77777777" w:rsidR="00565248" w:rsidRPr="00565248" w:rsidRDefault="00565248" w:rsidP="00565248">
      <w:r w:rsidRPr="00565248">
        <w:t xml:space="preserve">El </w:t>
      </w:r>
      <w:r w:rsidRPr="00565248">
        <w:rPr>
          <w:b/>
          <w:bCs/>
        </w:rPr>
        <w:t>ticket promedio de compra</w:t>
      </w:r>
      <w:r w:rsidRPr="00565248">
        <w:t xml:space="preserve"> es de </w:t>
      </w:r>
      <w:r w:rsidRPr="00565248">
        <w:rPr>
          <w:b/>
          <w:bCs/>
        </w:rPr>
        <w:t>$40.67 mil</w:t>
      </w:r>
      <w:r w:rsidRPr="00565248">
        <w:t>, lo que sugiere que el negocio se enfoca en productos con precios moderados a altos, aunque hay variaciones dentro de las categorías de productos.</w:t>
      </w:r>
    </w:p>
    <w:p w14:paraId="189AFC8F" w14:textId="77777777" w:rsidR="00565248" w:rsidRPr="00565248" w:rsidRDefault="00565248" w:rsidP="00565248">
      <w:r w:rsidRPr="00565248">
        <w:t xml:space="preserve">La </w:t>
      </w:r>
      <w:r w:rsidRPr="00565248">
        <w:rPr>
          <w:b/>
          <w:bCs/>
        </w:rPr>
        <w:t>distribución geográfica</w:t>
      </w:r>
      <w:r w:rsidRPr="00565248">
        <w:t xml:space="preserve"> de los clientes muestra una alta concentración en </w:t>
      </w:r>
      <w:r w:rsidRPr="00565248">
        <w:rPr>
          <w:b/>
          <w:bCs/>
        </w:rPr>
        <w:t>Norteamérica y Europa</w:t>
      </w:r>
      <w:r w:rsidRPr="00565248">
        <w:t>, mientras que hay baja presencia en África y América del Sur.</w:t>
      </w:r>
    </w:p>
    <w:p w14:paraId="4CD6B5B9" w14:textId="3CA13E24" w:rsidR="00565248" w:rsidRPr="00565248" w:rsidRDefault="00565248" w:rsidP="00565248">
      <w:pPr>
        <w:rPr>
          <w:b/>
          <w:bCs/>
        </w:rPr>
      </w:pPr>
      <w:r w:rsidRPr="00565248">
        <w:rPr>
          <w:b/>
          <w:bCs/>
        </w:rPr>
        <w:t>Análisis de Productos y Categorías</w:t>
      </w:r>
    </w:p>
    <w:p w14:paraId="6406467B" w14:textId="77777777" w:rsidR="00565248" w:rsidRPr="00565248" w:rsidRDefault="00565248" w:rsidP="00565248">
      <w:pPr>
        <w:numPr>
          <w:ilvl w:val="0"/>
          <w:numId w:val="7"/>
        </w:numPr>
      </w:pPr>
      <w:r w:rsidRPr="00565248">
        <w:rPr>
          <w:b/>
          <w:bCs/>
        </w:rPr>
        <w:t>Productos Más Vendidos:</w:t>
      </w:r>
      <w:r w:rsidRPr="00565248">
        <w:br/>
        <w:t xml:space="preserve">Los productos con mayor volumen de ventas incluyen </w:t>
      </w:r>
      <w:r w:rsidRPr="00565248">
        <w:rPr>
          <w:b/>
          <w:bCs/>
        </w:rPr>
        <w:t>Longos - Chicken Wings y Yoghurt Tubes</w:t>
      </w:r>
      <w:r w:rsidRPr="00565248">
        <w:t xml:space="preserve">, mientras que los productos con mayor ingreso incluyen </w:t>
      </w:r>
      <w:r w:rsidRPr="00565248">
        <w:rPr>
          <w:b/>
          <w:bCs/>
        </w:rPr>
        <w:t>Apricots - Dried y Yoghurt Tubes</w:t>
      </w:r>
      <w:r w:rsidRPr="00565248">
        <w:t>.</w:t>
      </w:r>
    </w:p>
    <w:p w14:paraId="5FCAD970" w14:textId="77777777" w:rsidR="00565248" w:rsidRPr="00565248" w:rsidRDefault="00565248" w:rsidP="00565248">
      <w:pPr>
        <w:numPr>
          <w:ilvl w:val="0"/>
          <w:numId w:val="7"/>
        </w:numPr>
      </w:pPr>
      <w:r w:rsidRPr="00565248">
        <w:rPr>
          <w:b/>
          <w:bCs/>
        </w:rPr>
        <w:t>Categorías con Mayor Ingreso:</w:t>
      </w:r>
      <w:r w:rsidRPr="00565248">
        <w:t xml:space="preserve"> </w:t>
      </w:r>
    </w:p>
    <w:p w14:paraId="04048817" w14:textId="77777777" w:rsidR="00565248" w:rsidRPr="00565248" w:rsidRDefault="00565248" w:rsidP="00565248">
      <w:pPr>
        <w:numPr>
          <w:ilvl w:val="1"/>
          <w:numId w:val="7"/>
        </w:numPr>
      </w:pPr>
      <w:r w:rsidRPr="00565248">
        <w:rPr>
          <w:b/>
          <w:bCs/>
        </w:rPr>
        <w:t>Confections</w:t>
      </w:r>
      <w:r w:rsidRPr="00565248">
        <w:t xml:space="preserve"> y </w:t>
      </w:r>
      <w:r w:rsidRPr="00565248">
        <w:rPr>
          <w:b/>
          <w:bCs/>
        </w:rPr>
        <w:t>Meat</w:t>
      </w:r>
      <w:r w:rsidRPr="00565248">
        <w:t xml:space="preserve"> generan más de </w:t>
      </w:r>
      <w:r w:rsidRPr="00565248">
        <w:rPr>
          <w:b/>
          <w:bCs/>
        </w:rPr>
        <w:t>$500M en ventas</w:t>
      </w:r>
      <w:r w:rsidRPr="00565248">
        <w:t>.</w:t>
      </w:r>
    </w:p>
    <w:p w14:paraId="3CE58B22" w14:textId="77777777" w:rsidR="00565248" w:rsidRPr="00565248" w:rsidRDefault="00565248" w:rsidP="00565248">
      <w:pPr>
        <w:numPr>
          <w:ilvl w:val="0"/>
          <w:numId w:val="7"/>
        </w:numPr>
      </w:pPr>
      <w:r w:rsidRPr="00565248">
        <w:rPr>
          <w:b/>
          <w:bCs/>
        </w:rPr>
        <w:t>Categorías con Menor Ingreso:</w:t>
      </w:r>
      <w:r w:rsidRPr="00565248">
        <w:t xml:space="preserve"> </w:t>
      </w:r>
    </w:p>
    <w:p w14:paraId="4D177AB5" w14:textId="77777777" w:rsidR="00565248" w:rsidRPr="00565248" w:rsidRDefault="00565248" w:rsidP="00565248">
      <w:pPr>
        <w:numPr>
          <w:ilvl w:val="1"/>
          <w:numId w:val="7"/>
        </w:numPr>
      </w:pPr>
      <w:r w:rsidRPr="00565248">
        <w:rPr>
          <w:b/>
          <w:bCs/>
        </w:rPr>
        <w:t>Grain y Shell Fish</w:t>
      </w:r>
      <w:r w:rsidRPr="00565248">
        <w:t xml:space="preserve"> tienen la menor rentabilidad.</w:t>
      </w:r>
    </w:p>
    <w:p w14:paraId="18CB460D" w14:textId="77777777" w:rsidR="00565248" w:rsidRPr="00565248" w:rsidRDefault="00565248" w:rsidP="00565248">
      <w:r w:rsidRPr="00565248">
        <w:t>Se observa que no siempre el producto más vendido es el más rentable. En algunos casos, productos con menor volumen generan mayores ingresos debido a precios unitarios más altos.</w:t>
      </w:r>
    </w:p>
    <w:p w14:paraId="624F834F" w14:textId="72E0FEF0" w:rsidR="00565248" w:rsidRPr="00565248" w:rsidRDefault="00565248" w:rsidP="00565248">
      <w:pPr>
        <w:rPr>
          <w:b/>
          <w:bCs/>
        </w:rPr>
      </w:pPr>
      <w:r w:rsidRPr="00565248">
        <w:rPr>
          <w:b/>
          <w:bCs/>
        </w:rPr>
        <w:t>Análisis de Clientes y Segmentación</w:t>
      </w:r>
    </w:p>
    <w:p w14:paraId="1F6D4691" w14:textId="77777777" w:rsidR="00565248" w:rsidRPr="00565248" w:rsidRDefault="00565248" w:rsidP="00565248">
      <w:pPr>
        <w:numPr>
          <w:ilvl w:val="0"/>
          <w:numId w:val="8"/>
        </w:numPr>
      </w:pPr>
      <w:r w:rsidRPr="00565248">
        <w:rPr>
          <w:b/>
          <w:bCs/>
        </w:rPr>
        <w:t>Clientes VIP (17.2%)</w:t>
      </w:r>
      <w:r w:rsidRPr="00565248">
        <w:t xml:space="preserve"> → Generan el </w:t>
      </w:r>
      <w:r w:rsidRPr="00565248">
        <w:rPr>
          <w:b/>
          <w:bCs/>
        </w:rPr>
        <w:t>76.42% de los ingresos</w:t>
      </w:r>
      <w:r w:rsidRPr="00565248">
        <w:t>, lo que confirma que un segmento reducido de clientes impulsa la mayor parte de las ventas.</w:t>
      </w:r>
    </w:p>
    <w:p w14:paraId="3E38EC7C" w14:textId="77777777" w:rsidR="00565248" w:rsidRPr="00565248" w:rsidRDefault="00565248" w:rsidP="00565248">
      <w:pPr>
        <w:numPr>
          <w:ilvl w:val="0"/>
          <w:numId w:val="8"/>
        </w:numPr>
      </w:pPr>
      <w:r w:rsidRPr="00565248">
        <w:rPr>
          <w:b/>
          <w:bCs/>
        </w:rPr>
        <w:t>Distribución de Clientes:</w:t>
      </w:r>
      <w:r w:rsidRPr="00565248">
        <w:t xml:space="preserve"> </w:t>
      </w:r>
    </w:p>
    <w:p w14:paraId="28D539A6" w14:textId="77777777" w:rsidR="00565248" w:rsidRPr="00565248" w:rsidRDefault="00565248" w:rsidP="00565248">
      <w:pPr>
        <w:numPr>
          <w:ilvl w:val="1"/>
          <w:numId w:val="8"/>
        </w:numPr>
      </w:pPr>
      <w:r w:rsidRPr="00565248">
        <w:t xml:space="preserve">Mayor presencia en </w:t>
      </w:r>
      <w:r w:rsidRPr="00565248">
        <w:rPr>
          <w:b/>
          <w:bCs/>
        </w:rPr>
        <w:t>Norteamérica y Europa</w:t>
      </w:r>
      <w:r w:rsidRPr="00565248">
        <w:t>.</w:t>
      </w:r>
    </w:p>
    <w:p w14:paraId="17115EAA" w14:textId="77777777" w:rsidR="00565248" w:rsidRPr="00565248" w:rsidRDefault="00565248" w:rsidP="00565248">
      <w:pPr>
        <w:numPr>
          <w:ilvl w:val="1"/>
          <w:numId w:val="8"/>
        </w:numPr>
      </w:pPr>
      <w:r w:rsidRPr="00565248">
        <w:t xml:space="preserve">Baja presencia en </w:t>
      </w:r>
      <w:r w:rsidRPr="00565248">
        <w:rPr>
          <w:b/>
          <w:bCs/>
        </w:rPr>
        <w:t>África y América del Sur</w:t>
      </w:r>
      <w:r w:rsidRPr="00565248">
        <w:t>.</w:t>
      </w:r>
    </w:p>
    <w:p w14:paraId="10694C91" w14:textId="77777777" w:rsidR="00565248" w:rsidRPr="00565248" w:rsidRDefault="00565248" w:rsidP="00565248">
      <w:pPr>
        <w:numPr>
          <w:ilvl w:val="0"/>
          <w:numId w:val="8"/>
        </w:numPr>
      </w:pPr>
      <w:r w:rsidRPr="00565248">
        <w:rPr>
          <w:b/>
          <w:bCs/>
        </w:rPr>
        <w:t>Frecuencia de Compra:</w:t>
      </w:r>
      <w:r w:rsidRPr="00565248">
        <w:t xml:space="preserve"> </w:t>
      </w:r>
    </w:p>
    <w:p w14:paraId="32AB21FB" w14:textId="77777777" w:rsidR="00565248" w:rsidRPr="00565248" w:rsidRDefault="00565248" w:rsidP="00565248">
      <w:pPr>
        <w:numPr>
          <w:ilvl w:val="1"/>
          <w:numId w:val="8"/>
        </w:numPr>
      </w:pPr>
      <w:r w:rsidRPr="00565248">
        <w:lastRenderedPageBreak/>
        <w:t>La mayoría de los clientes compran ocasionalmente.</w:t>
      </w:r>
    </w:p>
    <w:p w14:paraId="6A4362B6" w14:textId="77777777" w:rsidR="00565248" w:rsidRPr="00565248" w:rsidRDefault="00565248" w:rsidP="00565248">
      <w:pPr>
        <w:numPr>
          <w:ilvl w:val="1"/>
          <w:numId w:val="8"/>
        </w:numPr>
      </w:pPr>
      <w:r w:rsidRPr="00565248">
        <w:t>Solo un pequeño porcentaje realiza compras frecuentes.</w:t>
      </w:r>
    </w:p>
    <w:p w14:paraId="3E6386D8" w14:textId="0B1F972C" w:rsidR="00565248" w:rsidRPr="00565248" w:rsidRDefault="00565248" w:rsidP="00565248">
      <w:pPr>
        <w:rPr>
          <w:b/>
          <w:bCs/>
        </w:rPr>
      </w:pPr>
      <w:r w:rsidRPr="00565248">
        <w:rPr>
          <w:b/>
          <w:bCs/>
        </w:rPr>
        <w:t>Tendencias de Compra y Estacionalidad</w:t>
      </w:r>
    </w:p>
    <w:p w14:paraId="0B38D0E2" w14:textId="77777777" w:rsidR="00565248" w:rsidRPr="00565248" w:rsidRDefault="00565248" w:rsidP="00565248">
      <w:pPr>
        <w:numPr>
          <w:ilvl w:val="0"/>
          <w:numId w:val="9"/>
        </w:numPr>
      </w:pPr>
      <w:r w:rsidRPr="00565248">
        <w:rPr>
          <w:b/>
          <w:bCs/>
        </w:rPr>
        <w:t>Meses de Mayor Venta:</w:t>
      </w:r>
      <w:r w:rsidRPr="00565248">
        <w:t xml:space="preserve"> </w:t>
      </w:r>
    </w:p>
    <w:p w14:paraId="1DB21B5C" w14:textId="77777777" w:rsidR="00565248" w:rsidRPr="00565248" w:rsidRDefault="00565248" w:rsidP="00565248">
      <w:pPr>
        <w:numPr>
          <w:ilvl w:val="1"/>
          <w:numId w:val="9"/>
        </w:numPr>
      </w:pPr>
      <w:r w:rsidRPr="00565248">
        <w:rPr>
          <w:b/>
          <w:bCs/>
        </w:rPr>
        <w:t>Marzo (24.05%) y Enero (24.02%)</w:t>
      </w:r>
      <w:r w:rsidRPr="00565248">
        <w:t xml:space="preserve"> muestran la mayor actividad de ventas.</w:t>
      </w:r>
    </w:p>
    <w:p w14:paraId="54D0672C" w14:textId="77777777" w:rsidR="00565248" w:rsidRPr="00565248" w:rsidRDefault="00565248" w:rsidP="00565248">
      <w:pPr>
        <w:numPr>
          <w:ilvl w:val="0"/>
          <w:numId w:val="9"/>
        </w:numPr>
      </w:pPr>
      <w:r w:rsidRPr="00565248">
        <w:rPr>
          <w:b/>
          <w:bCs/>
        </w:rPr>
        <w:t>Mes de Menor Venta:</w:t>
      </w:r>
      <w:r w:rsidRPr="00565248">
        <w:t xml:space="preserve"> </w:t>
      </w:r>
    </w:p>
    <w:p w14:paraId="5A12D927" w14:textId="77777777" w:rsidR="00565248" w:rsidRPr="00565248" w:rsidRDefault="00565248" w:rsidP="00565248">
      <w:pPr>
        <w:numPr>
          <w:ilvl w:val="1"/>
          <w:numId w:val="9"/>
        </w:numPr>
      </w:pPr>
      <w:r w:rsidRPr="00565248">
        <w:rPr>
          <w:b/>
          <w:bCs/>
        </w:rPr>
        <w:t>Mayo (6.98%)</w:t>
      </w:r>
      <w:r w:rsidRPr="00565248">
        <w:t xml:space="preserve"> presenta la menor actividad.</w:t>
      </w:r>
    </w:p>
    <w:p w14:paraId="202182AA" w14:textId="77777777" w:rsidR="00565248" w:rsidRPr="00565248" w:rsidRDefault="00565248" w:rsidP="00565248">
      <w:r w:rsidRPr="00565248">
        <w:t>Este comportamiento sugiere que hay patrones estacionales que influyen en el consumo y deben ser considerados en estrategias de marketing y abastecimiento.</w:t>
      </w:r>
    </w:p>
    <w:p w14:paraId="195E09CA" w14:textId="7C453310" w:rsidR="00565248" w:rsidRPr="00565248" w:rsidRDefault="00565248" w:rsidP="00565248">
      <w:pPr>
        <w:rPr>
          <w:b/>
          <w:bCs/>
        </w:rPr>
      </w:pPr>
      <w:r w:rsidRPr="00565248">
        <w:rPr>
          <w:b/>
          <w:bCs/>
        </w:rPr>
        <w:t>Desempeño del Equipo de Ventas</w:t>
      </w:r>
    </w:p>
    <w:p w14:paraId="47AA42E1" w14:textId="77777777" w:rsidR="00565248" w:rsidRPr="00565248" w:rsidRDefault="00565248" w:rsidP="00565248">
      <w:pPr>
        <w:numPr>
          <w:ilvl w:val="0"/>
          <w:numId w:val="10"/>
        </w:numPr>
      </w:pPr>
      <w:r w:rsidRPr="00565248">
        <w:rPr>
          <w:b/>
          <w:bCs/>
        </w:rPr>
        <w:t>Principales Vendedores:</w:t>
      </w:r>
      <w:r w:rsidRPr="00565248">
        <w:br/>
        <w:t>Devon Brewer y Julie Dyer lideran las ventas, aunque la distribución de desempeño es relativamente pareja entre los vendedores.</w:t>
      </w:r>
    </w:p>
    <w:p w14:paraId="69D489ED" w14:textId="77777777" w:rsidR="00565248" w:rsidRPr="00565248" w:rsidRDefault="00565248" w:rsidP="00565248">
      <w:pPr>
        <w:numPr>
          <w:ilvl w:val="0"/>
          <w:numId w:val="10"/>
        </w:numPr>
      </w:pPr>
      <w:r w:rsidRPr="00565248">
        <w:rPr>
          <w:b/>
          <w:bCs/>
        </w:rPr>
        <w:t>Composición del Equipo:</w:t>
      </w:r>
      <w:r w:rsidRPr="00565248">
        <w:t xml:space="preserve"> </w:t>
      </w:r>
    </w:p>
    <w:p w14:paraId="19BC4149" w14:textId="77777777" w:rsidR="00565248" w:rsidRPr="00565248" w:rsidRDefault="00565248" w:rsidP="00565248">
      <w:pPr>
        <w:numPr>
          <w:ilvl w:val="1"/>
          <w:numId w:val="10"/>
        </w:numPr>
      </w:pPr>
      <w:r w:rsidRPr="00565248">
        <w:t xml:space="preserve">65.22% de los empleados son </w:t>
      </w:r>
      <w:r w:rsidRPr="00565248">
        <w:rPr>
          <w:b/>
          <w:bCs/>
        </w:rPr>
        <w:t>hombres</w:t>
      </w:r>
      <w:r w:rsidRPr="00565248">
        <w:t xml:space="preserve">, 34.78% </w:t>
      </w:r>
      <w:r w:rsidRPr="00565248">
        <w:rPr>
          <w:b/>
          <w:bCs/>
        </w:rPr>
        <w:t>mujeres</w:t>
      </w:r>
      <w:r w:rsidRPr="00565248">
        <w:t>.</w:t>
      </w:r>
    </w:p>
    <w:p w14:paraId="66214E7B" w14:textId="77777777" w:rsidR="00565248" w:rsidRPr="00565248" w:rsidRDefault="00565248" w:rsidP="00565248">
      <w:pPr>
        <w:numPr>
          <w:ilvl w:val="1"/>
          <w:numId w:val="10"/>
        </w:numPr>
      </w:pPr>
      <w:r w:rsidRPr="00565248">
        <w:rPr>
          <w:b/>
          <w:bCs/>
        </w:rPr>
        <w:t>Edad promedio:</w:t>
      </w:r>
      <w:r w:rsidRPr="00565248">
        <w:t xml:space="preserve"> Mujeres </w:t>
      </w:r>
      <w:r w:rsidRPr="00565248">
        <w:rPr>
          <w:b/>
          <w:bCs/>
        </w:rPr>
        <w:t>59 años</w:t>
      </w:r>
      <w:r w:rsidRPr="00565248">
        <w:t xml:space="preserve">, Hombres </w:t>
      </w:r>
      <w:r w:rsidRPr="00565248">
        <w:rPr>
          <w:b/>
          <w:bCs/>
        </w:rPr>
        <w:t>56 años</w:t>
      </w:r>
      <w:r w:rsidRPr="00565248">
        <w:t>.</w:t>
      </w:r>
    </w:p>
    <w:p w14:paraId="26CCB108" w14:textId="77777777" w:rsidR="00565248" w:rsidRPr="00565248" w:rsidRDefault="00565248" w:rsidP="00565248">
      <w:pPr>
        <w:numPr>
          <w:ilvl w:val="1"/>
          <w:numId w:val="10"/>
        </w:numPr>
      </w:pPr>
      <w:r w:rsidRPr="00565248">
        <w:rPr>
          <w:b/>
          <w:bCs/>
        </w:rPr>
        <w:t>Años trabajados promedio:</w:t>
      </w:r>
      <w:r w:rsidRPr="00565248">
        <w:t xml:space="preserve"> Mujeres </w:t>
      </w:r>
      <w:r w:rsidRPr="00565248">
        <w:rPr>
          <w:b/>
          <w:bCs/>
        </w:rPr>
        <w:t>12.38 años</w:t>
      </w:r>
      <w:r w:rsidRPr="00565248">
        <w:t xml:space="preserve">, Hombres </w:t>
      </w:r>
      <w:r w:rsidRPr="00565248">
        <w:rPr>
          <w:b/>
          <w:bCs/>
        </w:rPr>
        <w:t>11.60 años</w:t>
      </w:r>
      <w:r w:rsidRPr="00565248">
        <w:t>.</w:t>
      </w:r>
    </w:p>
    <w:p w14:paraId="15B04C69" w14:textId="77777777" w:rsidR="00565248" w:rsidRPr="00565248" w:rsidRDefault="00565248" w:rsidP="00565248">
      <w:pPr>
        <w:numPr>
          <w:ilvl w:val="1"/>
          <w:numId w:val="10"/>
        </w:numPr>
      </w:pPr>
      <w:r w:rsidRPr="00565248">
        <w:t xml:space="preserve">No hay empleados </w:t>
      </w:r>
      <w:r w:rsidRPr="00565248">
        <w:rPr>
          <w:b/>
          <w:bCs/>
        </w:rPr>
        <w:t>Junior</w:t>
      </w:r>
      <w:r w:rsidRPr="00565248">
        <w:t xml:space="preserve">, lo que sugiere un equipo con más de </w:t>
      </w:r>
      <w:r w:rsidRPr="00565248">
        <w:rPr>
          <w:b/>
          <w:bCs/>
        </w:rPr>
        <w:t>10 años de experiencia</w:t>
      </w:r>
      <w:r w:rsidRPr="00565248">
        <w:t>.</w:t>
      </w:r>
    </w:p>
    <w:p w14:paraId="27701D15" w14:textId="77777777" w:rsidR="00565248" w:rsidRPr="00565248" w:rsidRDefault="00565248" w:rsidP="00565248">
      <w:r w:rsidRPr="00565248">
        <w:t>Esto indica que el equipo de ventas está altamente experimentado, pero también que podría haber un desafío de renovación de talento en el futuro.</w:t>
      </w:r>
    </w:p>
    <w:p w14:paraId="2A19703D" w14:textId="43B11A27" w:rsidR="00565248" w:rsidRPr="00565248" w:rsidRDefault="00565248" w:rsidP="00565248">
      <w:pPr>
        <w:rPr>
          <w:b/>
          <w:bCs/>
        </w:rPr>
      </w:pPr>
      <w:r w:rsidRPr="00565248">
        <w:rPr>
          <w:b/>
          <w:bCs/>
        </w:rPr>
        <w:t>Recomendaciones Estratégicas</w:t>
      </w:r>
    </w:p>
    <w:p w14:paraId="2CF3ACF4" w14:textId="3A13058A" w:rsidR="00565248" w:rsidRPr="00565248" w:rsidRDefault="00565248" w:rsidP="00565248">
      <w:r>
        <w:t>E</w:t>
      </w:r>
      <w:r w:rsidRPr="00565248">
        <w:rPr>
          <w:b/>
          <w:bCs/>
        </w:rPr>
        <w:t>strategia de Fidelización para Clientes VIP</w:t>
      </w:r>
    </w:p>
    <w:p w14:paraId="1B3EC97C" w14:textId="77777777" w:rsidR="00565248" w:rsidRPr="00565248" w:rsidRDefault="00565248" w:rsidP="00565248">
      <w:pPr>
        <w:numPr>
          <w:ilvl w:val="0"/>
          <w:numId w:val="11"/>
        </w:numPr>
      </w:pPr>
      <w:r w:rsidRPr="00565248">
        <w:t>Implementar programas de recompensas y beneficios exclusivos para fortalecer la relación con estos clientes clave.</w:t>
      </w:r>
    </w:p>
    <w:p w14:paraId="52C46067" w14:textId="77777777" w:rsidR="00565248" w:rsidRPr="00565248" w:rsidRDefault="00565248" w:rsidP="00565248">
      <w:pPr>
        <w:numPr>
          <w:ilvl w:val="0"/>
          <w:numId w:val="11"/>
        </w:numPr>
      </w:pPr>
      <w:r w:rsidRPr="00565248">
        <w:t>Ofrecer experiencias personalizadas y descuentos por volumen de compra.</w:t>
      </w:r>
    </w:p>
    <w:p w14:paraId="52B33EC3" w14:textId="06C85B00" w:rsidR="00565248" w:rsidRPr="00565248" w:rsidRDefault="00565248" w:rsidP="00565248">
      <w:r w:rsidRPr="00565248">
        <w:t xml:space="preserve"> </w:t>
      </w:r>
      <w:r w:rsidRPr="00565248">
        <w:rPr>
          <w:b/>
          <w:bCs/>
        </w:rPr>
        <w:t>Expansión Geográfica</w:t>
      </w:r>
    </w:p>
    <w:p w14:paraId="417B9588" w14:textId="77777777" w:rsidR="00565248" w:rsidRPr="00565248" w:rsidRDefault="00565248" w:rsidP="00565248">
      <w:pPr>
        <w:numPr>
          <w:ilvl w:val="0"/>
          <w:numId w:val="12"/>
        </w:numPr>
      </w:pPr>
      <w:r w:rsidRPr="00565248">
        <w:t xml:space="preserve">Explorar estrategias para aumentar la presencia en </w:t>
      </w:r>
      <w:r w:rsidRPr="00565248">
        <w:rPr>
          <w:b/>
          <w:bCs/>
        </w:rPr>
        <w:t>África y América del Sur</w:t>
      </w:r>
      <w:r w:rsidRPr="00565248">
        <w:t>, dado su bajo impacto en ventas actuales.</w:t>
      </w:r>
    </w:p>
    <w:p w14:paraId="3D246251" w14:textId="2C81B6C6" w:rsidR="00565248" w:rsidRPr="00565248" w:rsidRDefault="00565248" w:rsidP="00565248">
      <w:r w:rsidRPr="00565248">
        <w:lastRenderedPageBreak/>
        <w:t xml:space="preserve"> </w:t>
      </w:r>
      <w:r w:rsidRPr="00565248">
        <w:rPr>
          <w:b/>
          <w:bCs/>
        </w:rPr>
        <w:t>Optimización de la Oferta de Productos</w:t>
      </w:r>
    </w:p>
    <w:p w14:paraId="37DC8416" w14:textId="77777777" w:rsidR="00565248" w:rsidRPr="00565248" w:rsidRDefault="00565248" w:rsidP="00565248">
      <w:pPr>
        <w:numPr>
          <w:ilvl w:val="0"/>
          <w:numId w:val="13"/>
        </w:numPr>
      </w:pPr>
      <w:r w:rsidRPr="00565248">
        <w:t xml:space="preserve">Analizar los productos con </w:t>
      </w:r>
      <w:r w:rsidRPr="00565248">
        <w:rPr>
          <w:b/>
          <w:bCs/>
        </w:rPr>
        <w:t>alto margen de ganancia</w:t>
      </w:r>
      <w:r w:rsidRPr="00565248">
        <w:t xml:space="preserve"> y potenciar su visibilidad con estrategias de marketing específicas.</w:t>
      </w:r>
    </w:p>
    <w:p w14:paraId="21C3FE7C" w14:textId="77777777" w:rsidR="00565248" w:rsidRPr="00565248" w:rsidRDefault="00565248" w:rsidP="00565248">
      <w:pPr>
        <w:numPr>
          <w:ilvl w:val="0"/>
          <w:numId w:val="13"/>
        </w:numPr>
      </w:pPr>
      <w:r w:rsidRPr="00565248">
        <w:t>Evaluar si ciertos productos de bajo rendimiento deben ser eliminados o reformulados.</w:t>
      </w:r>
    </w:p>
    <w:p w14:paraId="7706A140" w14:textId="074D9DB4" w:rsidR="00565248" w:rsidRPr="00565248" w:rsidRDefault="00565248" w:rsidP="00565248">
      <w:r w:rsidRPr="00565248">
        <w:t xml:space="preserve"> </w:t>
      </w:r>
      <w:r w:rsidRPr="00565248">
        <w:rPr>
          <w:b/>
          <w:bCs/>
        </w:rPr>
        <w:t>Campañas de Ventas Estacionales</w:t>
      </w:r>
    </w:p>
    <w:p w14:paraId="54651C05" w14:textId="77777777" w:rsidR="00565248" w:rsidRPr="00565248" w:rsidRDefault="00565248" w:rsidP="00565248">
      <w:pPr>
        <w:numPr>
          <w:ilvl w:val="0"/>
          <w:numId w:val="14"/>
        </w:numPr>
      </w:pPr>
      <w:r w:rsidRPr="00565248">
        <w:t xml:space="preserve">Implementar campañas promocionales agresivas en </w:t>
      </w:r>
      <w:r w:rsidRPr="00565248">
        <w:rPr>
          <w:b/>
          <w:bCs/>
        </w:rPr>
        <w:t>meses de baja demanda (mayo)</w:t>
      </w:r>
      <w:r w:rsidRPr="00565248">
        <w:t xml:space="preserve"> para incentivar compras.</w:t>
      </w:r>
    </w:p>
    <w:p w14:paraId="45F0CAC0" w14:textId="77777777" w:rsidR="00565248" w:rsidRPr="00565248" w:rsidRDefault="00565248" w:rsidP="00565248">
      <w:pPr>
        <w:numPr>
          <w:ilvl w:val="0"/>
          <w:numId w:val="14"/>
        </w:numPr>
      </w:pPr>
      <w:r w:rsidRPr="00565248">
        <w:t xml:space="preserve">Potenciar las estrategias de stock y oferta en </w:t>
      </w:r>
      <w:r w:rsidRPr="00565248">
        <w:rPr>
          <w:b/>
          <w:bCs/>
        </w:rPr>
        <w:t>marzo y enero</w:t>
      </w:r>
      <w:r w:rsidRPr="00565248">
        <w:t>, donde se registran picos de ventas.</w:t>
      </w:r>
    </w:p>
    <w:p w14:paraId="419F06E9" w14:textId="47A7B8B7" w:rsidR="00565248" w:rsidRPr="00565248" w:rsidRDefault="00565248" w:rsidP="00565248">
      <w:r w:rsidRPr="00565248">
        <w:t xml:space="preserve"> </w:t>
      </w:r>
      <w:r w:rsidRPr="00565248">
        <w:rPr>
          <w:b/>
          <w:bCs/>
        </w:rPr>
        <w:t>Renovación del Equipo de Ventas</w:t>
      </w:r>
    </w:p>
    <w:p w14:paraId="0CD8E659" w14:textId="77777777" w:rsidR="00565248" w:rsidRPr="00565248" w:rsidRDefault="00565248" w:rsidP="00565248">
      <w:pPr>
        <w:numPr>
          <w:ilvl w:val="0"/>
          <w:numId w:val="15"/>
        </w:numPr>
      </w:pPr>
      <w:r w:rsidRPr="00565248">
        <w:t xml:space="preserve">Considerar la contratación de nuevos talentos para equilibrar la </w:t>
      </w:r>
      <w:r w:rsidRPr="00565248">
        <w:rPr>
          <w:b/>
          <w:bCs/>
        </w:rPr>
        <w:t>falta de empleados Junior</w:t>
      </w:r>
      <w:r w:rsidRPr="00565248">
        <w:t xml:space="preserve"> y asegurar la continuidad del equipo en el futuro.</w:t>
      </w:r>
    </w:p>
    <w:p w14:paraId="7809A5AB" w14:textId="77777777" w:rsidR="00565248" w:rsidRPr="00565248" w:rsidRDefault="00565248" w:rsidP="00565248">
      <w:pPr>
        <w:numPr>
          <w:ilvl w:val="0"/>
          <w:numId w:val="15"/>
        </w:numPr>
      </w:pPr>
      <w:r w:rsidRPr="00565248">
        <w:t>Implementar mentorías entre empleados senior y nuevas contrataciones para facilitar la transferencia de conocimientos.</w:t>
      </w:r>
    </w:p>
    <w:p w14:paraId="02D05A4E" w14:textId="77777777" w:rsidR="00E55F26" w:rsidRPr="00565248" w:rsidRDefault="00E55F26" w:rsidP="00243593"/>
    <w:sectPr w:rsidR="00E55F26" w:rsidRPr="00565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30D38"/>
    <w:multiLevelType w:val="multilevel"/>
    <w:tmpl w:val="988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1725D"/>
    <w:multiLevelType w:val="multilevel"/>
    <w:tmpl w:val="59684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93E2F"/>
    <w:multiLevelType w:val="multilevel"/>
    <w:tmpl w:val="C756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F72D3"/>
    <w:multiLevelType w:val="multilevel"/>
    <w:tmpl w:val="A6D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C3C59"/>
    <w:multiLevelType w:val="multilevel"/>
    <w:tmpl w:val="C9E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02A33"/>
    <w:multiLevelType w:val="multilevel"/>
    <w:tmpl w:val="60C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63270"/>
    <w:multiLevelType w:val="multilevel"/>
    <w:tmpl w:val="3DE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54D49"/>
    <w:multiLevelType w:val="multilevel"/>
    <w:tmpl w:val="6F40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23925"/>
    <w:multiLevelType w:val="multilevel"/>
    <w:tmpl w:val="13E0E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444E9"/>
    <w:multiLevelType w:val="multilevel"/>
    <w:tmpl w:val="CAA2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30D92"/>
    <w:multiLevelType w:val="multilevel"/>
    <w:tmpl w:val="8D348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445A3"/>
    <w:multiLevelType w:val="multilevel"/>
    <w:tmpl w:val="9BC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56E0C"/>
    <w:multiLevelType w:val="multilevel"/>
    <w:tmpl w:val="26D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809E2"/>
    <w:multiLevelType w:val="multilevel"/>
    <w:tmpl w:val="92D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B0B65"/>
    <w:multiLevelType w:val="multilevel"/>
    <w:tmpl w:val="BD38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611871">
    <w:abstractNumId w:val="0"/>
  </w:num>
  <w:num w:numId="2" w16cid:durableId="1379628722">
    <w:abstractNumId w:val="6"/>
  </w:num>
  <w:num w:numId="3" w16cid:durableId="234704877">
    <w:abstractNumId w:val="12"/>
  </w:num>
  <w:num w:numId="4" w16cid:durableId="1165899895">
    <w:abstractNumId w:val="14"/>
  </w:num>
  <w:num w:numId="5" w16cid:durableId="1243874311">
    <w:abstractNumId w:val="11"/>
  </w:num>
  <w:num w:numId="6" w16cid:durableId="855732396">
    <w:abstractNumId w:val="4"/>
  </w:num>
  <w:num w:numId="7" w16cid:durableId="1996181012">
    <w:abstractNumId w:val="9"/>
  </w:num>
  <w:num w:numId="8" w16cid:durableId="1583225128">
    <w:abstractNumId w:val="1"/>
  </w:num>
  <w:num w:numId="9" w16cid:durableId="1691103046">
    <w:abstractNumId w:val="8"/>
  </w:num>
  <w:num w:numId="10" w16cid:durableId="522204864">
    <w:abstractNumId w:val="10"/>
  </w:num>
  <w:num w:numId="11" w16cid:durableId="1893734238">
    <w:abstractNumId w:val="2"/>
  </w:num>
  <w:num w:numId="12" w16cid:durableId="1014846794">
    <w:abstractNumId w:val="3"/>
  </w:num>
  <w:num w:numId="13" w16cid:durableId="527840181">
    <w:abstractNumId w:val="7"/>
  </w:num>
  <w:num w:numId="14" w16cid:durableId="61948263">
    <w:abstractNumId w:val="13"/>
  </w:num>
  <w:num w:numId="15" w16cid:durableId="128058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98"/>
    <w:rsid w:val="00243593"/>
    <w:rsid w:val="003724EE"/>
    <w:rsid w:val="00565248"/>
    <w:rsid w:val="009C4845"/>
    <w:rsid w:val="00A15766"/>
    <w:rsid w:val="00DF5098"/>
    <w:rsid w:val="00E55F26"/>
    <w:rsid w:val="00E64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3C8A"/>
  <w15:chartTrackingRefBased/>
  <w15:docId w15:val="{A841D59A-4363-49B3-BE5A-6C08BB41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5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50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50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50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50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50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50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50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0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50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50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50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50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50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50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50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5098"/>
    <w:rPr>
      <w:rFonts w:eastAsiaTheme="majorEastAsia" w:cstheme="majorBidi"/>
      <w:color w:val="272727" w:themeColor="text1" w:themeTint="D8"/>
    </w:rPr>
  </w:style>
  <w:style w:type="paragraph" w:styleId="Ttulo">
    <w:name w:val="Title"/>
    <w:basedOn w:val="Normal"/>
    <w:next w:val="Normal"/>
    <w:link w:val="TtuloCar"/>
    <w:uiPriority w:val="10"/>
    <w:qFormat/>
    <w:rsid w:val="00DF5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50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50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50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5098"/>
    <w:pPr>
      <w:spacing w:before="160"/>
      <w:jc w:val="center"/>
    </w:pPr>
    <w:rPr>
      <w:i/>
      <w:iCs/>
      <w:color w:val="404040" w:themeColor="text1" w:themeTint="BF"/>
    </w:rPr>
  </w:style>
  <w:style w:type="character" w:customStyle="1" w:styleId="CitaCar">
    <w:name w:val="Cita Car"/>
    <w:basedOn w:val="Fuentedeprrafopredeter"/>
    <w:link w:val="Cita"/>
    <w:uiPriority w:val="29"/>
    <w:rsid w:val="00DF5098"/>
    <w:rPr>
      <w:i/>
      <w:iCs/>
      <w:color w:val="404040" w:themeColor="text1" w:themeTint="BF"/>
    </w:rPr>
  </w:style>
  <w:style w:type="paragraph" w:styleId="Prrafodelista">
    <w:name w:val="List Paragraph"/>
    <w:basedOn w:val="Normal"/>
    <w:uiPriority w:val="34"/>
    <w:qFormat/>
    <w:rsid w:val="00DF5098"/>
    <w:pPr>
      <w:ind w:left="720"/>
      <w:contextualSpacing/>
    </w:pPr>
  </w:style>
  <w:style w:type="character" w:styleId="nfasisintenso">
    <w:name w:val="Intense Emphasis"/>
    <w:basedOn w:val="Fuentedeprrafopredeter"/>
    <w:uiPriority w:val="21"/>
    <w:qFormat/>
    <w:rsid w:val="00DF5098"/>
    <w:rPr>
      <w:i/>
      <w:iCs/>
      <w:color w:val="0F4761" w:themeColor="accent1" w:themeShade="BF"/>
    </w:rPr>
  </w:style>
  <w:style w:type="paragraph" w:styleId="Citadestacada">
    <w:name w:val="Intense Quote"/>
    <w:basedOn w:val="Normal"/>
    <w:next w:val="Normal"/>
    <w:link w:val="CitadestacadaCar"/>
    <w:uiPriority w:val="30"/>
    <w:qFormat/>
    <w:rsid w:val="00DF5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5098"/>
    <w:rPr>
      <w:i/>
      <w:iCs/>
      <w:color w:val="0F4761" w:themeColor="accent1" w:themeShade="BF"/>
    </w:rPr>
  </w:style>
  <w:style w:type="character" w:styleId="Referenciaintensa">
    <w:name w:val="Intense Reference"/>
    <w:basedOn w:val="Fuentedeprrafopredeter"/>
    <w:uiPriority w:val="32"/>
    <w:qFormat/>
    <w:rsid w:val="00DF50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83504">
      <w:bodyDiv w:val="1"/>
      <w:marLeft w:val="0"/>
      <w:marRight w:val="0"/>
      <w:marTop w:val="0"/>
      <w:marBottom w:val="0"/>
      <w:divBdr>
        <w:top w:val="none" w:sz="0" w:space="0" w:color="auto"/>
        <w:left w:val="none" w:sz="0" w:space="0" w:color="auto"/>
        <w:bottom w:val="none" w:sz="0" w:space="0" w:color="auto"/>
        <w:right w:val="none" w:sz="0" w:space="0" w:color="auto"/>
      </w:divBdr>
    </w:div>
    <w:div w:id="316421515">
      <w:bodyDiv w:val="1"/>
      <w:marLeft w:val="0"/>
      <w:marRight w:val="0"/>
      <w:marTop w:val="0"/>
      <w:marBottom w:val="0"/>
      <w:divBdr>
        <w:top w:val="none" w:sz="0" w:space="0" w:color="auto"/>
        <w:left w:val="none" w:sz="0" w:space="0" w:color="auto"/>
        <w:bottom w:val="none" w:sz="0" w:space="0" w:color="auto"/>
        <w:right w:val="none" w:sz="0" w:space="0" w:color="auto"/>
      </w:divBdr>
    </w:div>
    <w:div w:id="638344135">
      <w:bodyDiv w:val="1"/>
      <w:marLeft w:val="0"/>
      <w:marRight w:val="0"/>
      <w:marTop w:val="0"/>
      <w:marBottom w:val="0"/>
      <w:divBdr>
        <w:top w:val="none" w:sz="0" w:space="0" w:color="auto"/>
        <w:left w:val="none" w:sz="0" w:space="0" w:color="auto"/>
        <w:bottom w:val="none" w:sz="0" w:space="0" w:color="auto"/>
        <w:right w:val="none" w:sz="0" w:space="0" w:color="auto"/>
      </w:divBdr>
    </w:div>
    <w:div w:id="814301857">
      <w:bodyDiv w:val="1"/>
      <w:marLeft w:val="0"/>
      <w:marRight w:val="0"/>
      <w:marTop w:val="0"/>
      <w:marBottom w:val="0"/>
      <w:divBdr>
        <w:top w:val="none" w:sz="0" w:space="0" w:color="auto"/>
        <w:left w:val="none" w:sz="0" w:space="0" w:color="auto"/>
        <w:bottom w:val="none" w:sz="0" w:space="0" w:color="auto"/>
        <w:right w:val="none" w:sz="0" w:space="0" w:color="auto"/>
      </w:divBdr>
    </w:div>
    <w:div w:id="1078793557">
      <w:bodyDiv w:val="1"/>
      <w:marLeft w:val="0"/>
      <w:marRight w:val="0"/>
      <w:marTop w:val="0"/>
      <w:marBottom w:val="0"/>
      <w:divBdr>
        <w:top w:val="none" w:sz="0" w:space="0" w:color="auto"/>
        <w:left w:val="none" w:sz="0" w:space="0" w:color="auto"/>
        <w:bottom w:val="none" w:sz="0" w:space="0" w:color="auto"/>
        <w:right w:val="none" w:sz="0" w:space="0" w:color="auto"/>
      </w:divBdr>
    </w:div>
    <w:div w:id="1442799554">
      <w:bodyDiv w:val="1"/>
      <w:marLeft w:val="0"/>
      <w:marRight w:val="0"/>
      <w:marTop w:val="0"/>
      <w:marBottom w:val="0"/>
      <w:divBdr>
        <w:top w:val="none" w:sz="0" w:space="0" w:color="auto"/>
        <w:left w:val="none" w:sz="0" w:space="0" w:color="auto"/>
        <w:bottom w:val="none" w:sz="0" w:space="0" w:color="auto"/>
        <w:right w:val="none" w:sz="0" w:space="0" w:color="auto"/>
      </w:divBdr>
    </w:div>
    <w:div w:id="1553419003">
      <w:bodyDiv w:val="1"/>
      <w:marLeft w:val="0"/>
      <w:marRight w:val="0"/>
      <w:marTop w:val="0"/>
      <w:marBottom w:val="0"/>
      <w:divBdr>
        <w:top w:val="none" w:sz="0" w:space="0" w:color="auto"/>
        <w:left w:val="none" w:sz="0" w:space="0" w:color="auto"/>
        <w:bottom w:val="none" w:sz="0" w:space="0" w:color="auto"/>
        <w:right w:val="none" w:sz="0" w:space="0" w:color="auto"/>
      </w:divBdr>
    </w:div>
    <w:div w:id="194322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1309</Words>
  <Characters>7200</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Ordóñez</dc:creator>
  <cp:keywords/>
  <dc:description/>
  <cp:lastModifiedBy>Miguel Ángel Ordóñez</cp:lastModifiedBy>
  <cp:revision>5</cp:revision>
  <dcterms:created xsi:type="dcterms:W3CDTF">2025-03-11T08:47:00Z</dcterms:created>
  <dcterms:modified xsi:type="dcterms:W3CDTF">2025-03-12T10:34:00Z</dcterms:modified>
</cp:coreProperties>
</file>