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21" w:rsidRPr="00055F21" w:rsidRDefault="00055F21" w:rsidP="00055F21">
      <w:pPr>
        <w:rPr>
          <w:rFonts w:ascii="Arial Rounded MT Bold" w:hAnsi="Arial Rounded MT Bold"/>
          <w:color w:val="000000" w:themeColor="text1"/>
          <w:sz w:val="28"/>
          <w:szCs w:val="28"/>
        </w:rPr>
      </w:pPr>
      <w:r w:rsidRPr="00055F21">
        <w:rPr>
          <w:rFonts w:ascii="Arial Rounded MT Bold" w:hAnsi="Arial Rounded MT Bold"/>
          <w:color w:val="000000" w:themeColor="text1"/>
          <w:sz w:val="28"/>
          <w:szCs w:val="28"/>
        </w:rPr>
        <w:t>Lara Sophia Lopes Silva 1ºDS</w:t>
      </w:r>
      <w:bookmarkStart w:id="0" w:name="_GoBack"/>
      <w:bookmarkEnd w:id="0"/>
    </w:p>
    <w:p w:rsidR="00055F21" w:rsidRDefault="00055F21" w:rsidP="00055F21">
      <w:pPr>
        <w:jc w:val="center"/>
        <w:rPr>
          <w:rFonts w:ascii="Arial Rounded MT Bold" w:hAnsi="Arial Rounded MT Bold"/>
          <w:color w:val="3366FF"/>
          <w:sz w:val="44"/>
          <w:szCs w:val="44"/>
        </w:rPr>
      </w:pPr>
      <w:r w:rsidRPr="00055F21">
        <w:rPr>
          <w:rFonts w:ascii="Arial Rounded MT Bold" w:hAnsi="Arial Rounded MT Bold"/>
          <w:color w:val="3366FF"/>
          <w:sz w:val="44"/>
          <w:szCs w:val="44"/>
        </w:rPr>
        <w:t>Generalização e Especialização</w:t>
      </w:r>
    </w:p>
    <w:p w:rsidR="00055F21" w:rsidRDefault="00055F21" w:rsidP="00055F21">
      <w:pPr>
        <w:rPr>
          <w:rFonts w:ascii="Arial Rounded MT Bold" w:hAnsi="Arial Rounded MT Bold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055F21">
        <w:rPr>
          <w:rFonts w:ascii="Arial Rounded MT Bold" w:hAnsi="Arial Rounded MT Bold"/>
          <w:sz w:val="28"/>
          <w:szCs w:val="28"/>
          <w:shd w:val="clear" w:color="auto" w:fill="FFFFFF"/>
        </w:rPr>
        <w:t>A </w:t>
      </w:r>
      <w:r w:rsidRPr="00055F21">
        <w:rPr>
          <w:rFonts w:ascii="Arial Rounded MT Bold" w:hAnsi="Arial Rounded MT Bold"/>
          <w:sz w:val="28"/>
          <w:szCs w:val="28"/>
        </w:rPr>
        <w:t>generalização</w:t>
      </w:r>
      <w:r w:rsidRPr="00055F21">
        <w:rPr>
          <w:rFonts w:ascii="Arial Rounded MT Bold" w:hAnsi="Arial Rounded MT Bold"/>
          <w:sz w:val="28"/>
          <w:szCs w:val="28"/>
          <w:shd w:val="clear" w:color="auto" w:fill="FFFFFF"/>
        </w:rPr>
        <w:t> e a </w:t>
      </w:r>
      <w:r w:rsidRPr="00055F21">
        <w:rPr>
          <w:rFonts w:ascii="Arial Rounded MT Bold" w:hAnsi="Arial Rounded MT Bold"/>
          <w:sz w:val="28"/>
          <w:szCs w:val="28"/>
        </w:rPr>
        <w:t>especialização</w:t>
      </w:r>
      <w:r w:rsidRPr="00055F21">
        <w:rPr>
          <w:rFonts w:ascii="Arial Rounded MT Bold" w:hAnsi="Arial Rounded MT Bold"/>
          <w:sz w:val="28"/>
          <w:szCs w:val="28"/>
          <w:shd w:val="clear" w:color="auto" w:fill="FFFFFF"/>
        </w:rPr>
        <w:t> são </w:t>
      </w:r>
      <w:r w:rsidRPr="00055F21">
        <w:rPr>
          <w:rFonts w:ascii="Arial Rounded MT Bold" w:hAnsi="Arial Rounded MT Bold"/>
          <w:sz w:val="28"/>
          <w:szCs w:val="28"/>
        </w:rPr>
        <w:t>conceitos</w:t>
      </w:r>
      <w:r w:rsidRPr="00055F21">
        <w:rPr>
          <w:rFonts w:ascii="Arial Rounded MT Bold" w:hAnsi="Arial Rounded MT Bold"/>
          <w:sz w:val="28"/>
          <w:szCs w:val="28"/>
          <w:shd w:val="clear" w:color="auto" w:fill="FFFFFF"/>
        </w:rPr>
        <w:t> usados para representar objetos do mundo real que possuem os mesmos atributos e que podem ser categorizados e que podem ser representados em uma hierarquia que mostra as dependências entre entidades de uma mesma categoria.</w:t>
      </w:r>
    </w:p>
    <w:p w:rsidR="00055F21" w:rsidRDefault="00055F21" w:rsidP="00055F21">
      <w:pPr>
        <w:rPr>
          <w:rFonts w:ascii="Arial Rounded MT Bold" w:hAnsi="Arial Rounded MT Bold"/>
          <w:sz w:val="28"/>
          <w:szCs w:val="28"/>
          <w:shd w:val="clear" w:color="auto" w:fill="FFFFFF"/>
        </w:rPr>
      </w:pPr>
    </w:p>
    <w:p w:rsidR="00055F21" w:rsidRDefault="00055F21" w:rsidP="00055F21">
      <w:pPr>
        <w:rPr>
          <w:rFonts w:ascii="Arial Rounded MT Bold" w:hAnsi="Arial Rounded MT Bold"/>
          <w:color w:val="3366FF"/>
          <w:sz w:val="28"/>
          <w:szCs w:val="28"/>
        </w:rPr>
      </w:pPr>
      <w:r>
        <w:rPr>
          <w:rFonts w:ascii="Arial Rounded MT Bold" w:hAnsi="Arial Rounded MT Bold"/>
          <w:color w:val="3366FF"/>
          <w:sz w:val="28"/>
          <w:szCs w:val="28"/>
        </w:rPr>
        <w:t>Diferença entre Generalização e Especialização</w:t>
      </w:r>
    </w:p>
    <w:p w:rsidR="00055F21" w:rsidRDefault="00055F21" w:rsidP="00055F21">
      <w:r>
        <w:rPr>
          <w:rFonts w:ascii="Arial Rounded MT Bold" w:hAnsi="Arial Rounded MT Bold" w:cs="Arial"/>
          <w:color w:val="000000" w:themeColor="text1"/>
          <w:sz w:val="28"/>
          <w:szCs w:val="28"/>
          <w:shd w:val="clear" w:color="auto" w:fill="FFFFFF"/>
        </w:rPr>
        <w:t>D</w:t>
      </w:r>
      <w:r w:rsidRPr="00055F21">
        <w:rPr>
          <w:rFonts w:ascii="Arial Rounded MT Bold" w:hAnsi="Arial Rounded MT Bold" w:cs="Arial"/>
          <w:color w:val="000000" w:themeColor="text1"/>
          <w:sz w:val="28"/>
          <w:szCs w:val="28"/>
          <w:shd w:val="clear" w:color="auto" w:fill="FFFFFF"/>
        </w:rPr>
        <w:t>evemos usar a Generalização e criar uma entidade mãe que contenha os atributos comuns às outras entidades especializadas. </w:t>
      </w:r>
      <w:r w:rsidRPr="00055F21">
        <w:rPr>
          <w:rFonts w:ascii="Arial Rounded MT Bold" w:hAnsi="Arial Rounded MT Bold"/>
          <w:color w:val="000000" w:themeColor="text1"/>
          <w:sz w:val="28"/>
          <w:szCs w:val="28"/>
        </w:rPr>
        <w:t>Uso da Especialização é indicado quando temos atributos específicos para um determinado subconjunto de ocorrências dentro de uma Entidade</w:t>
      </w:r>
      <w:r w:rsidRPr="00055F21">
        <w:t>.</w:t>
      </w:r>
    </w:p>
    <w:p w:rsidR="00055F21" w:rsidRDefault="00055F21" w:rsidP="00055F21">
      <w:r>
        <w:t xml:space="preserve"> </w:t>
      </w:r>
    </w:p>
    <w:p w:rsidR="00055F21" w:rsidRDefault="00055F21" w:rsidP="00055F21">
      <w:pPr>
        <w:rPr>
          <w:rFonts w:ascii="Arial Rounded MT Bold" w:hAnsi="Arial Rounded MT Bold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sz w:val="28"/>
          <w:szCs w:val="28"/>
          <w:shd w:val="clear" w:color="auto" w:fill="FFFFFF"/>
        </w:rPr>
        <w:t>Exemplo:</w:t>
      </w:r>
    </w:p>
    <w:p w:rsidR="00055F21" w:rsidRDefault="00055F21" w:rsidP="00055F21">
      <w:pPr>
        <w:rPr>
          <w:rFonts w:ascii="Arial Rounded MT Bold" w:hAnsi="Arial Rounded MT Bol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400040" cy="3774324"/>
            <wp:effectExtent l="0" t="0" r="0" b="0"/>
            <wp:docPr id="1" name="Imagem 1" descr="Banco de dados: Generalização e especialização na Modelagem 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co de dados: Generalização e especialização na Modelagem Conceitu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21" w:rsidRPr="00055F21" w:rsidRDefault="00055F21" w:rsidP="00055F21">
      <w:pPr>
        <w:rPr>
          <w:rFonts w:ascii="Arial Rounded MT Bold" w:hAnsi="Arial Rounded MT Bold"/>
          <w:sz w:val="28"/>
          <w:szCs w:val="28"/>
        </w:rPr>
      </w:pPr>
    </w:p>
    <w:sectPr w:rsidR="00055F21" w:rsidRPr="00055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21"/>
    <w:rsid w:val="000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3444"/>
  <w15:chartTrackingRefBased/>
  <w15:docId w15:val="{94151A2C-8FED-4579-AAB1-02EAA33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55F2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5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2024-08-16T10:27:00Z</dcterms:created>
  <dcterms:modified xsi:type="dcterms:W3CDTF">2024-08-16T10:36:00Z</dcterms:modified>
</cp:coreProperties>
</file>