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0"/>
          <w:szCs w:val="40"/>
        </w:rPr>
        <w:t xml:space="preserve">CAHIER DES CHARGES</w:t>
      </w:r>
    </w:p>
    <w:p>
      <w:pPr>
        <w:spacing w:after="400" w:before="200"/>
        <w:jc w:val="center"/>
      </w:pPr>
      <w:r>
        <w:rPr>
          <w:i/>
          <w:iCs/>
          <w:color w:val="555555"/>
          <w:sz w:val="24"/>
          <w:szCs w:val="24"/>
        </w:rPr>
        <w:t xml:space="preserve">Projet Fil Rouge — Formation ML / DL / LLM / Agents / RAG</w:t>
      </w:r>
    </w:p>
    <w:p>
      <w:pPr>
        <w:spacing w:after="100" w:before="400"/>
        <w:jc w:val="center"/>
      </w:pPr>
      <w:r>
        <w:rPr>
          <w:b/>
          <w:bCs/>
          <w:color w:val="2E74B5"/>
          <w:sz w:val="34"/>
          <w:szCs w:val="34"/>
        </w:rPr>
        <w:t xml:space="preserve">CompetencyMentor AI</w:t>
      </w:r>
    </w:p>
    <w:p>
      <w:pPr>
        <w:spacing w:after="600"/>
        <w:jc w:val="center"/>
      </w:pPr>
      <w:r>
        <w:rPr>
          <w:color w:val="555555"/>
          <w:sz w:val="22"/>
          <w:szCs w:val="22"/>
        </w:rPr>
        <w:t xml:space="preserve">Assistant IA d'évaluation de compétences par l'analyse de code, aligné sur le référentiel pédagogique (CDA)</w:t>
      </w:r>
    </w:p>
    <w:p>
      <w:pPr>
        <w:spacing w:before="800"/>
        <w:jc w:val="center"/>
      </w:pPr>
      <w:r>
        <w:rPr>
          <w:sz w:val="22"/>
          <w:szCs w:val="22"/>
        </w:rPr>
        <w:t xml:space="preserve">Organisme de formation : Simplon / YouCode</w:t>
      </w:r>
    </w:p>
    <w:p>
      <w:pPr>
        <w:jc w:val="center"/>
      </w:pPr>
      <w:r>
        <w:rPr>
          <w:sz w:val="22"/>
          <w:szCs w:val="22"/>
        </w:rPr>
        <w:t xml:space="preserve">Profil : Développeur Full-Stack MERN &amp; Formateur</w:t>
      </w:r>
    </w:p>
    <w:p>
      <w:pPr>
        <w:spacing w:before="400"/>
        <w:jc w:val="center"/>
      </w:pPr>
      <w:r>
        <w:rPr>
          <w:sz w:val="22"/>
          <w:szCs w:val="22"/>
        </w:rPr>
        <w:t xml:space="preserve">Durée du projet : ~14 jours</w:t>
      </w:r>
    </w:p>
    <w:p>
      <w:r>
        <w:br w:type="page"/>
      </w:r>
    </w:p>
    <w:p>
      <w:pPr>
        <w:pStyle w:val="Heading1"/>
        <w:spacing w:after="160" w:before="360"/>
      </w:pPr>
      <w:r>
        <w:rPr>
          <w:b/>
          <w:bCs/>
          <w:color w:val="1F3864"/>
          <w:sz w:val="30"/>
          <w:szCs w:val="30"/>
        </w:rPr>
        <w:t xml:space="preserve">1. Contexte et objectifs</w:t>
      </w:r>
    </w:p>
    <w:p>
      <w:pPr>
        <w:spacing w:after="140" w:line="276"/>
      </w:pPr>
      <w:r>
        <w:rPr>
          <w:sz w:val="22"/>
          <w:szCs w:val="22"/>
        </w:rPr>
        <w:t xml:space="preserve">Ce projet conclut le parcours de formation couvrant le Machine Learning, le Deep Learning, le NLP, les LLM, les agents intelligents, le RAG et les bonnes pratiques MLOps. Il est réalisé de façon individuelle, de bout en bout.</w:t>
      </w:r>
    </w:p>
    <w:p>
      <w:pPr>
        <w:spacing w:after="140" w:line="276"/>
      </w:pPr>
      <w:r>
        <w:rPr>
          <w:sz w:val="22"/>
          <w:szCs w:val="22"/>
        </w:rPr>
        <w:t xml:space="preserve">Le porteur du projet est développeur full-stack MERN et formateur au sein d'un organisme de formation (Simplon / YouCode). Le sujet choisi s'appuie directement sur ce contexte professionnel : la pédagogie de l'organisme repose sur des briefs projets associés à un référentiel de compétences (CDA), évalués par les formateurs sur 3 niveaux d'acquisition.</w:t>
      </w:r>
    </w:p>
    <w:p>
      <w:pPr>
        <w:pStyle w:val="Heading2"/>
        <w:spacing w:after="120" w:before="260"/>
      </w:pPr>
      <w:r>
        <w:rPr>
          <w:b/>
          <w:bCs/>
          <w:color w:val="1F3864"/>
          <w:sz w:val="24"/>
          <w:szCs w:val="24"/>
        </w:rPr>
        <w:t xml:space="preserve">Objectifs pédagogiques du fil rouge</w:t>
      </w:r>
    </w:p>
    <w:p>
      <w:pPr>
        <w:pStyle w:val="ListParagraph"/>
        <w:numPr>
          <w:ilvl w:val="0"/>
          <w:numId w:val="2"/>
        </w:numPr>
        <w:spacing w:after="80"/>
      </w:pPr>
      <w:r>
        <w:rPr>
          <w:sz w:val="22"/>
          <w:szCs w:val="22"/>
        </w:rPr>
        <w:t xml:space="preserve">Mettre en pratique les compétences acquises durant la formation sur un cas concret et réaliste.</w:t>
      </w:r>
    </w:p>
    <w:p>
      <w:pPr>
        <w:pStyle w:val="ListParagraph"/>
        <w:numPr>
          <w:ilvl w:val="0"/>
          <w:numId w:val="2"/>
        </w:numPr>
        <w:spacing w:after="80"/>
      </w:pPr>
      <w:r>
        <w:rPr>
          <w:sz w:val="22"/>
          <w:szCs w:val="22"/>
        </w:rPr>
        <w:t xml:space="preserve">Démontrer la capacité à mener un projet data/IA complet : cadrage, données, modélisation, évaluation, déploiement.</w:t>
      </w:r>
    </w:p>
    <w:p>
      <w:pPr>
        <w:pStyle w:val="ListParagraph"/>
        <w:numPr>
          <w:ilvl w:val="0"/>
          <w:numId w:val="2"/>
        </w:numPr>
        <w:spacing w:after="80"/>
      </w:pPr>
      <w:r>
        <w:rPr>
          <w:sz w:val="22"/>
          <w:szCs w:val="22"/>
        </w:rPr>
        <w:t xml:space="preserve">Intégrer un modèle prédictif (ML/DL) avec un système LLM (Agent) dans une solution cohérente.</w:t>
      </w:r>
    </w:p>
    <w:p>
      <w:pPr>
        <w:pStyle w:val="ListParagraph"/>
        <w:numPr>
          <w:ilvl w:val="0"/>
          <w:numId w:val="2"/>
        </w:numPr>
        <w:spacing w:after="80"/>
      </w:pPr>
      <w:r>
        <w:rPr>
          <w:sz w:val="22"/>
          <w:szCs w:val="22"/>
        </w:rPr>
        <w:t xml:space="preserve">Produire un livrable présentable (GitHub, démo).</w:t>
      </w:r>
    </w:p>
    <w:p>
      <w:pPr>
        <w:pStyle w:val="Heading2"/>
        <w:spacing w:after="120" w:before="260"/>
      </w:pPr>
      <w:r>
        <w:rPr>
          <w:b/>
          <w:bCs/>
          <w:color w:val="1F3864"/>
          <w:sz w:val="24"/>
          <w:szCs w:val="24"/>
        </w:rPr>
        <w:t xml:space="preserve">Objectif métier du projet</w:t>
      </w:r>
    </w:p>
    <w:p>
      <w:pPr>
        <w:spacing w:after="140" w:line="276"/>
      </w:pPr>
      <w:r>
        <w:rPr>
          <w:sz w:val="22"/>
          <w:szCs w:val="22"/>
        </w:rPr>
        <w:t xml:space="preserve">Réduire le temps de correction manuelle des formateurs et accélérer le feedback aux apprenants, en automatisant une première évaluation du niveau d'acquisition des compétences visées par un brief, à partir du code soumis — tout en gardant l'humain (formateur) dans la boucle de validation.</w:t>
      </w:r>
    </w:p>
    <w:p>
      <w:pPr>
        <w:pStyle w:val="Heading1"/>
        <w:spacing w:after="160" w:before="360"/>
      </w:pPr>
      <w:r>
        <w:rPr>
          <w:b/>
          <w:bCs/>
          <w:color w:val="1F3864"/>
          <w:sz w:val="30"/>
          <w:szCs w:val="30"/>
        </w:rPr>
        <w:t xml:space="preserve">2. Problématique et valeur métier</w:t>
      </w:r>
    </w:p>
    <w:p>
      <w:pPr>
        <w:spacing w:after="140" w:line="276"/>
      </w:pPr>
      <w:r>
        <w:rPr>
          <w:sz w:val="22"/>
          <w:szCs w:val="22"/>
        </w:rPr>
        <w:t xml:space="preserve">Dans un centre de formation au développement (Simplon/YouCode), chaque brief projet vise un sous-ensemble de compétences du référentiel officiel (ex. référentiel "Concepteur Développeur d'Application"). Le formateur doit, pour chaque apprenant et chaque brief, évaluer si la compétence est acquise, et à quel niveau (1, 2 ou 3). Cette évaluation est aujourd'hui manuelle, chronophage, et peu tracée dans le temps.</w:t>
      </w:r>
    </w:p>
    <w:p>
      <w:pPr>
        <w:spacing w:after="100"/>
      </w:pPr>
      <w:r>
        <w:rPr>
          <w:b/>
          <w:bCs/>
          <w:sz w:val="22"/>
          <w:szCs w:val="22"/>
        </w:rPr>
        <w:t xml:space="preserve">Utilisateurs cibles : </w:t>
      </w:r>
      <w:r>
        <w:rPr>
          <w:sz w:val="22"/>
          <w:szCs w:val="22"/>
        </w:rPr>
        <w:t xml:space="preserve">apprenants (feedback individuel et pistes de progression), formateurs (aide à la correction, vue d'ensemble de classe), équipe/direction pédagogique (suivi d'acquisition des compétences, conformité au référentiel).</w:t>
      </w:r>
    </w:p>
    <w:p>
      <w:pPr>
        <w:spacing w:after="100"/>
      </w:pPr>
      <w:r>
        <w:rPr>
          <w:b/>
          <w:bCs/>
          <w:sz w:val="22"/>
          <w:szCs w:val="22"/>
        </w:rPr>
        <w:t xml:space="preserve">Valeur métier : </w:t>
      </w:r>
      <w:r>
        <w:rPr>
          <w:sz w:val="22"/>
          <w:szCs w:val="22"/>
        </w:rPr>
        <w:t xml:space="preserve">gain de temps de correction, feedback instantané et personnalisé pour les apprenants, traçabilité de l'acquisition des compétences pour la direction pédagogique, système réutilisable sur d'autres briefs et d'autres branches/référentiels.</w:t>
      </w:r>
    </w:p>
    <w:p>
      <w:pPr>
        <w:pStyle w:val="Heading1"/>
        <w:spacing w:after="160" w:before="360"/>
      </w:pPr>
      <w:r>
        <w:rPr>
          <w:b/>
          <w:bCs/>
          <w:color w:val="1F3864"/>
          <w:sz w:val="30"/>
          <w:szCs w:val="30"/>
        </w:rPr>
        <w:t xml:space="preserve">3. Composition du projet (Bloc 1 + Bloc 2)</w:t>
      </w:r>
    </w:p>
    <w:p>
      <w:pPr>
        <w:spacing w:after="140" w:line="276"/>
      </w:pPr>
      <w:r>
        <w:rPr>
          <w:sz w:val="22"/>
          <w:szCs w:val="22"/>
        </w:rPr>
        <w:t xml:space="preserve">Conformément à la règle de composition obligatoire, le projet associe un modèle Machine Learning (Bloc 1) à un système Agent LLM (Bloc 2), réellement intégrés dans un même cas d'usage : l'évaluation du niveau d'acquisition de compétences à partir d'un livrable de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Bloc</w:t>
            </w:r>
          </w:p>
        </w:tc>
        <w:tc>
          <w:tcPr>
            <w:tcW w:type="dxa" w:w="3200"/>
            <w:shd w:fill="1F3864" w:val="clear"/>
            <w:tcMar>
              <w:top w:type="dxa" w:w="80"/>
              <w:left w:type="dxa" w:w="100"/>
              <w:bottom w:type="dxa" w:w="80"/>
              <w:right w:type="dxa" w:w="100"/>
            </w:tcMar>
          </w:tcPr>
          <w:p>
            <w:r>
              <w:rPr>
                <w:b/>
                <w:bCs/>
                <w:color w:val="FFFFFF"/>
                <w:sz w:val="20"/>
                <w:szCs w:val="20"/>
              </w:rPr>
              <w:t xml:space="preserve">Contenu</w:t>
            </w:r>
          </w:p>
        </w:tc>
        <w:tc>
          <w:tcPr>
            <w:tcW w:type="dxa" w:w="3600"/>
            <w:shd w:fill="1F3864" w:val="clear"/>
            <w:tcMar>
              <w:top w:type="dxa" w:w="80"/>
              <w:left w:type="dxa" w:w="100"/>
              <w:bottom w:type="dxa" w:w="80"/>
              <w:right w:type="dxa" w:w="100"/>
            </w:tcMar>
          </w:tcPr>
          <w:p>
            <w:r>
              <w:rPr>
                <w:b/>
                <w:bCs/>
                <w:color w:val="FFFFFF"/>
                <w:sz w:val="20"/>
                <w:szCs w:val="20"/>
              </w:rPr>
              <w:t xml:space="preserve">Rôle dans CompetencyMentor AI</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Bloc 1 — ML</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Classification multi-label</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Prédit, pour les compétences C2 et C3, le niveau d'acquisition (Non acquis / N1 / N2 / N3) à partir de features extraites du code.</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Bloc 2 — Agent LLM</w:t>
            </w:r>
          </w:p>
        </w:tc>
        <w:tc>
          <w:tcPr>
            <w:tcW w:type="dxa" w:w="3200"/>
            <w:shd w:fill="FFFFFF" w:val="clear"/>
            <w:tcMar>
              <w:top w:type="dxa" w:w="80"/>
              <w:left w:type="dxa" w:w="100"/>
              <w:bottom w:type="dxa" w:w="80"/>
              <w:right w:type="dxa" w:w="100"/>
            </w:tcMar>
          </w:tcPr>
          <w:p>
            <w:r>
              <w:rPr>
                <w:b w:val="false"/>
                <w:bCs w:val="false"/>
                <w:color w:val="000000"/>
                <w:sz w:val="20"/>
                <w:szCs w:val="20"/>
              </w:rPr>
              <w:t xml:space="preserve">Raisonnement, outils, mémoire, orchestration</w:t>
            </w:r>
          </w:p>
        </w:tc>
        <w:tc>
          <w:tcPr>
            <w:tcW w:type="dxa" w:w="3600"/>
            <w:shd w:fill="FFFFFF" w:val="clear"/>
            <w:tcMar>
              <w:top w:type="dxa" w:w="80"/>
              <w:left w:type="dxa" w:w="100"/>
              <w:bottom w:type="dxa" w:w="80"/>
              <w:right w:type="dxa" w:w="100"/>
            </w:tcMar>
          </w:tcPr>
          <w:p>
            <w:r>
              <w:rPr>
                <w:b w:val="false"/>
                <w:bCs w:val="false"/>
                <w:color w:val="000000"/>
                <w:sz w:val="20"/>
                <w:szCs w:val="20"/>
              </w:rPr>
              <w:t xml:space="preserve">Évalue les compétences "à froid" (nouvellement créées par un formateur), exécute des vérifications, génère un feedback personnalisé par audience et alimente la boucle d'amélioration continue.</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Bloc 3 — MLOps (bonus)</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Conteneurisation, suivi d'expériences</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Dockerfile, tracking simple des versions du modèle Bloc 1, script de ré-entraînement à partir des corrections formateurs.</w:t>
            </w:r>
          </w:p>
        </w:tc>
      </w:tr>
    </w:tbl>
    <w:p>
      <w:pPr>
        <w:spacing w:after="200"/>
      </w:pPr>
    </w:p>
    <w:p>
      <w:pPr>
        <w:spacing w:after="140" w:line="276"/>
      </w:pPr>
      <w:r>
        <w:rPr>
          <w:sz w:val="22"/>
          <w:szCs w:val="22"/>
        </w:rPr>
        <w:t xml:space="preserve">Point clé d'intégration : le score du Bloc 1 est transmis en entrée de l'agent du Bloc 2, qui l'enrichit, le contextualise (via le brief et le référentiel) et produit la réponse finale destinée à l'utilisateur. Les deux blocs partagent la même base de compétences/brief et le même pipeline de données — ils ne sont pas juxtaposés artificiellement.</w:t>
      </w:r>
    </w:p>
    <w:p>
      <w:pPr>
        <w:pStyle w:val="Heading1"/>
        <w:spacing w:after="160" w:before="360"/>
      </w:pPr>
      <w:r>
        <w:rPr>
          <w:b/>
          <w:bCs/>
          <w:color w:val="1F3864"/>
          <w:sz w:val="30"/>
          <w:szCs w:val="30"/>
        </w:rPr>
        <w:t xml:space="preserve">4. Périmètre fonctionnel du MVP (14 jours)</w:t>
      </w:r>
    </w:p>
    <w:p>
      <w:pPr>
        <w:pStyle w:val="Heading2"/>
        <w:spacing w:after="120" w:before="260"/>
      </w:pPr>
      <w:r>
        <w:rPr>
          <w:b/>
          <w:bCs/>
          <w:color w:val="1F3864"/>
          <w:sz w:val="24"/>
          <w:szCs w:val="24"/>
        </w:rPr>
        <w:t xml:space="preserve">4.1 Briefs retenus</w:t>
      </w:r>
    </w:p>
    <w:p>
      <w:pPr>
        <w:spacing w:after="140" w:line="276"/>
      </w:pPr>
      <w:r>
        <w:rPr>
          <w:sz w:val="22"/>
          <w:szCs w:val="22"/>
        </w:rPr>
        <w:t xml:space="preserve">Le référentiel de compétences est générique et paramétrable (voir 4.3), mais pour rendre le projet réalisable dans le délai imparti, le MVP est démontré sur 2 briefs réels de la promotion JS 2025-2026 :</w:t>
      </w:r>
    </w:p>
    <w:p>
      <w:pPr>
        <w:pStyle w:val="ListParagraph"/>
        <w:numPr>
          <w:ilvl w:val="0"/>
          <w:numId w:val="2"/>
        </w:numPr>
        <w:spacing w:after="80"/>
      </w:pPr>
      <w:r>
        <w:rPr>
          <w:sz w:val="22"/>
          <w:szCs w:val="22"/>
        </w:rPr>
        <w:t xml:space="preserve">Brief – Sprint 1 : Quiz statique (Front-end) — HTML / CSS / JavaScript vanilla</w:t>
      </w:r>
    </w:p>
    <w:p>
      <w:pPr>
        <w:pStyle w:val="ListParagraph"/>
        <w:numPr>
          <w:ilvl w:val="0"/>
          <w:numId w:val="2"/>
        </w:numPr>
        <w:spacing w:after="80"/>
      </w:pPr>
      <w:r>
        <w:rPr>
          <w:sz w:val="22"/>
          <w:szCs w:val="22"/>
        </w:rPr>
        <w:t xml:space="preserve">Brief 2 – JSQuiz Advanced — JavaScript ES6+, modules, visualisation (Chart.js)</w:t>
      </w:r>
    </w:p>
    <w:p>
      <w:pPr>
        <w:spacing w:after="140" w:line="276"/>
      </w:pPr>
      <w:r>
        <w:rPr>
          <w:sz w:val="22"/>
          <w:szCs w:val="22"/>
        </w:rPr>
        <w:t xml:space="preserve">Ce choix permet une analyse statique du code simple et rapide (pas de build complexe, pas de backend/mobile à exécuter), tout en couvrant deux niveaux de progression pédagogique.</w:t>
      </w:r>
    </w:p>
    <w:p>
      <w:pPr>
        <w:pStyle w:val="Heading2"/>
        <w:spacing w:after="120" w:before="260"/>
      </w:pPr>
      <w:r>
        <w:rPr>
          <w:b/>
          <w:bCs/>
          <w:color w:val="1F3864"/>
          <w:sz w:val="24"/>
          <w:szCs w:val="24"/>
        </w:rPr>
        <w:t xml:space="preserve">4.2 Compétences évaluées (référentiel CDA)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800"/>
        <w:gridCol w:w="2300"/>
      </w:tblGrid>
      <w:tr>
        <w:trPr>
          <w:tblHeader/>
        </w:trPr>
        <w:tc>
          <w:tcPr>
            <w:tcW w:type="dxa" w:w="900"/>
            <w:shd w:fill="1F3864" w:val="clear"/>
            <w:tcMar>
              <w:top w:type="dxa" w:w="80"/>
              <w:left w:type="dxa" w:w="100"/>
              <w:bottom w:type="dxa" w:w="80"/>
              <w:right w:type="dxa" w:w="100"/>
            </w:tcMar>
          </w:tcPr>
          <w:p>
            <w:r>
              <w:rPr>
                <w:b/>
                <w:bCs/>
                <w:color w:val="FFFFFF"/>
                <w:sz w:val="20"/>
                <w:szCs w:val="20"/>
              </w:rPr>
              <w:t xml:space="preserve">Code</w:t>
            </w:r>
          </w:p>
        </w:tc>
        <w:tc>
          <w:tcPr>
            <w:tcW w:type="dxa" w:w="3000"/>
            <w:shd w:fill="1F3864" w:val="clear"/>
            <w:tcMar>
              <w:top w:type="dxa" w:w="80"/>
              <w:left w:type="dxa" w:w="100"/>
              <w:bottom w:type="dxa" w:w="80"/>
              <w:right w:type="dxa" w:w="100"/>
            </w:tcMar>
          </w:tcPr>
          <w:p>
            <w:r>
              <w:rPr>
                <w:b/>
                <w:bCs/>
                <w:color w:val="FFFFFF"/>
                <w:sz w:val="20"/>
                <w:szCs w:val="20"/>
              </w:rPr>
              <w:t xml:space="preserve">Compétence</w:t>
            </w:r>
          </w:p>
        </w:tc>
        <w:tc>
          <w:tcPr>
            <w:tcW w:type="dxa" w:w="2800"/>
            <w:shd w:fill="1F3864" w:val="clear"/>
            <w:tcMar>
              <w:top w:type="dxa" w:w="80"/>
              <w:left w:type="dxa" w:w="100"/>
              <w:bottom w:type="dxa" w:w="80"/>
              <w:right w:type="dxa" w:w="100"/>
            </w:tcMar>
          </w:tcPr>
          <w:p>
            <w:r>
              <w:rPr>
                <w:b/>
                <w:bCs/>
                <w:color w:val="FFFFFF"/>
                <w:sz w:val="20"/>
                <w:szCs w:val="20"/>
              </w:rPr>
              <w:t xml:space="preserve">Sprint 1 — Quiz statique</w:t>
            </w:r>
          </w:p>
        </w:tc>
        <w:tc>
          <w:tcPr>
            <w:tcW w:type="dxa" w:w="2300"/>
            <w:shd w:fill="1F3864" w:val="clear"/>
            <w:tcMar>
              <w:top w:type="dxa" w:w="80"/>
              <w:left w:type="dxa" w:w="100"/>
              <w:bottom w:type="dxa" w:w="80"/>
              <w:right w:type="dxa" w:w="100"/>
            </w:tcMar>
          </w:tcPr>
          <w:p>
            <w:r>
              <w:rPr>
                <w:b/>
                <w:bCs/>
                <w:color w:val="FFFFFF"/>
                <w:sz w:val="20"/>
                <w:szCs w:val="20"/>
              </w:rPr>
              <w:t xml:space="preserve">JSQuiz Advanced</w:t>
            </w:r>
          </w:p>
        </w:tc>
      </w:tr>
      <w:tr>
        <w:tc>
          <w:tcPr>
            <w:tcW w:type="dxa" w:w="900"/>
            <w:shd w:fill="F2F2F2" w:val="clear"/>
            <w:tcMar>
              <w:top w:type="dxa" w:w="80"/>
              <w:left w:type="dxa" w:w="100"/>
              <w:bottom w:type="dxa" w:w="80"/>
              <w:right w:type="dxa" w:w="100"/>
            </w:tcMar>
          </w:tcPr>
          <w:p>
            <w:r>
              <w:rPr>
                <w:b w:val="false"/>
                <w:bCs w:val="false"/>
                <w:color w:val="000000"/>
                <w:sz w:val="20"/>
                <w:szCs w:val="20"/>
              </w:rPr>
              <w:t xml:space="preserve">C2</w:t>
            </w:r>
          </w:p>
        </w:tc>
        <w:tc>
          <w:tcPr>
            <w:tcW w:type="dxa" w:w="3000"/>
            <w:shd w:fill="F2F2F2" w:val="clear"/>
            <w:tcMar>
              <w:top w:type="dxa" w:w="80"/>
              <w:left w:type="dxa" w:w="100"/>
              <w:bottom w:type="dxa" w:w="80"/>
              <w:right w:type="dxa" w:w="100"/>
            </w:tcMar>
          </w:tcPr>
          <w:p>
            <w:r>
              <w:rPr>
                <w:b w:val="false"/>
                <w:bCs w:val="false"/>
                <w:color w:val="000000"/>
                <w:sz w:val="20"/>
                <w:szCs w:val="20"/>
              </w:rPr>
              <w:t xml:space="preserve">Développer des interfaces utilisateur</w:t>
            </w:r>
          </w:p>
        </w:tc>
        <w:tc>
          <w:tcPr>
            <w:tcW w:type="dxa" w:w="2800"/>
            <w:shd w:fill="F2F2F2" w:val="clear"/>
            <w:tcMar>
              <w:top w:type="dxa" w:w="80"/>
              <w:left w:type="dxa" w:w="100"/>
              <w:bottom w:type="dxa" w:w="80"/>
              <w:right w:type="dxa" w:w="100"/>
            </w:tcMar>
          </w:tcPr>
          <w:p>
            <w:r>
              <w:rPr>
                <w:b w:val="false"/>
                <w:bCs w:val="false"/>
                <w:color w:val="000000"/>
                <w:sz w:val="20"/>
                <w:szCs w:val="20"/>
              </w:rPr>
              <w:t xml:space="preserve">Niveau attendu : 1 (HTML/CSS/JS de base, responsive)</w:t>
            </w:r>
          </w:p>
        </w:tc>
        <w:tc>
          <w:tcPr>
            <w:tcW w:type="dxa" w:w="2300"/>
            <w:shd w:fill="F2F2F2" w:val="clear"/>
            <w:tcMar>
              <w:top w:type="dxa" w:w="80"/>
              <w:left w:type="dxa" w:w="100"/>
              <w:bottom w:type="dxa" w:w="80"/>
              <w:right w:type="dxa" w:w="100"/>
            </w:tcMar>
          </w:tcPr>
          <w:p>
            <w:r>
              <w:rPr>
                <w:b w:val="false"/>
                <w:bCs w:val="false"/>
                <w:color w:val="000000"/>
                <w:sz w:val="20"/>
                <w:szCs w:val="20"/>
              </w:rPr>
              <w:t xml:space="preserve">Niveau attendu : 2 (UI dynamique, retour visuel, graphiques)</w:t>
            </w:r>
          </w:p>
        </w:tc>
      </w:tr>
      <w:tr>
        <w:tc>
          <w:tcPr>
            <w:tcW w:type="dxa" w:w="900"/>
            <w:shd w:fill="FFFFFF" w:val="clear"/>
            <w:tcMar>
              <w:top w:type="dxa" w:w="80"/>
              <w:left w:type="dxa" w:w="100"/>
              <w:bottom w:type="dxa" w:w="80"/>
              <w:right w:type="dxa" w:w="100"/>
            </w:tcMar>
          </w:tcPr>
          <w:p>
            <w:r>
              <w:rPr>
                <w:b w:val="false"/>
                <w:bCs w:val="false"/>
                <w:color w:val="000000"/>
                <w:sz w:val="20"/>
                <w:szCs w:val="20"/>
              </w:rPr>
              <w:t xml:space="preserve">C3</w:t>
            </w:r>
          </w:p>
        </w:tc>
        <w:tc>
          <w:tcPr>
            <w:tcW w:type="dxa" w:w="3000"/>
            <w:shd w:fill="FFFFFF" w:val="clear"/>
            <w:tcMar>
              <w:top w:type="dxa" w:w="80"/>
              <w:left w:type="dxa" w:w="100"/>
              <w:bottom w:type="dxa" w:w="80"/>
              <w:right w:type="dxa" w:w="100"/>
            </w:tcMar>
          </w:tcPr>
          <w:p>
            <w:r>
              <w:rPr>
                <w:b w:val="false"/>
                <w:bCs w:val="false"/>
                <w:color w:val="000000"/>
                <w:sz w:val="20"/>
                <w:szCs w:val="20"/>
              </w:rPr>
              <w:t xml:space="preserve">Développer des composants métier</w:t>
            </w:r>
          </w:p>
        </w:tc>
        <w:tc>
          <w:tcPr>
            <w:tcW w:type="dxa" w:w="2800"/>
            <w:shd w:fill="FFFFFF" w:val="clear"/>
            <w:tcMar>
              <w:top w:type="dxa" w:w="80"/>
              <w:left w:type="dxa" w:w="100"/>
              <w:bottom w:type="dxa" w:w="80"/>
              <w:right w:type="dxa" w:w="100"/>
            </w:tcMar>
          </w:tcPr>
          <w:p>
            <w:r>
              <w:rPr>
                <w:b w:val="false"/>
                <w:bCs w:val="false"/>
                <w:color w:val="000000"/>
                <w:sz w:val="20"/>
                <w:szCs w:val="20"/>
              </w:rPr>
              <w:t xml:space="preserve">Niveau attendu : 1 (logique de quiz simple)</w:t>
            </w:r>
          </w:p>
        </w:tc>
        <w:tc>
          <w:tcPr>
            <w:tcW w:type="dxa" w:w="2300"/>
            <w:shd w:fill="FFFFFF" w:val="clear"/>
            <w:tcMar>
              <w:top w:type="dxa" w:w="80"/>
              <w:left w:type="dxa" w:w="100"/>
              <w:bottom w:type="dxa" w:w="80"/>
              <w:right w:type="dxa" w:w="100"/>
            </w:tcMar>
          </w:tcPr>
          <w:p>
            <w:r>
              <w:rPr>
                <w:b w:val="false"/>
                <w:bCs w:val="false"/>
                <w:color w:val="000000"/>
                <w:sz w:val="20"/>
                <w:szCs w:val="20"/>
              </w:rPr>
              <w:t xml:space="preserve">Niveau attendu : 2 (modules ES6, statistiques via map/filter/reduce)</w:t>
            </w:r>
          </w:p>
        </w:tc>
      </w:tr>
    </w:tbl>
    <w:p>
      <w:pPr>
        <w:spacing w:after="200"/>
      </w:pPr>
    </w:p>
    <w:p>
      <w:pPr>
        <w:spacing w:after="140" w:line="276"/>
      </w:pPr>
      <w:r>
        <w:rPr>
          <w:sz w:val="22"/>
          <w:szCs w:val="22"/>
        </w:rPr>
        <w:t xml:space="preserve">D'autres compétences du référentiel (gestion de projet, architecture, tests, déploiement) ne sont pas retenues pour ce MVP car difficilement évaluables depuis le code seul sans autres artefacts (README, tickets, CI/CD).</w:t>
      </w:r>
    </w:p>
    <w:p>
      <w:pPr>
        <w:pStyle w:val="Heading2"/>
        <w:spacing w:after="120" w:before="260"/>
      </w:pPr>
      <w:r>
        <w:rPr>
          <w:b/>
          <w:bCs/>
          <w:color w:val="1F3864"/>
          <w:sz w:val="24"/>
          <w:szCs w:val="24"/>
        </w:rPr>
        <w:t xml:space="preserve">4.3 Généricité : gestion dynamique des compétences (CRUD)</w:t>
      </w:r>
    </w:p>
    <w:p>
      <w:pPr>
        <w:spacing w:after="140" w:line="276"/>
      </w:pPr>
      <w:r>
        <w:rPr>
          <w:sz w:val="22"/>
          <w:szCs w:val="22"/>
        </w:rPr>
        <w:t xml:space="preserve">Pour répondre à l'objectif de généricité (le système doit pouvoir s'adapter à n'importe quel brief, branche ou référentiel, sans être ré-écrit), le projet inclut une interface d'administration permettant aux formateurs / équipe pédagogique de :</w:t>
      </w:r>
    </w:p>
    <w:p>
      <w:pPr>
        <w:pStyle w:val="ListParagraph"/>
        <w:numPr>
          <w:ilvl w:val="0"/>
          <w:numId w:val="2"/>
        </w:numPr>
        <w:spacing w:after="80"/>
      </w:pPr>
      <w:r>
        <w:rPr>
          <w:sz w:val="22"/>
          <w:szCs w:val="22"/>
        </w:rPr>
        <w:t xml:space="preserve">Créer, modifier, supprimer une compétence (code, libellé, description, niveaux attendus).</w:t>
      </w:r>
    </w:p>
    <w:p>
      <w:pPr>
        <w:pStyle w:val="ListParagraph"/>
        <w:numPr>
          <w:ilvl w:val="0"/>
          <w:numId w:val="2"/>
        </w:numPr>
        <w:spacing w:after="80"/>
      </w:pPr>
      <w:r>
        <w:rPr>
          <w:sz w:val="22"/>
          <w:szCs w:val="22"/>
        </w:rPr>
        <w:t xml:space="preserve">Créer un brief et l'associer à un sous-ensemble de compétences existantes.</w:t>
      </w:r>
    </w:p>
    <w:p>
      <w:pPr>
        <w:pStyle w:val="ListParagraph"/>
        <w:numPr>
          <w:ilvl w:val="0"/>
          <w:numId w:val="2"/>
        </w:numPr>
        <w:spacing w:after="80"/>
      </w:pPr>
      <w:r>
        <w:rPr>
          <w:sz w:val="22"/>
          <w:szCs w:val="22"/>
        </w:rPr>
        <w:t xml:space="preserve">Ajouter une compétence entièrement nouvelle, jamais vue par le modèle.</w:t>
      </w:r>
    </w:p>
    <w:p>
      <w:pPr>
        <w:spacing w:after="140" w:line="276"/>
      </w:pPr>
      <w:r>
        <w:rPr>
          <w:sz w:val="22"/>
          <w:szCs w:val="22"/>
        </w:rPr>
        <w:t xml:space="preserve">Pour les compétences déjà entraînées (C2, C3), l'évaluation passe par le Bloc 1 (rapide, précis). Pour une compétence tout juste créée (pas encore de données d'entraînement), l'Agent du Bloc 2 l'évalue directement en confrontant sa description au code soumis (approche "LLM-as-judge"), ce qui permet un fonctionnement immédiat sans ré-entraînement. Chaque évaluation de l'agent, une fois validée ou corrigée par un formateur, est journalisée comme donnée d'entraînement potentielle pour une future version du Bloc 1 : c'est la boucle d'amélioration continue démontrée en version simplifiée sur ce projet (script de ré-entraînement périodique), une version complète relevant d'un travail au long cours au-delà du cadre du fil rouge.</w:t>
      </w:r>
    </w:p>
    <w:p>
      <w:pPr>
        <w:pStyle w:val="Heading1"/>
        <w:spacing w:after="160" w:before="360"/>
      </w:pPr>
      <w:r>
        <w:rPr>
          <w:b/>
          <w:bCs/>
          <w:color w:val="1F3864"/>
          <w:sz w:val="30"/>
          <w:szCs w:val="30"/>
        </w:rPr>
        <w:t xml:space="preserve">5. Données</w:t>
      </w:r>
    </w:p>
    <w:p>
      <w:pPr>
        <w:spacing w:after="100"/>
      </w:pPr>
      <w:r>
        <w:rPr>
          <w:b/>
          <w:bCs/>
          <w:sz w:val="22"/>
          <w:szCs w:val="22"/>
        </w:rPr>
        <w:t xml:space="preserve">Source principale : </w:t>
      </w:r>
      <w:r>
        <w:rPr>
          <w:sz w:val="22"/>
          <w:szCs w:val="22"/>
        </w:rPr>
        <w:t xml:space="preserve">10 à 30 dépôts GitHub réels d'apprenants ayant réalisé les briefs "Sprint 1 – Quiz statique" et "JSQuiz Advanced" lors de la promotion 2025-2026 (anonymisés avant traitement).</w:t>
      </w:r>
    </w:p>
    <w:p>
      <w:pPr>
        <w:spacing w:after="100"/>
      </w:pPr>
      <w:r>
        <w:rPr>
          <w:b/>
          <w:bCs/>
          <w:sz w:val="22"/>
          <w:szCs w:val="22"/>
        </w:rPr>
        <w:t xml:space="preserve">Enrichissement : </w:t>
      </w:r>
      <w:r>
        <w:rPr>
          <w:sz w:val="22"/>
          <w:szCs w:val="22"/>
        </w:rPr>
        <w:t xml:space="preserve">génération de variantes synthétiques contrôlées (bonnes pratiques / mauvaises pratiques / bugs fonctionnels) si besoin d'équilibrer les classes sous-représentées.</w:t>
      </w:r>
    </w:p>
    <w:p>
      <w:pPr>
        <w:spacing w:after="100"/>
      </w:pPr>
      <w:r>
        <w:rPr>
          <w:b/>
          <w:bCs/>
          <w:sz w:val="22"/>
          <w:szCs w:val="22"/>
        </w:rPr>
        <w:t xml:space="preserve">Grille de référence : </w:t>
      </w:r>
      <w:r>
        <w:rPr>
          <w:sz w:val="22"/>
          <w:szCs w:val="22"/>
        </w:rPr>
        <w:t xml:space="preserve">les "critères de performance" définis dans les briefs originaux, servant de base à la labellisation du niveau d'acquisition par compétence.</w:t>
      </w:r>
    </w:p>
    <w:p>
      <w:pPr>
        <w:pStyle w:val="Heading2"/>
        <w:spacing w:after="120" w:before="260"/>
      </w:pPr>
      <w:r>
        <w:rPr>
          <w:b/>
          <w:bCs/>
          <w:color w:val="1F3864"/>
          <w:sz w:val="24"/>
          <w:szCs w:val="24"/>
        </w:rPr>
        <w:t xml:space="preserve">Étape d'exploration et de préparation (EDA)</w:t>
      </w:r>
    </w:p>
    <w:p>
      <w:pPr>
        <w:pStyle w:val="ListParagraph"/>
        <w:numPr>
          <w:ilvl w:val="0"/>
          <w:numId w:val="2"/>
        </w:numPr>
        <w:spacing w:after="80"/>
      </w:pPr>
      <w:r>
        <w:rPr>
          <w:sz w:val="22"/>
          <w:szCs w:val="22"/>
        </w:rPr>
        <w:t xml:space="preserve">Inventaire des repos, structure des projets, langages/frameworks utilisés.</w:t>
      </w:r>
    </w:p>
    <w:p>
      <w:pPr>
        <w:pStyle w:val="ListParagraph"/>
        <w:numPr>
          <w:ilvl w:val="0"/>
          <w:numId w:val="2"/>
        </w:numPr>
        <w:spacing w:after="80"/>
      </w:pPr>
      <w:r>
        <w:rPr>
          <w:sz w:val="22"/>
          <w:szCs w:val="22"/>
        </w:rPr>
        <w:t xml:space="preserve">Extraction de features : résultats ESLint, complexité cyclomatique, présence de patterns clés (fetch, localStorage, modules ES6, manipulation du DOM, map/filter/reduce, gestion d'erreurs).</w:t>
      </w:r>
    </w:p>
    <w:p>
      <w:pPr>
        <w:pStyle w:val="ListParagraph"/>
        <w:numPr>
          <w:ilvl w:val="0"/>
          <w:numId w:val="2"/>
        </w:numPr>
        <w:spacing w:after="80"/>
      </w:pPr>
      <w:r>
        <w:rPr>
          <w:sz w:val="22"/>
          <w:szCs w:val="22"/>
        </w:rPr>
        <w:t xml:space="preserve">Labellisation manuelle du niveau d'acquisition par compétence (C2, C3), en s'appuyant sur les critères de performance des briefs.</w:t>
      </w:r>
    </w:p>
    <w:p>
      <w:pPr>
        <w:pStyle w:val="ListParagraph"/>
        <w:numPr>
          <w:ilvl w:val="0"/>
          <w:numId w:val="2"/>
        </w:numPr>
        <w:spacing w:after="80"/>
      </w:pPr>
      <w:r>
        <w:rPr>
          <w:sz w:val="22"/>
          <w:szCs w:val="22"/>
        </w:rPr>
        <w:t xml:space="preserve">Analyse de la distribution des classes et rééquilibrage si nécessaire.</w:t>
      </w:r>
    </w:p>
    <w:p>
      <w:pPr>
        <w:pStyle w:val="Heading1"/>
        <w:spacing w:after="160" w:before="360"/>
      </w:pPr>
      <w:r>
        <w:rPr>
          <w:b/>
          <w:bCs/>
          <w:color w:val="1F3864"/>
          <w:sz w:val="30"/>
          <w:szCs w:val="30"/>
        </w:rPr>
        <w:t xml:space="preserve">6. Évaluation et métriques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260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Bloc</w:t>
            </w:r>
          </w:p>
        </w:tc>
        <w:tc>
          <w:tcPr>
            <w:tcW w:type="dxa" w:w="4700"/>
            <w:shd w:fill="1F3864" w:val="clear"/>
            <w:tcMar>
              <w:top w:type="dxa" w:w="80"/>
              <w:left w:type="dxa" w:w="100"/>
              <w:bottom w:type="dxa" w:w="80"/>
              <w:right w:type="dxa" w:w="100"/>
            </w:tcMar>
          </w:tcPr>
          <w:p>
            <w:r>
              <w:rPr>
                <w:b/>
                <w:bCs/>
                <w:color w:val="FFFFFF"/>
                <w:sz w:val="20"/>
                <w:szCs w:val="20"/>
              </w:rPr>
              <w:t xml:space="preserve">Métriques</w:t>
            </w:r>
          </w:p>
        </w:tc>
        <w:tc>
          <w:tcPr>
            <w:tcW w:type="dxa" w:w="2600"/>
            <w:shd w:fill="1F3864" w:val="clear"/>
            <w:tcMar>
              <w:top w:type="dxa" w:w="80"/>
              <w:left w:type="dxa" w:w="100"/>
              <w:bottom w:type="dxa" w:w="80"/>
              <w:right w:type="dxa" w:w="100"/>
            </w:tcMar>
          </w:tcPr>
          <w:p>
            <w:r>
              <w:rPr>
                <w:b/>
                <w:bCs/>
                <w:color w:val="FFFFFF"/>
                <w:sz w:val="20"/>
                <w:szCs w:val="20"/>
              </w:rPr>
              <w:t xml:space="preserve">Baseline de comparaison</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Bloc 1 (ML)</w:t>
            </w:r>
          </w:p>
        </w:tc>
        <w:tc>
          <w:tcPr>
            <w:tcW w:type="dxa" w:w="4700"/>
            <w:shd w:fill="F2F2F2" w:val="clear"/>
            <w:tcMar>
              <w:top w:type="dxa" w:w="80"/>
              <w:left w:type="dxa" w:w="100"/>
              <w:bottom w:type="dxa" w:w="80"/>
              <w:right w:type="dxa" w:w="100"/>
            </w:tcMar>
          </w:tcPr>
          <w:p>
            <w:r>
              <w:rPr>
                <w:b w:val="false"/>
                <w:bCs w:val="false"/>
                <w:color w:val="000000"/>
                <w:sz w:val="20"/>
                <w:szCs w:val="20"/>
              </w:rPr>
              <w:t xml:space="preserve">Accuracy, F1-score (macro, par compétence), matrice de confusion</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Règle simple à seuils (ex. "si erreurs ESLint &gt; X → niveau 1")</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Bloc 2 (Agent)</w:t>
            </w:r>
          </w:p>
        </w:tc>
        <w:tc>
          <w:tcPr>
            <w:tcW w:type="dxa" w:w="4700"/>
            <w:shd w:fill="FFFFFF" w:val="clear"/>
            <w:tcMar>
              <w:top w:type="dxa" w:w="80"/>
              <w:left w:type="dxa" w:w="100"/>
              <w:bottom w:type="dxa" w:w="80"/>
              <w:right w:type="dxa" w:w="100"/>
            </w:tcMar>
          </w:tcPr>
          <w:p>
            <w:r>
              <w:rPr>
                <w:b w:val="false"/>
                <w:bCs w:val="false"/>
                <w:color w:val="000000"/>
                <w:sz w:val="20"/>
                <w:szCs w:val="20"/>
              </w:rPr>
              <w:t xml:space="preserve">Taux de pertinence du feedback (évaluation humaine sur échantillon), taux de réussite des tâches déléguées (exécution de tests, retrieval), temps de réponse</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Feedback générique non contextualisé (sans les données du Bloc 1 ni du brief)</w:t>
            </w:r>
          </w:p>
        </w:tc>
      </w:tr>
    </w:tbl>
    <w:p>
      <w:pPr>
        <w:pStyle w:val="Heading1"/>
        <w:spacing w:after="160" w:before="360"/>
      </w:pPr>
      <w:r>
        <w:rPr>
          <w:b/>
          <w:bCs/>
          <w:color w:val="1F3864"/>
          <w:sz w:val="30"/>
          <w:szCs w:val="30"/>
        </w:rPr>
        <w:t xml:space="preserve">7. Interface de démonstration</w:t>
      </w:r>
    </w:p>
    <w:p>
      <w:pPr>
        <w:spacing w:after="140" w:line="276"/>
      </w:pPr>
      <w:r>
        <w:rPr>
          <w:sz w:val="22"/>
          <w:szCs w:val="22"/>
        </w:rPr>
        <w:t xml:space="preserve">Le projet valorise le profil full-stack de son auteur : plutôt qu'une interface Streamlit générique, la démo est un frontend React connecté à une API Node/Express, avec MongoDB comme base de données pour les briefs, compétences, soumissions et évaluations.</w:t>
      </w:r>
    </w:p>
    <w:p>
      <w:pPr>
        <w:pStyle w:val="ListParagraph"/>
        <w:numPr>
          <w:ilvl w:val="0"/>
          <w:numId w:val="2"/>
        </w:numPr>
        <w:spacing w:after="80"/>
      </w:pPr>
      <w:r>
        <w:rPr>
          <w:sz w:val="22"/>
          <w:szCs w:val="22"/>
        </w:rPr>
        <w:t xml:space="preserve">Écran apprenant : soumission de code, visualisation du niveau prédit par compétence, feedback personnalisé de l'agent.</w:t>
      </w:r>
    </w:p>
    <w:p>
      <w:pPr>
        <w:pStyle w:val="ListParagraph"/>
        <w:numPr>
          <w:ilvl w:val="0"/>
          <w:numId w:val="2"/>
        </w:numPr>
        <w:spacing w:after="80"/>
      </w:pPr>
      <w:r>
        <w:rPr>
          <w:sz w:val="22"/>
          <w:szCs w:val="22"/>
        </w:rPr>
        <w:t xml:space="preserve">Écran formateur : vue de classe, validation/correction des évaluations de l'agent, gestion des compétences et des briefs (CRUD).</w:t>
      </w:r>
    </w:p>
    <w:p>
      <w:pPr>
        <w:pStyle w:val="ListParagraph"/>
        <w:numPr>
          <w:ilvl w:val="0"/>
          <w:numId w:val="2"/>
        </w:numPr>
        <w:spacing w:after="80"/>
      </w:pPr>
      <w:r>
        <w:rPr>
          <w:sz w:val="22"/>
          <w:szCs w:val="22"/>
        </w:rPr>
        <w:t xml:space="preserve">Écran direction pédagogique (bonus si le temps le permet) : vue agrégée d'acquisition des compétences par classe/promotion.</w:t>
      </w:r>
    </w:p>
    <w:p>
      <w:pPr>
        <w:pStyle w:val="Heading1"/>
        <w:spacing w:after="160" w:before="360"/>
      </w:pPr>
      <w:r>
        <w:rPr>
          <w:b/>
          <w:bCs/>
          <w:color w:val="1F3864"/>
          <w:sz w:val="30"/>
          <w:szCs w:val="30"/>
        </w:rPr>
        <w:t xml:space="preserve">8. Stack technique envisagée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Composant</w:t>
            </w:r>
          </w:p>
        </w:tc>
        <w:tc>
          <w:tcPr>
            <w:tcW w:type="dxa" w:w="6100"/>
            <w:shd w:fill="1F3864" w:val="clear"/>
            <w:tcMar>
              <w:top w:type="dxa" w:w="80"/>
              <w:left w:type="dxa" w:w="100"/>
              <w:bottom w:type="dxa" w:w="80"/>
              <w:right w:type="dxa" w:w="100"/>
            </w:tcMar>
          </w:tcPr>
          <w:p>
            <w:r>
              <w:rPr>
                <w:b/>
                <w:bCs/>
                <w:color w:val="FFFFFF"/>
                <w:sz w:val="20"/>
                <w:szCs w:val="20"/>
              </w:rPr>
              <w:t xml:space="preserve">Technologie</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Frontend démo</w:t>
            </w:r>
          </w:p>
        </w:tc>
        <w:tc>
          <w:tcPr>
            <w:tcW w:type="dxa" w:w="6100"/>
            <w:shd w:fill="F2F2F2" w:val="clear"/>
            <w:tcMar>
              <w:top w:type="dxa" w:w="80"/>
              <w:left w:type="dxa" w:w="100"/>
              <w:bottom w:type="dxa" w:w="80"/>
              <w:right w:type="dxa" w:w="100"/>
            </w:tcMar>
          </w:tcPr>
          <w:p>
            <w:r>
              <w:rPr>
                <w:b w:val="false"/>
                <w:bCs w:val="false"/>
                <w:color w:val="000000"/>
                <w:sz w:val="20"/>
                <w:szCs w:val="20"/>
              </w:rPr>
              <w:t xml:space="preserve">React</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Backend / API</w:t>
            </w:r>
          </w:p>
        </w:tc>
        <w:tc>
          <w:tcPr>
            <w:tcW w:type="dxa" w:w="6100"/>
            <w:shd w:fill="FFFFFF" w:val="clear"/>
            <w:tcMar>
              <w:top w:type="dxa" w:w="80"/>
              <w:left w:type="dxa" w:w="100"/>
              <w:bottom w:type="dxa" w:w="80"/>
              <w:right w:type="dxa" w:w="100"/>
            </w:tcMar>
          </w:tcPr>
          <w:p>
            <w:r>
              <w:rPr>
                <w:b w:val="false"/>
                <w:bCs w:val="false"/>
                <w:color w:val="000000"/>
                <w:sz w:val="20"/>
                <w:szCs w:val="20"/>
              </w:rPr>
              <w:t xml:space="preserve">Node.js / Express</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Base de données</w:t>
            </w:r>
          </w:p>
        </w:tc>
        <w:tc>
          <w:tcPr>
            <w:tcW w:type="dxa" w:w="6100"/>
            <w:shd w:fill="F2F2F2" w:val="clear"/>
            <w:tcMar>
              <w:top w:type="dxa" w:w="80"/>
              <w:left w:type="dxa" w:w="100"/>
              <w:bottom w:type="dxa" w:w="80"/>
              <w:right w:type="dxa" w:w="100"/>
            </w:tcMar>
          </w:tcPr>
          <w:p>
            <w:r>
              <w:rPr>
                <w:b w:val="false"/>
                <w:bCs w:val="false"/>
                <w:color w:val="000000"/>
                <w:sz w:val="20"/>
                <w:szCs w:val="20"/>
              </w:rPr>
              <w:t xml:space="preserve">MongoDB (briefs, compétences, soumissions, évaluations)</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Bloc 1 — ML</w:t>
            </w:r>
          </w:p>
        </w:tc>
        <w:tc>
          <w:tcPr>
            <w:tcW w:type="dxa" w:w="6100"/>
            <w:shd w:fill="FFFFFF" w:val="clear"/>
            <w:tcMar>
              <w:top w:type="dxa" w:w="80"/>
              <w:left w:type="dxa" w:w="100"/>
              <w:bottom w:type="dxa" w:w="80"/>
              <w:right w:type="dxa" w:w="100"/>
            </w:tcMar>
          </w:tcPr>
          <w:p>
            <w:r>
              <w:rPr>
                <w:b w:val="false"/>
                <w:bCs w:val="false"/>
                <w:color w:val="000000"/>
                <w:sz w:val="20"/>
                <w:szCs w:val="20"/>
              </w:rPr>
              <w:t xml:space="preserve">Python, scikit-learn (Random Forest / Gradient Boosting) sur features de code ; option embeddings de code (CodeBERT) si le temps le permet</w:t>
            </w:r>
          </w:p>
        </w:tc>
      </w:tr>
      <w:tr>
        <w:tc>
          <w:tcPr>
            <w:tcW w:type="dxa" w:w="3000"/>
            <w:shd w:fill="F2F2F2" w:val="clear"/>
            <w:tcMar>
              <w:top w:type="dxa" w:w="80"/>
              <w:left w:type="dxa" w:w="100"/>
              <w:bottom w:type="dxa" w:w="80"/>
              <w:right w:type="dxa" w:w="100"/>
            </w:tcMar>
          </w:tcPr>
          <w:p>
            <w:r>
              <w:rPr>
                <w:b w:val="false"/>
                <w:bCs w:val="false"/>
                <w:color w:val="000000"/>
                <w:sz w:val="20"/>
                <w:szCs w:val="20"/>
              </w:rPr>
              <w:t xml:space="preserve">Bloc 2 — Agent</w:t>
            </w:r>
          </w:p>
        </w:tc>
        <w:tc>
          <w:tcPr>
            <w:tcW w:type="dxa" w:w="6100"/>
            <w:shd w:fill="F2F2F2" w:val="clear"/>
            <w:tcMar>
              <w:top w:type="dxa" w:w="80"/>
              <w:left w:type="dxa" w:w="100"/>
              <w:bottom w:type="dxa" w:w="80"/>
              <w:right w:type="dxa" w:w="100"/>
            </w:tcMar>
          </w:tcPr>
          <w:p>
            <w:r>
              <w:rPr>
                <w:b w:val="false"/>
                <w:bCs w:val="false"/>
                <w:color w:val="000000"/>
                <w:sz w:val="20"/>
                <w:szCs w:val="20"/>
              </w:rPr>
              <w:t xml:space="preserve">API LLM (Claude/GPT) avec tool calling : exécution de tests, retrieval de la doc de cours, mémoire des évaluations par apprenant</w:t>
            </w:r>
          </w:p>
        </w:tc>
      </w:tr>
      <w:tr>
        <w:tc>
          <w:tcPr>
            <w:tcW w:type="dxa" w:w="3000"/>
            <w:shd w:fill="FFFFFF" w:val="clear"/>
            <w:tcMar>
              <w:top w:type="dxa" w:w="80"/>
              <w:left w:type="dxa" w:w="100"/>
              <w:bottom w:type="dxa" w:w="80"/>
              <w:right w:type="dxa" w:w="100"/>
            </w:tcMar>
          </w:tcPr>
          <w:p>
            <w:r>
              <w:rPr>
                <w:b w:val="false"/>
                <w:bCs w:val="false"/>
                <w:color w:val="000000"/>
                <w:sz w:val="20"/>
                <w:szCs w:val="20"/>
              </w:rPr>
              <w:t xml:space="preserve">MLOps (bonus)</w:t>
            </w:r>
          </w:p>
        </w:tc>
        <w:tc>
          <w:tcPr>
            <w:tcW w:type="dxa" w:w="6100"/>
            <w:shd w:fill="FFFFFF" w:val="clear"/>
            <w:tcMar>
              <w:top w:type="dxa" w:w="80"/>
              <w:left w:type="dxa" w:w="100"/>
              <w:bottom w:type="dxa" w:w="80"/>
              <w:right w:type="dxa" w:w="100"/>
            </w:tcMar>
          </w:tcPr>
          <w:p>
            <w:r>
              <w:rPr>
                <w:b w:val="false"/>
                <w:bCs w:val="false"/>
                <w:color w:val="000000"/>
                <w:sz w:val="20"/>
                <w:szCs w:val="20"/>
              </w:rPr>
              <w:t xml:space="preserve">Docker, script de ré-entraînement périodique, journal des corrections formateurs</w:t>
            </w:r>
          </w:p>
        </w:tc>
      </w:tr>
    </w:tbl>
    <w:p>
      <w:pPr>
        <w:pStyle w:val="Heading1"/>
        <w:spacing w:after="160" w:before="360"/>
      </w:pPr>
      <w:r>
        <w:rPr>
          <w:b/>
          <w:bCs/>
          <w:color w:val="1F3864"/>
          <w:sz w:val="30"/>
          <w:szCs w:val="30"/>
        </w:rPr>
        <w:t xml:space="preserve">9. Planning personnel (14 jours)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rPr>
          <w:tblHeader/>
        </w:trPr>
        <w:tc>
          <w:tcPr>
            <w:tcW w:type="dxa" w:w="1600"/>
            <w:shd w:fill="1F3864" w:val="clear"/>
            <w:tcMar>
              <w:top w:type="dxa" w:w="80"/>
              <w:left w:type="dxa" w:w="100"/>
              <w:bottom w:type="dxa" w:w="80"/>
              <w:right w:type="dxa" w:w="100"/>
            </w:tcMar>
          </w:tcPr>
          <w:p>
            <w:r>
              <w:rPr>
                <w:b/>
                <w:bCs/>
                <w:color w:val="FFFFFF"/>
                <w:sz w:val="20"/>
                <w:szCs w:val="20"/>
              </w:rPr>
              <w:t xml:space="preserve">Jours</w:t>
            </w:r>
          </w:p>
        </w:tc>
        <w:tc>
          <w:tcPr>
            <w:tcW w:type="dxa" w:w="7500"/>
            <w:shd w:fill="1F3864" w:val="clear"/>
            <w:tcMar>
              <w:top w:type="dxa" w:w="80"/>
              <w:left w:type="dxa" w:w="100"/>
              <w:bottom w:type="dxa" w:w="80"/>
              <w:right w:type="dxa" w:w="100"/>
            </w:tcMar>
          </w:tcPr>
          <w:p>
            <w:r>
              <w:rPr>
                <w:b/>
                <w:bCs/>
                <w:color w:val="FFFFFF"/>
                <w:sz w:val="20"/>
                <w:szCs w:val="20"/>
              </w:rPr>
              <w:t xml:space="preserve">Étapes</w:t>
            </w:r>
          </w:p>
        </w:tc>
      </w:tr>
      <w:tr>
        <w:tc>
          <w:tcPr>
            <w:tcW w:type="dxa" w:w="1600"/>
            <w:shd w:fill="F2F2F2" w:val="clear"/>
            <w:tcMar>
              <w:top w:type="dxa" w:w="80"/>
              <w:left w:type="dxa" w:w="100"/>
              <w:bottom w:type="dxa" w:w="80"/>
              <w:right w:type="dxa" w:w="100"/>
            </w:tcMar>
          </w:tcPr>
          <w:p>
            <w:r>
              <w:rPr>
                <w:b w:val="false"/>
                <w:bCs w:val="false"/>
                <w:color w:val="000000"/>
                <w:sz w:val="20"/>
                <w:szCs w:val="20"/>
              </w:rPr>
              <w:t xml:space="preserve">J1 – J2</w:t>
            </w:r>
          </w:p>
        </w:tc>
        <w:tc>
          <w:tcPr>
            <w:tcW w:type="dxa" w:w="7500"/>
            <w:shd w:fill="F2F2F2" w:val="clear"/>
            <w:tcMar>
              <w:top w:type="dxa" w:w="80"/>
              <w:left w:type="dxa" w:w="100"/>
              <w:bottom w:type="dxa" w:w="80"/>
              <w:right w:type="dxa" w:w="100"/>
            </w:tcMar>
          </w:tcPr>
          <w:p>
            <w:r>
              <w:rPr>
                <w:b w:val="false"/>
                <w:bCs w:val="false"/>
                <w:color w:val="000000"/>
                <w:sz w:val="20"/>
                <w:szCs w:val="20"/>
              </w:rPr>
              <w:t xml:space="preserve">Cadrage final, collecte et anonymisation des repos GitHub, structure du repo GitHub du projet</w:t>
            </w:r>
          </w:p>
        </w:tc>
      </w:tr>
      <w:tr>
        <w:tc>
          <w:tcPr>
            <w:tcW w:type="dxa" w:w="1600"/>
            <w:shd w:fill="FFFFFF" w:val="clear"/>
            <w:tcMar>
              <w:top w:type="dxa" w:w="80"/>
              <w:left w:type="dxa" w:w="100"/>
              <w:bottom w:type="dxa" w:w="80"/>
              <w:right w:type="dxa" w:w="100"/>
            </w:tcMar>
          </w:tcPr>
          <w:p>
            <w:r>
              <w:rPr>
                <w:b w:val="false"/>
                <w:bCs w:val="false"/>
                <w:color w:val="000000"/>
                <w:sz w:val="20"/>
                <w:szCs w:val="20"/>
              </w:rPr>
              <w:t xml:space="preserve">J3 – J5</w:t>
            </w:r>
          </w:p>
        </w:tc>
        <w:tc>
          <w:tcPr>
            <w:tcW w:type="dxa" w:w="7500"/>
            <w:shd w:fill="FFFFFF" w:val="clear"/>
            <w:tcMar>
              <w:top w:type="dxa" w:w="80"/>
              <w:left w:type="dxa" w:w="100"/>
              <w:bottom w:type="dxa" w:w="80"/>
              <w:right w:type="dxa" w:w="100"/>
            </w:tcMar>
          </w:tcPr>
          <w:p>
            <w:r>
              <w:rPr>
                <w:b w:val="false"/>
                <w:bCs w:val="false"/>
                <w:color w:val="000000"/>
                <w:sz w:val="20"/>
                <w:szCs w:val="20"/>
              </w:rPr>
              <w:t xml:space="preserve">Bloc 1 : extraction des features, labellisation, entraînement du modèle, évaluation vs baseline</w:t>
            </w:r>
          </w:p>
        </w:tc>
      </w:tr>
      <w:tr>
        <w:tc>
          <w:tcPr>
            <w:tcW w:type="dxa" w:w="1600"/>
            <w:shd w:fill="F2F2F2" w:val="clear"/>
            <w:tcMar>
              <w:top w:type="dxa" w:w="80"/>
              <w:left w:type="dxa" w:w="100"/>
              <w:bottom w:type="dxa" w:w="80"/>
              <w:right w:type="dxa" w:w="100"/>
            </w:tcMar>
          </w:tcPr>
          <w:p>
            <w:r>
              <w:rPr>
                <w:b w:val="false"/>
                <w:bCs w:val="false"/>
                <w:color w:val="000000"/>
                <w:sz w:val="20"/>
                <w:szCs w:val="20"/>
              </w:rPr>
              <w:t xml:space="preserve">J6 – J9</w:t>
            </w:r>
          </w:p>
        </w:tc>
        <w:tc>
          <w:tcPr>
            <w:tcW w:type="dxa" w:w="7500"/>
            <w:shd w:fill="F2F2F2" w:val="clear"/>
            <w:tcMar>
              <w:top w:type="dxa" w:w="80"/>
              <w:left w:type="dxa" w:w="100"/>
              <w:bottom w:type="dxa" w:w="80"/>
              <w:right w:type="dxa" w:w="100"/>
            </w:tcMar>
          </w:tcPr>
          <w:p>
            <w:r>
              <w:rPr>
                <w:b w:val="false"/>
                <w:bCs w:val="false"/>
                <w:color w:val="000000"/>
                <w:sz w:val="20"/>
                <w:szCs w:val="20"/>
              </w:rPr>
              <w:t xml:space="preserve">Bloc 2 : mise en place de l'agent (outils, mémoire), gestion du cas "cold start" pour compétence nouvelle, boucle de feedback simplifiée</w:t>
            </w:r>
          </w:p>
        </w:tc>
      </w:tr>
      <w:tr>
        <w:tc>
          <w:tcPr>
            <w:tcW w:type="dxa" w:w="1600"/>
            <w:shd w:fill="FFFFFF" w:val="clear"/>
            <w:tcMar>
              <w:top w:type="dxa" w:w="80"/>
              <w:left w:type="dxa" w:w="100"/>
              <w:bottom w:type="dxa" w:w="80"/>
              <w:right w:type="dxa" w:w="100"/>
            </w:tcMar>
          </w:tcPr>
          <w:p>
            <w:r>
              <w:rPr>
                <w:b w:val="false"/>
                <w:bCs w:val="false"/>
                <w:color w:val="000000"/>
                <w:sz w:val="20"/>
                <w:szCs w:val="20"/>
              </w:rPr>
              <w:t xml:space="preserve">J10 – J11</w:t>
            </w:r>
          </w:p>
        </w:tc>
        <w:tc>
          <w:tcPr>
            <w:tcW w:type="dxa" w:w="7500"/>
            <w:shd w:fill="FFFFFF" w:val="clear"/>
            <w:tcMar>
              <w:top w:type="dxa" w:w="80"/>
              <w:left w:type="dxa" w:w="100"/>
              <w:bottom w:type="dxa" w:w="80"/>
              <w:right w:type="dxa" w:w="100"/>
            </w:tcMar>
          </w:tcPr>
          <w:p>
            <w:r>
              <w:rPr>
                <w:b w:val="false"/>
                <w:bCs w:val="false"/>
                <w:color w:val="000000"/>
                <w:sz w:val="20"/>
                <w:szCs w:val="20"/>
              </w:rPr>
              <w:t xml:space="preserve">Intégration Bloc 1 + Bloc 2, développement CRUD compétences/briefs, frontend React + API</w:t>
            </w:r>
          </w:p>
        </w:tc>
      </w:tr>
      <w:tr>
        <w:tc>
          <w:tcPr>
            <w:tcW w:type="dxa" w:w="1600"/>
            <w:shd w:fill="F2F2F2" w:val="clear"/>
            <w:tcMar>
              <w:top w:type="dxa" w:w="80"/>
              <w:left w:type="dxa" w:w="100"/>
              <w:bottom w:type="dxa" w:w="80"/>
              <w:right w:type="dxa" w:w="100"/>
            </w:tcMar>
          </w:tcPr>
          <w:p>
            <w:r>
              <w:rPr>
                <w:b w:val="false"/>
                <w:bCs w:val="false"/>
                <w:color w:val="000000"/>
                <w:sz w:val="20"/>
                <w:szCs w:val="20"/>
              </w:rPr>
              <w:t xml:space="preserve">J12 – J13</w:t>
            </w:r>
          </w:p>
        </w:tc>
        <w:tc>
          <w:tcPr>
            <w:tcW w:type="dxa" w:w="7500"/>
            <w:shd w:fill="F2F2F2" w:val="clear"/>
            <w:tcMar>
              <w:top w:type="dxa" w:w="80"/>
              <w:left w:type="dxa" w:w="100"/>
              <w:bottom w:type="dxa" w:w="80"/>
              <w:right w:type="dxa" w:w="100"/>
            </w:tcMar>
          </w:tcPr>
          <w:p>
            <w:r>
              <w:rPr>
                <w:b w:val="false"/>
                <w:bCs w:val="false"/>
                <w:color w:val="000000"/>
                <w:sz w:val="20"/>
                <w:szCs w:val="20"/>
              </w:rPr>
              <w:t xml:space="preserve">Tests bout en bout, README, Dockerfile (si le temps le permet), préparation des slides</w:t>
            </w:r>
          </w:p>
        </w:tc>
      </w:tr>
      <w:tr>
        <w:tc>
          <w:tcPr>
            <w:tcW w:type="dxa" w:w="1600"/>
            <w:shd w:fill="FFFFFF" w:val="clear"/>
            <w:tcMar>
              <w:top w:type="dxa" w:w="80"/>
              <w:left w:type="dxa" w:w="100"/>
              <w:bottom w:type="dxa" w:w="80"/>
              <w:right w:type="dxa" w:w="100"/>
            </w:tcMar>
          </w:tcPr>
          <w:p>
            <w:r>
              <w:rPr>
                <w:b w:val="false"/>
                <w:bCs w:val="false"/>
                <w:color w:val="000000"/>
                <w:sz w:val="20"/>
                <w:szCs w:val="20"/>
              </w:rPr>
              <w:t xml:space="preserve">J14</w:t>
            </w:r>
          </w:p>
        </w:tc>
        <w:tc>
          <w:tcPr>
            <w:tcW w:type="dxa" w:w="7500"/>
            <w:shd w:fill="FFFFFF" w:val="clear"/>
            <w:tcMar>
              <w:top w:type="dxa" w:w="80"/>
              <w:left w:type="dxa" w:w="100"/>
              <w:bottom w:type="dxa" w:w="80"/>
              <w:right w:type="dxa" w:w="100"/>
            </w:tcMar>
          </w:tcPr>
          <w:p>
            <w:r>
              <w:rPr>
                <w:b w:val="false"/>
                <w:bCs w:val="false"/>
                <w:color w:val="000000"/>
                <w:sz w:val="20"/>
                <w:szCs w:val="20"/>
              </w:rPr>
              <w:t xml:space="preserve">Marge de sécurité / imprévus</w:t>
            </w:r>
          </w:p>
        </w:tc>
      </w:tr>
    </w:tbl>
    <w:p>
      <w:pPr>
        <w:pStyle w:val="Heading1"/>
        <w:spacing w:after="160" w:before="360"/>
      </w:pPr>
      <w:r>
        <w:rPr>
          <w:b/>
          <w:bCs/>
          <w:color w:val="1F3864"/>
          <w:sz w:val="30"/>
          <w:szCs w:val="30"/>
        </w:rPr>
        <w:t xml:space="preserve">10. Livrables attendus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Livrable</w:t>
            </w:r>
          </w:p>
        </w:tc>
        <w:tc>
          <w:tcPr>
            <w:tcW w:type="dxa" w:w="6500"/>
            <w:shd w:fill="1F3864" w:val="clear"/>
            <w:tcMar>
              <w:top w:type="dxa" w:w="80"/>
              <w:left w:type="dxa" w:w="100"/>
              <w:bottom w:type="dxa" w:w="80"/>
              <w:right w:type="dxa" w:w="100"/>
            </w:tcMar>
          </w:tcPr>
          <w:p>
            <w:r>
              <w:rPr>
                <w:b/>
                <w:bCs/>
                <w:color w:val="FFFFFF"/>
                <w:sz w:val="20"/>
                <w:szCs w:val="20"/>
              </w:rPr>
              <w:t xml:space="preserve">Contenu</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Cahier des charges</w:t>
            </w:r>
          </w:p>
        </w:tc>
        <w:tc>
          <w:tcPr>
            <w:tcW w:type="dxa" w:w="6500"/>
            <w:shd w:fill="F2F2F2" w:val="clear"/>
            <w:tcMar>
              <w:top w:type="dxa" w:w="80"/>
              <w:left w:type="dxa" w:w="100"/>
              <w:bottom w:type="dxa" w:w="80"/>
              <w:right w:type="dxa" w:w="100"/>
            </w:tcMar>
          </w:tcPr>
          <w:p>
            <w:r>
              <w:rPr>
                <w:b w:val="false"/>
                <w:bCs w:val="false"/>
                <w:color w:val="000000"/>
                <w:sz w:val="20"/>
                <w:szCs w:val="20"/>
              </w:rPr>
              <w:t xml:space="preserve">Le présent document</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Dépôt GitHub</w:t>
            </w:r>
          </w:p>
        </w:tc>
        <w:tc>
          <w:tcPr>
            <w:tcW w:type="dxa" w:w="6500"/>
            <w:shd w:fill="FFFFFF" w:val="clear"/>
            <w:tcMar>
              <w:top w:type="dxa" w:w="80"/>
              <w:left w:type="dxa" w:w="100"/>
              <w:bottom w:type="dxa" w:w="80"/>
              <w:right w:type="dxa" w:w="100"/>
            </w:tcMar>
          </w:tcPr>
          <w:p>
            <w:r>
              <w:rPr>
                <w:b w:val="false"/>
                <w:bCs w:val="false"/>
                <w:color w:val="000000"/>
                <w:sz w:val="20"/>
                <w:szCs w:val="20"/>
              </w:rPr>
              <w:t xml:space="preserve">Code source, README complet, notebook(s) d'entraînement du Bloc 1, requirements, Dockerfile</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Application / démo</w:t>
            </w:r>
          </w:p>
        </w:tc>
        <w:tc>
          <w:tcPr>
            <w:tcW w:type="dxa" w:w="6500"/>
            <w:shd w:fill="F2F2F2" w:val="clear"/>
            <w:tcMar>
              <w:top w:type="dxa" w:w="80"/>
              <w:left w:type="dxa" w:w="100"/>
              <w:bottom w:type="dxa" w:w="80"/>
              <w:right w:type="dxa" w:w="100"/>
            </w:tcMar>
          </w:tcPr>
          <w:p>
            <w:r>
              <w:rPr>
                <w:b w:val="false"/>
                <w:bCs w:val="false"/>
                <w:color w:val="000000"/>
                <w:sz w:val="20"/>
                <w:szCs w:val="20"/>
              </w:rPr>
              <w:t xml:space="preserve">Démo fonctionnelle exécutable (locale ou en ligne)</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Présentation (10-12 slides)</w:t>
            </w:r>
          </w:p>
        </w:tc>
        <w:tc>
          <w:tcPr>
            <w:tcW w:type="dxa" w:w="6500"/>
            <w:shd w:fill="FFFFFF" w:val="clear"/>
            <w:tcMar>
              <w:top w:type="dxa" w:w="80"/>
              <w:left w:type="dxa" w:w="100"/>
              <w:bottom w:type="dxa" w:w="80"/>
              <w:right w:type="dxa" w:w="100"/>
            </w:tcMar>
          </w:tcPr>
          <w:p>
            <w:r>
              <w:rPr>
                <w:b w:val="false"/>
                <w:bCs w:val="false"/>
                <w:color w:val="000000"/>
                <w:sz w:val="20"/>
                <w:szCs w:val="20"/>
              </w:rPr>
              <w:t xml:space="preserve">Problème, solution, démo, résultats, difficultés rencontrées, bilan personnel</w:t>
            </w:r>
          </w:p>
        </w:tc>
      </w:tr>
    </w:tbl>
    <w:p>
      <w:pPr>
        <w:pStyle w:val="Heading1"/>
        <w:spacing w:after="160" w:before="360"/>
      </w:pPr>
      <w:r>
        <w:rPr>
          <w:b/>
          <w:bCs/>
          <w:color w:val="1F3864"/>
          <w:sz w:val="30"/>
          <w:szCs w:val="30"/>
        </w:rPr>
        <w:t xml:space="preserve">11. Limites du MVP et perspectives (roadmap)</w:t>
      </w:r>
    </w:p>
    <w:p>
      <w:pPr>
        <w:spacing w:after="140" w:line="276"/>
      </w:pPr>
      <w:r>
        <w:rPr>
          <w:sz w:val="22"/>
          <w:szCs w:val="22"/>
        </w:rPr>
        <w:t xml:space="preserve">Le périmètre du MVP est volontairement restreint à 2 briefs et 2 compétences pour rester réalisable en 14 jours. La vision plus large — un système entièrement générique, alimenté en continu par n'importe quel formateur, n'importe quelle branche et n'importe quel référentiel, avec ré-entraînement automatisé — constitue la trajectoire naturelle d'évolution du projet au-delà du cadre du fil rouge :</w:t>
      </w:r>
    </w:p>
    <w:p>
      <w:pPr>
        <w:pStyle w:val="ListParagraph"/>
        <w:numPr>
          <w:ilvl w:val="0"/>
          <w:numId w:val="2"/>
        </w:numPr>
        <w:spacing w:after="80"/>
      </w:pPr>
      <w:r>
        <w:rPr>
          <w:sz w:val="22"/>
          <w:szCs w:val="22"/>
        </w:rPr>
        <w:t xml:space="preserve">Extension à davantage de briefs et de compétences (C1, C9 notamment, avec exécution de tests automatisés).</w:t>
      </w:r>
    </w:p>
    <w:p>
      <w:pPr>
        <w:pStyle w:val="ListParagraph"/>
        <w:numPr>
          <w:ilvl w:val="0"/>
          <w:numId w:val="2"/>
        </w:numPr>
        <w:spacing w:after="80"/>
      </w:pPr>
      <w:r>
        <w:rPr>
          <w:sz w:val="22"/>
          <w:szCs w:val="22"/>
        </w:rPr>
        <w:t xml:space="preserve">Automatisation complète de la boucle de ré-entraînement (actuellement démontrée en version simplifiée).</w:t>
      </w:r>
    </w:p>
    <w:p>
      <w:pPr>
        <w:pStyle w:val="ListParagraph"/>
        <w:numPr>
          <w:ilvl w:val="0"/>
          <w:numId w:val="2"/>
        </w:numPr>
        <w:spacing w:after="80"/>
      </w:pPr>
      <w:r>
        <w:rPr>
          <w:sz w:val="22"/>
          <w:szCs w:val="22"/>
        </w:rPr>
        <w:t xml:space="preserve">Tableaux de bord pour la direction pédagogique sur plusieurs promotions et branches.</w:t>
      </w:r>
    </w:p>
    <w:p>
      <w:pPr>
        <w:pStyle w:val="ListParagraph"/>
        <w:numPr>
          <w:ilvl w:val="0"/>
          <w:numId w:val="2"/>
        </w:numPr>
        <w:spacing w:after="80"/>
      </w:pPr>
      <w:r>
        <w:rPr>
          <w:sz w:val="22"/>
          <w:szCs w:val="22"/>
        </w:rPr>
        <w:t xml:space="preserve">Support d'autres référentiels métiers au-delà du CDA.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2026-07-23T09:32:41.704Z</dcterms:created>
  <dcterms:modified xsi:type="dcterms:W3CDTF">2026-07-23T09:32:41.716Z</dcterms:modified>
</cp:coreProperties>
</file>

<file path=docProps/custom.xml><?xml version="1.0" encoding="utf-8"?>
<Properties xmlns="http://schemas.openxmlformats.org/officeDocument/2006/custom-properties" xmlns:vt="http://schemas.openxmlformats.org/officeDocument/2006/docPropsVTypes"/>
</file>