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64694">
      <w:pPr>
        <w:rPr>
          <w:b/>
          <w:bCs/>
          <w:sz w:val="11"/>
          <w:szCs w:val="11"/>
        </w:rPr>
      </w:pPr>
    </w:p>
    <w:p w14:paraId="07FE73A9">
      <w:pPr>
        <w:rPr>
          <w:b/>
          <w:bCs/>
          <w:sz w:val="24"/>
        </w:rPr>
      </w:pPr>
      <w:r>
        <w:rPr>
          <w:rFonts w:hint="eastAsia"/>
          <w:b/>
          <w:bCs/>
          <w:sz w:val="24"/>
        </w:rPr>
        <w:t xml:space="preserve"> </w:t>
      </w:r>
    </w:p>
    <w:tbl>
      <w:tblPr>
        <w:tblStyle w:val="14"/>
        <w:tblW w:w="8966" w:type="dxa"/>
        <w:jc w:val="center"/>
        <w:tblLayout w:type="autofit"/>
        <w:tblCellMar>
          <w:top w:w="0" w:type="dxa"/>
          <w:left w:w="108" w:type="dxa"/>
          <w:bottom w:w="0" w:type="dxa"/>
          <w:right w:w="108" w:type="dxa"/>
        </w:tblCellMar>
      </w:tblPr>
      <w:tblGrid>
        <w:gridCol w:w="1575"/>
        <w:gridCol w:w="7391"/>
      </w:tblGrid>
      <w:tr w14:paraId="27077A5B">
        <w:tblPrEx>
          <w:tblCellMar>
            <w:top w:w="0" w:type="dxa"/>
            <w:left w:w="108" w:type="dxa"/>
            <w:bottom w:w="0" w:type="dxa"/>
            <w:right w:w="108" w:type="dxa"/>
          </w:tblCellMar>
        </w:tblPrEx>
        <w:trPr>
          <w:trHeight w:val="1093" w:hRule="atLeast"/>
          <w:jc w:val="center"/>
        </w:trPr>
        <w:tc>
          <w:tcPr>
            <w:tcW w:w="1575" w:type="dxa"/>
            <w:vMerge w:val="restart"/>
            <w:vAlign w:val="center"/>
          </w:tcPr>
          <w:p w14:paraId="47A7D058">
            <w:pPr>
              <w:jc w:val="right"/>
              <w:rPr>
                <w:b/>
                <w:bCs/>
                <w:sz w:val="32"/>
              </w:rPr>
            </w:pPr>
            <w:r>
              <w:rPr>
                <w:rFonts w:hint="eastAsia"/>
                <w:b/>
                <w:bCs/>
                <w:sz w:val="32"/>
              </w:rPr>
              <w:drawing>
                <wp:inline distT="0" distB="0" distL="0" distR="0">
                  <wp:extent cx="784860" cy="792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r="9485"/>
                          <a:stretch>
                            <a:fillRect/>
                          </a:stretch>
                        </pic:blipFill>
                        <pic:spPr>
                          <a:xfrm>
                            <a:off x="0" y="0"/>
                            <a:ext cx="784860" cy="792480"/>
                          </a:xfrm>
                          <a:prstGeom prst="rect">
                            <a:avLst/>
                          </a:prstGeom>
                          <a:noFill/>
                          <a:ln>
                            <a:noFill/>
                          </a:ln>
                        </pic:spPr>
                      </pic:pic>
                    </a:graphicData>
                  </a:graphic>
                </wp:inline>
              </w:drawing>
            </w:r>
          </w:p>
        </w:tc>
        <w:tc>
          <w:tcPr>
            <w:tcW w:w="7391" w:type="dxa"/>
            <w:vAlign w:val="bottom"/>
          </w:tcPr>
          <w:p w14:paraId="0BF0916B">
            <w:pPr>
              <w:rPr>
                <w:b/>
                <w:bCs/>
                <w:sz w:val="36"/>
                <w:szCs w:val="36"/>
              </w:rPr>
            </w:pPr>
            <w:r>
              <w:rPr>
                <w:rFonts w:hint="eastAsia" w:ascii="黑体" w:hAnsi="宋体" w:eastAsia="黑体"/>
                <w:sz w:val="36"/>
                <w:szCs w:val="36"/>
              </w:rPr>
              <w:t>中央民族大学大学生创新训练计划结题论文</w:t>
            </w:r>
          </w:p>
        </w:tc>
      </w:tr>
      <w:tr w14:paraId="50A5F05E">
        <w:tblPrEx>
          <w:tblCellMar>
            <w:top w:w="0" w:type="dxa"/>
            <w:left w:w="108" w:type="dxa"/>
            <w:bottom w:w="0" w:type="dxa"/>
            <w:right w:w="108" w:type="dxa"/>
          </w:tblCellMar>
        </w:tblPrEx>
        <w:trPr>
          <w:trHeight w:val="920" w:hRule="atLeast"/>
          <w:jc w:val="center"/>
        </w:trPr>
        <w:tc>
          <w:tcPr>
            <w:tcW w:w="1575" w:type="dxa"/>
            <w:vMerge w:val="continue"/>
          </w:tcPr>
          <w:p w14:paraId="64EDCFA5">
            <w:pPr>
              <w:jc w:val="center"/>
              <w:rPr>
                <w:b/>
                <w:bCs/>
                <w:sz w:val="32"/>
              </w:rPr>
            </w:pPr>
          </w:p>
        </w:tc>
        <w:tc>
          <w:tcPr>
            <w:tcW w:w="7391" w:type="dxa"/>
          </w:tcPr>
          <w:p w14:paraId="1243DDF0">
            <w:pPr>
              <w:ind w:firstLine="101" w:firstLineChars="42"/>
              <w:rPr>
                <w:b/>
                <w:bCs/>
                <w:sz w:val="24"/>
              </w:rPr>
            </w:pPr>
            <w:r>
              <w:rPr>
                <w:rFonts w:hint="eastAsia" w:ascii="Arial" w:hAnsi="Arial" w:eastAsia="黑体" w:cs="Arial"/>
                <w:b/>
                <w:sz w:val="24"/>
              </w:rPr>
              <w:t>URTP Final</w:t>
            </w:r>
            <w:r>
              <w:rPr>
                <w:rFonts w:ascii="Arial" w:hAnsi="Arial" w:eastAsia="黑体" w:cs="Arial"/>
                <w:b/>
                <w:sz w:val="24"/>
              </w:rPr>
              <w:t xml:space="preserve"> Thesis of</w:t>
            </w:r>
            <w:r>
              <w:rPr>
                <w:rFonts w:hint="eastAsia" w:ascii="Arial" w:hAnsi="Arial" w:eastAsia="黑体" w:cs="Arial"/>
                <w:b/>
                <w:sz w:val="24"/>
              </w:rPr>
              <w:t xml:space="preserve"> Minzu University of China</w:t>
            </w:r>
          </w:p>
        </w:tc>
      </w:tr>
    </w:tbl>
    <w:p w14:paraId="09031820">
      <w:pPr>
        <w:jc w:val="center"/>
        <w:rPr>
          <w:b/>
          <w:bCs/>
          <w:sz w:val="32"/>
        </w:rPr>
      </w:pPr>
    </w:p>
    <w:p w14:paraId="56C12C29">
      <w:pPr>
        <w:rPr>
          <w:rFonts w:eastAsia="黑体"/>
          <w:b/>
          <w:bCs/>
          <w:sz w:val="32"/>
        </w:rPr>
      </w:pPr>
    </w:p>
    <w:p w14:paraId="4BC80500">
      <w:pPr>
        <w:rPr>
          <w:rFonts w:eastAsia="黑体"/>
          <w:b/>
          <w:bCs/>
          <w:sz w:val="32"/>
        </w:rPr>
      </w:pPr>
    </w:p>
    <w:p w14:paraId="53749E40">
      <w:pPr>
        <w:rPr>
          <w:rFonts w:eastAsia="黑体"/>
          <w:b/>
          <w:bCs/>
          <w:sz w:val="32"/>
        </w:rPr>
      </w:pPr>
      <w:r>
        <w:rPr>
          <w:rFonts w:hint="eastAsia" w:eastAsia="黑体"/>
          <w:b/>
          <w:bCs/>
          <w:sz w:val="32"/>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198120</wp:posOffset>
                </wp:positionV>
                <wp:extent cx="5029200" cy="901065"/>
                <wp:effectExtent l="0" t="0" r="4445" b="4445"/>
                <wp:wrapNone/>
                <wp:docPr id="1743600200"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5029200" cy="901065"/>
                        </a:xfrm>
                        <a:prstGeom prst="rect">
                          <a:avLst/>
                        </a:prstGeom>
                        <a:solidFill>
                          <a:srgbClr val="FFFFFF"/>
                        </a:solidFill>
                        <a:ln>
                          <a:noFill/>
                        </a:ln>
                      </wps:spPr>
                      <wps:txbx>
                        <w:txbxContent>
                          <w:p w14:paraId="61062F16">
                            <w:pPr>
                              <w:jc w:val="center"/>
                              <w:rPr>
                                <w:rFonts w:ascii="黑体" w:eastAsia="黑体"/>
                                <w:bCs/>
                                <w:sz w:val="36"/>
                                <w:szCs w:val="36"/>
                              </w:rPr>
                            </w:pPr>
                            <w:r>
                              <w:rPr>
                                <w:rFonts w:hint="eastAsia" w:ascii="黑体" w:eastAsia="黑体"/>
                                <w:bCs/>
                                <w:sz w:val="36"/>
                                <w:szCs w:val="36"/>
                              </w:rPr>
                              <w:t>基于大语言模型输出文本的选择偏好研究</w:t>
                            </w:r>
                          </w:p>
                          <w:p w14:paraId="45494E69">
                            <w:pPr>
                              <w:jc w:val="right"/>
                              <w:rPr>
                                <w:rFonts w:ascii="黑体" w:eastAsia="黑体"/>
                                <w:bCs/>
                                <w:sz w:val="32"/>
                                <w:szCs w:val="32"/>
                              </w:rPr>
                            </w:pPr>
                            <w:r>
                              <w:rPr>
                                <w:rFonts w:hint="eastAsia"/>
                                <w:bCs/>
                                <w:sz w:val="32"/>
                                <w:szCs w:val="32"/>
                              </w:rPr>
                              <w:t>――</w:t>
                            </w:r>
                            <w:r>
                              <w:rPr>
                                <w:rFonts w:hint="eastAsia" w:ascii="黑体" w:eastAsia="黑体"/>
                                <w:bCs/>
                                <w:sz w:val="32"/>
                                <w:szCs w:val="32"/>
                              </w:rPr>
                              <w:t>以 LMArena 人类偏好数据为例</w:t>
                            </w:r>
                          </w:p>
                        </w:txbxContent>
                      </wps:txbx>
                      <wps:bodyPr rot="0" vert="horz" wrap="square" lIns="91440" tIns="45720" rIns="91440" bIns="45720" anchor="t" anchorCtr="0" upright="1">
                        <a:noAutofit/>
                      </wps:bodyPr>
                    </wps:wsp>
                  </a:graphicData>
                </a:graphic>
              </wp:anchor>
            </w:drawing>
          </mc:Choice>
          <mc:Fallback>
            <w:pict>
              <v:shape id="文本框 19" o:spid="_x0000_s1026" o:spt="202" type="#_x0000_t202" style="position:absolute;left:0pt;margin-left:36pt;margin-top:15.6pt;height:70.95pt;width:396pt;z-index:251661312;mso-width-relative:page;mso-height-relative:page;" fillcolor="#FFFFFF" filled="t" stroked="f" coordsize="21600,21600" o:gfxdata="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lmn991wAAAAkBAAAPAAAAAAAAAAEAIAAAACIAAABkcnMvZG93bnJldi54bWxQ&#10;SwECFAAUAAAACACHTuJAQChsFzECAABIBAAADgAAAAAAAAABACAAAAAmAQAAZHJzL2Uyb0RvYy54&#10;bWxQSwUGAAAAAAYABgBZAQAAyQUAAAAA&#10;">
                <v:fill on="t" focussize="0,0"/>
                <v:stroke on="f"/>
                <v:imagedata o:title=""/>
                <o:lock v:ext="edit" aspectratio="f"/>
                <v:textbox>
                  <w:txbxContent>
                    <w:p w14:paraId="61062F16">
                      <w:pPr>
                        <w:jc w:val="center"/>
                        <w:rPr>
                          <w:rFonts w:ascii="黑体" w:eastAsia="黑体"/>
                          <w:bCs/>
                          <w:sz w:val="36"/>
                          <w:szCs w:val="36"/>
                        </w:rPr>
                      </w:pPr>
                      <w:r>
                        <w:rPr>
                          <w:rFonts w:hint="eastAsia" w:ascii="黑体" w:eastAsia="黑体"/>
                          <w:bCs/>
                          <w:sz w:val="36"/>
                          <w:szCs w:val="36"/>
                        </w:rPr>
                        <w:t>基于大语言模型输出文本的选择偏好研究</w:t>
                      </w:r>
                    </w:p>
                    <w:p w14:paraId="45494E69">
                      <w:pPr>
                        <w:jc w:val="right"/>
                        <w:rPr>
                          <w:rFonts w:ascii="黑体" w:eastAsia="黑体"/>
                          <w:bCs/>
                          <w:sz w:val="32"/>
                          <w:szCs w:val="32"/>
                        </w:rPr>
                      </w:pPr>
                      <w:r>
                        <w:rPr>
                          <w:rFonts w:hint="eastAsia"/>
                          <w:bCs/>
                          <w:sz w:val="32"/>
                          <w:szCs w:val="32"/>
                        </w:rPr>
                        <w:t>――</w:t>
                      </w:r>
                      <w:r>
                        <w:rPr>
                          <w:rFonts w:hint="eastAsia" w:ascii="黑体" w:eastAsia="黑体"/>
                          <w:bCs/>
                          <w:sz w:val="32"/>
                          <w:szCs w:val="32"/>
                        </w:rPr>
                        <w:t>以 LMArena 人类偏好数据为例</w:t>
                      </w:r>
                    </w:p>
                  </w:txbxContent>
                </v:textbox>
              </v:shape>
            </w:pict>
          </mc:Fallback>
        </mc:AlternateContent>
      </w:r>
    </w:p>
    <w:p w14:paraId="3BE7E181">
      <w:pPr>
        <w:ind w:firstLine="720" w:firstLineChars="200"/>
        <w:jc w:val="center"/>
        <w:rPr>
          <w:rFonts w:ascii="黑体" w:eastAsia="黑体"/>
          <w:bCs/>
          <w:sz w:val="36"/>
          <w:szCs w:val="36"/>
        </w:rPr>
      </w:pPr>
    </w:p>
    <w:p w14:paraId="49C2ED0D">
      <w:pPr>
        <w:jc w:val="center"/>
        <w:rPr>
          <w:bCs/>
          <w:sz w:val="32"/>
          <w:szCs w:val="32"/>
        </w:rPr>
      </w:pPr>
      <w:r>
        <w:rPr>
          <w:rFonts w:hint="eastAsia"/>
          <w:bCs/>
          <w:sz w:val="32"/>
          <w:szCs w:val="32"/>
        </w:rPr>
        <w:t xml:space="preserve">             </w:t>
      </w:r>
    </w:p>
    <w:p w14:paraId="560CE7BC">
      <w:pPr>
        <w:jc w:val="center"/>
        <w:rPr>
          <w:b/>
          <w:bCs/>
          <w:sz w:val="32"/>
        </w:rPr>
      </w:pPr>
    </w:p>
    <w:p w14:paraId="4822F33C">
      <w:pPr>
        <w:jc w:val="center"/>
        <w:rPr>
          <w:b/>
          <w:bCs/>
          <w:sz w:val="32"/>
        </w:rPr>
      </w:pPr>
    </w:p>
    <w:p w14:paraId="7FDA19C3">
      <w:pPr>
        <w:jc w:val="center"/>
        <w:rPr>
          <w:b/>
          <w:bCs/>
          <w:sz w:val="32"/>
          <w:szCs w:val="32"/>
        </w:rPr>
      </w:pPr>
    </w:p>
    <w:p w14:paraId="6D1B4D4A">
      <w:pPr>
        <w:jc w:val="center"/>
        <w:rPr>
          <w:b/>
          <w:bCs/>
          <w:sz w:val="32"/>
          <w:szCs w:val="32"/>
        </w:rPr>
      </w:pPr>
    </w:p>
    <w:p w14:paraId="4B710F09">
      <w:pPr>
        <w:adjustRightInd w:val="0"/>
        <w:snapToGrid w:val="0"/>
        <w:spacing w:line="480" w:lineRule="auto"/>
        <w:rPr>
          <w:bCs/>
          <w:sz w:val="32"/>
          <w:szCs w:val="32"/>
        </w:rPr>
      </w:pPr>
      <w:r>
        <w:rPr>
          <w:rFonts w:hint="eastAsia"/>
          <w:bCs/>
          <w:sz w:val="32"/>
          <w:szCs w:val="32"/>
        </w:rPr>
        <w:t xml:space="preserve">      </w:t>
      </w:r>
    </w:p>
    <w:p w14:paraId="4B5AAF8D">
      <w:pPr>
        <w:adjustRightInd w:val="0"/>
        <w:snapToGrid w:val="0"/>
        <w:spacing w:line="480" w:lineRule="auto"/>
        <w:rPr>
          <w:bCs/>
          <w:sz w:val="32"/>
          <w:szCs w:val="32"/>
        </w:rPr>
      </w:pPr>
      <w:r>
        <w:rPr>
          <w:rFonts w:hint="eastAsia"/>
          <w:b/>
          <w:bCs/>
          <w:sz w:val="32"/>
          <w:szCs w:val="32"/>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37465</wp:posOffset>
                </wp:positionV>
                <wp:extent cx="5942330" cy="2179320"/>
                <wp:effectExtent l="3810" t="3175" r="6985" b="8255"/>
                <wp:wrapNone/>
                <wp:docPr id="92238068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5942330" cy="2179320"/>
                        </a:xfrm>
                        <a:prstGeom prst="rect">
                          <a:avLst/>
                        </a:prstGeom>
                        <a:solidFill>
                          <a:srgbClr val="FFFFFF">
                            <a:alpha val="89999"/>
                          </a:srgbClr>
                        </a:solidFill>
                        <a:ln>
                          <a:noFill/>
                        </a:ln>
                        <a:effectLst/>
                      </wps:spPr>
                      <wps:txbx>
                        <w:txbxContent>
                          <w:tbl>
                            <w:tblPr>
                              <w:tblStyle w:val="14"/>
                              <w:tblW w:w="0" w:type="auto"/>
                              <w:jc w:val="center"/>
                              <w:tblLayout w:type="autofit"/>
                              <w:tblCellMar>
                                <w:top w:w="0" w:type="dxa"/>
                                <w:left w:w="108" w:type="dxa"/>
                                <w:bottom w:w="0" w:type="dxa"/>
                                <w:right w:w="108" w:type="dxa"/>
                              </w:tblCellMar>
                            </w:tblPr>
                            <w:tblGrid>
                              <w:gridCol w:w="2160"/>
                              <w:gridCol w:w="6202"/>
                            </w:tblGrid>
                            <w:tr w14:paraId="190BB1DE">
                              <w:tblPrEx>
                                <w:tblCellMar>
                                  <w:top w:w="0" w:type="dxa"/>
                                  <w:left w:w="108" w:type="dxa"/>
                                  <w:bottom w:w="0" w:type="dxa"/>
                                  <w:right w:w="108" w:type="dxa"/>
                                </w:tblCellMar>
                              </w:tblPrEx>
                              <w:trPr>
                                <w:trHeight w:val="620" w:hRule="atLeast"/>
                                <w:jc w:val="center"/>
                              </w:trPr>
                              <w:tc>
                                <w:tcPr>
                                  <w:tcW w:w="2160" w:type="dxa"/>
                                  <w:vAlign w:val="center"/>
                                </w:tcPr>
                                <w:p w14:paraId="6A698D9F">
                                  <w:pPr>
                                    <w:tabs>
                                      <w:tab w:val="left" w:pos="783"/>
                                    </w:tabs>
                                    <w:spacing w:line="480" w:lineRule="auto"/>
                                    <w:jc w:val="right"/>
                                    <w:rPr>
                                      <w:sz w:val="30"/>
                                      <w:szCs w:val="32"/>
                                    </w:rPr>
                                  </w:pPr>
                                  <w:r>
                                    <w:rPr>
                                      <w:rFonts w:hint="eastAsia"/>
                                      <w:sz w:val="30"/>
                                      <w:szCs w:val="32"/>
                                    </w:rPr>
                                    <w:t>计划编号：</w:t>
                                  </w:r>
                                </w:p>
                              </w:tc>
                              <w:tc>
                                <w:tcPr>
                                  <w:tcW w:w="6202" w:type="dxa"/>
                                  <w:vAlign w:val="center"/>
                                </w:tcPr>
                                <w:p w14:paraId="6E6AFA28">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14:paraId="08E485C7">
                              <w:tblPrEx>
                                <w:tblCellMar>
                                  <w:top w:w="0" w:type="dxa"/>
                                  <w:left w:w="108" w:type="dxa"/>
                                  <w:bottom w:w="0" w:type="dxa"/>
                                  <w:right w:w="108" w:type="dxa"/>
                                </w:tblCellMar>
                              </w:tblPrEx>
                              <w:trPr>
                                <w:trHeight w:val="620" w:hRule="atLeast"/>
                                <w:jc w:val="center"/>
                              </w:trPr>
                              <w:tc>
                                <w:tcPr>
                                  <w:tcW w:w="2160" w:type="dxa"/>
                                  <w:vAlign w:val="center"/>
                                </w:tcPr>
                                <w:p w14:paraId="70B34353">
                                  <w:pPr>
                                    <w:tabs>
                                      <w:tab w:val="left" w:pos="783"/>
                                    </w:tabs>
                                    <w:spacing w:line="480" w:lineRule="auto"/>
                                    <w:jc w:val="right"/>
                                    <w:rPr>
                                      <w:sz w:val="30"/>
                                      <w:szCs w:val="32"/>
                                    </w:rPr>
                                  </w:pPr>
                                  <w:r>
                                    <w:rPr>
                                      <w:rFonts w:hint="eastAsia"/>
                                      <w:sz w:val="30"/>
                                      <w:szCs w:val="32"/>
                                    </w:rPr>
                                    <w:t>项目类型：</w:t>
                                  </w:r>
                                </w:p>
                              </w:tc>
                              <w:tc>
                                <w:tcPr>
                                  <w:tcW w:w="6202" w:type="dxa"/>
                                  <w:vAlign w:val="center"/>
                                </w:tcPr>
                                <w:p w14:paraId="282AB167">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创新训练项目-青苗计划                                                          </w:t>
                                  </w:r>
                                  <w:r>
                                    <w:rPr>
                                      <w:rFonts w:hint="eastAsia"/>
                                      <w:sz w:val="30"/>
                                      <w:szCs w:val="30"/>
                                      <w:u w:val="dotted"/>
                                    </w:rPr>
                                    <w:t xml:space="preserve"> </w:t>
                                  </w:r>
                                </w:p>
                              </w:tc>
                            </w:tr>
                            <w:tr w14:paraId="32D8CE48">
                              <w:tblPrEx>
                                <w:tblCellMar>
                                  <w:top w:w="0" w:type="dxa"/>
                                  <w:left w:w="108" w:type="dxa"/>
                                  <w:bottom w:w="0" w:type="dxa"/>
                                  <w:right w:w="108" w:type="dxa"/>
                                </w:tblCellMar>
                              </w:tblPrEx>
                              <w:trPr>
                                <w:trHeight w:val="620" w:hRule="atLeast"/>
                                <w:jc w:val="center"/>
                              </w:trPr>
                              <w:tc>
                                <w:tcPr>
                                  <w:tcW w:w="2160" w:type="dxa"/>
                                  <w:vAlign w:val="center"/>
                                </w:tcPr>
                                <w:p w14:paraId="41ECD01A">
                                  <w:pPr>
                                    <w:spacing w:line="480" w:lineRule="auto"/>
                                    <w:jc w:val="right"/>
                                    <w:rPr>
                                      <w:sz w:val="30"/>
                                      <w:szCs w:val="32"/>
                                    </w:rPr>
                                  </w:pPr>
                                  <w:r>
                                    <w:rPr>
                                      <w:rFonts w:hint="eastAsia"/>
                                      <w:sz w:val="30"/>
                                      <w:szCs w:val="32"/>
                                    </w:rPr>
                                    <w:t>指导教师：</w:t>
                                  </w:r>
                                </w:p>
                              </w:tc>
                              <w:tc>
                                <w:tcPr>
                                  <w:tcW w:w="6202" w:type="dxa"/>
                                  <w:vAlign w:val="center"/>
                                </w:tcPr>
                                <w:p w14:paraId="34F840C0">
                                  <w:pPr>
                                    <w:spacing w:line="480" w:lineRule="auto"/>
                                    <w:rPr>
                                      <w:sz w:val="30"/>
                                      <w:szCs w:val="32"/>
                                      <w:u w:val="dotted"/>
                                    </w:rPr>
                                  </w:pPr>
                                  <w:r>
                                    <w:rPr>
                                      <w:rFonts w:hint="eastAsia"/>
                                      <w:sz w:val="30"/>
                                      <w:szCs w:val="32"/>
                                      <w:u w:val="dotted"/>
                                    </w:rPr>
                                    <w:t xml:space="preserve"> 程豪                  </w:t>
                                  </w:r>
                                  <w:r>
                                    <w:rPr>
                                      <w:rFonts w:hint="eastAsia"/>
                                      <w:bCs/>
                                      <w:sz w:val="30"/>
                                      <w:szCs w:val="30"/>
                                      <w:u w:val="dotted"/>
                                    </w:rPr>
                                    <w:t xml:space="preserve">                 </w:t>
                                  </w:r>
                                  <w:r>
                                    <w:rPr>
                                      <w:rFonts w:hint="eastAsia"/>
                                      <w:sz w:val="30"/>
                                      <w:szCs w:val="32"/>
                                      <w:u w:val="dotted"/>
                                    </w:rPr>
                                    <w:t xml:space="preserve">       </w:t>
                                  </w:r>
                                </w:p>
                              </w:tc>
                            </w:tr>
                            <w:tr w14:paraId="26B032B6">
                              <w:tblPrEx>
                                <w:tblCellMar>
                                  <w:top w:w="0" w:type="dxa"/>
                                  <w:left w:w="108" w:type="dxa"/>
                                  <w:bottom w:w="0" w:type="dxa"/>
                                  <w:right w:w="108" w:type="dxa"/>
                                </w:tblCellMar>
                              </w:tblPrEx>
                              <w:trPr>
                                <w:trHeight w:val="620" w:hRule="atLeast"/>
                                <w:jc w:val="center"/>
                              </w:trPr>
                              <w:tc>
                                <w:tcPr>
                                  <w:tcW w:w="2160" w:type="dxa"/>
                                  <w:vAlign w:val="center"/>
                                </w:tcPr>
                                <w:p w14:paraId="426E7367">
                                  <w:pPr>
                                    <w:spacing w:line="480" w:lineRule="auto"/>
                                    <w:jc w:val="right"/>
                                    <w:rPr>
                                      <w:sz w:val="30"/>
                                      <w:szCs w:val="32"/>
                                    </w:rPr>
                                  </w:pPr>
                                  <w:r>
                                    <w:rPr>
                                      <w:rFonts w:hint="eastAsia"/>
                                      <w:sz w:val="30"/>
                                      <w:szCs w:val="32"/>
                                    </w:rPr>
                                    <w:t>项目成员：</w:t>
                                  </w:r>
                                </w:p>
                              </w:tc>
                              <w:tc>
                                <w:tcPr>
                                  <w:tcW w:w="6202" w:type="dxa"/>
                                  <w:vAlign w:val="center"/>
                                </w:tcPr>
                                <w:p w14:paraId="224E08B1">
                                  <w:pPr>
                                    <w:spacing w:line="480" w:lineRule="auto"/>
                                    <w:rPr>
                                      <w:sz w:val="30"/>
                                      <w:szCs w:val="32"/>
                                      <w:u w:val="dotted"/>
                                    </w:rPr>
                                  </w:pPr>
                                  <w:r>
                                    <w:rPr>
                                      <w:rFonts w:hint="eastAsia"/>
                                      <w:sz w:val="30"/>
                                      <w:szCs w:val="32"/>
                                      <w:u w:val="dotted"/>
                                    </w:rPr>
                                    <w:t xml:space="preserve"> 梁斯祯、李嘉帅、姜弼达、翁祖成、姚博晟  </w:t>
                                  </w:r>
                                  <w:r>
                                    <w:rPr>
                                      <w:rFonts w:hint="eastAsia"/>
                                      <w:bCs/>
                                      <w:sz w:val="30"/>
                                      <w:szCs w:val="30"/>
                                      <w:u w:val="dotted"/>
                                    </w:rPr>
                                    <w:t xml:space="preserve">                 </w:t>
                                  </w:r>
                                  <w:r>
                                    <w:rPr>
                                      <w:rFonts w:hint="eastAsia"/>
                                      <w:sz w:val="30"/>
                                      <w:szCs w:val="32"/>
                                      <w:u w:val="dotted"/>
                                    </w:rPr>
                                    <w:t xml:space="preserve">                                  </w:t>
                                  </w:r>
                                </w:p>
                              </w:tc>
                            </w:tr>
                            <w:tr w14:paraId="46652A50">
                              <w:tblPrEx>
                                <w:tblCellMar>
                                  <w:top w:w="0" w:type="dxa"/>
                                  <w:left w:w="108" w:type="dxa"/>
                                  <w:bottom w:w="0" w:type="dxa"/>
                                  <w:right w:w="108" w:type="dxa"/>
                                </w:tblCellMar>
                              </w:tblPrEx>
                              <w:trPr>
                                <w:trHeight w:val="620" w:hRule="atLeast"/>
                                <w:jc w:val="center"/>
                              </w:trPr>
                              <w:tc>
                                <w:tcPr>
                                  <w:tcW w:w="2160" w:type="dxa"/>
                                  <w:vAlign w:val="center"/>
                                </w:tcPr>
                                <w:p w14:paraId="509643BD">
                                  <w:pPr>
                                    <w:spacing w:line="480" w:lineRule="auto"/>
                                    <w:jc w:val="right"/>
                                    <w:rPr>
                                      <w:w w:val="90"/>
                                      <w:sz w:val="30"/>
                                      <w:szCs w:val="32"/>
                                    </w:rPr>
                                  </w:pPr>
                                  <w:r>
                                    <w:rPr>
                                      <w:rFonts w:hint="eastAsia"/>
                                      <w:sz w:val="30"/>
                                      <w:szCs w:val="32"/>
                                    </w:rPr>
                                    <w:t>依托单位：</w:t>
                                  </w:r>
                                </w:p>
                              </w:tc>
                              <w:tc>
                                <w:tcPr>
                                  <w:tcW w:w="6202" w:type="dxa"/>
                                  <w:vAlign w:val="center"/>
                                </w:tcPr>
                                <w:p w14:paraId="2FB17869">
                                  <w:pPr>
                                    <w:spacing w:line="480" w:lineRule="auto"/>
                                    <w:rPr>
                                      <w:sz w:val="30"/>
                                      <w:szCs w:val="32"/>
                                      <w:u w:val="dotted"/>
                                    </w:rPr>
                                  </w:pPr>
                                  <w:r>
                                    <w:rPr>
                                      <w:rFonts w:hint="eastAsia"/>
                                      <w:sz w:val="30"/>
                                      <w:szCs w:val="32"/>
                                      <w:u w:val="dotted"/>
                                    </w:rPr>
                                    <w:t xml:space="preserve"> 理学院 </w:t>
                                  </w:r>
                                  <w:r>
                                    <w:rPr>
                                      <w:rFonts w:hint="eastAsia"/>
                                      <w:bCs/>
                                      <w:sz w:val="30"/>
                                      <w:szCs w:val="30"/>
                                      <w:u w:val="dotted"/>
                                    </w:rPr>
                                    <w:t xml:space="preserve">                 </w:t>
                                  </w:r>
                                  <w:r>
                                    <w:rPr>
                                      <w:rFonts w:hint="eastAsia"/>
                                      <w:sz w:val="30"/>
                                      <w:szCs w:val="32"/>
                                      <w:u w:val="dotted"/>
                                    </w:rPr>
                                    <w:t xml:space="preserve">                                     </w:t>
                                  </w:r>
                                </w:p>
                              </w:tc>
                            </w:tr>
                          </w:tbl>
                          <w:p w14:paraId="3215148F">
                            <w:pPr>
                              <w:spacing w:line="480" w:lineRule="auto"/>
                            </w:pPr>
                          </w:p>
                        </w:txbxContent>
                      </wps:txbx>
                      <wps:bodyPr rot="0" vert="horz" wrap="square" lIns="91440" tIns="45720" rIns="91440" bIns="45720" anchor="t" anchorCtr="0" upright="1">
                        <a:noAutofit/>
                      </wps:bodyPr>
                    </wps:wsp>
                  </a:graphicData>
                </a:graphic>
              </wp:anchor>
            </w:drawing>
          </mc:Choice>
          <mc:Fallback>
            <w:pict>
              <v:shape id="文本框 18" o:spid="_x0000_s1026" o:spt="202" type="#_x0000_t202" style="position:absolute;left:0pt;margin-left:-0.1pt;margin-top:2.95pt;height:171.6pt;width:467.9pt;z-index:251660288;mso-width-relative:page;mso-height-relative:page;" fillcolor="#FFFFFF" filled="t" stroked="f" coordsize="21600,21600" o:gfxdata="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8tDt1wAAAAcBAAAPAAAAAAAAAAEA&#10;IAAAACIAAABkcnMvZG93bnJldi54bWxQSwECFAAUAAAACACHTuJAa5cQ10kCAAB3BAAADgAAAAAA&#10;AAABACAAAAAmAQAAZHJzL2Uyb0RvYy54bWxQSwUGAAAAAAYABgBZAQAA4QUAAAAA&#10;">
                <v:fill on="t" opacity="58981f" focussize="0,0"/>
                <v:stroke on="f"/>
                <v:imagedata o:title=""/>
                <o:lock v:ext="edit" aspectratio="f"/>
                <v:textbox>
                  <w:txbxContent>
                    <w:tbl>
                      <w:tblPr>
                        <w:tblStyle w:val="14"/>
                        <w:tblW w:w="0" w:type="auto"/>
                        <w:jc w:val="center"/>
                        <w:tblLayout w:type="autofit"/>
                        <w:tblCellMar>
                          <w:top w:w="0" w:type="dxa"/>
                          <w:left w:w="108" w:type="dxa"/>
                          <w:bottom w:w="0" w:type="dxa"/>
                          <w:right w:w="108" w:type="dxa"/>
                        </w:tblCellMar>
                      </w:tblPr>
                      <w:tblGrid>
                        <w:gridCol w:w="2160"/>
                        <w:gridCol w:w="6202"/>
                      </w:tblGrid>
                      <w:tr w14:paraId="190BB1DE">
                        <w:tblPrEx>
                          <w:tblCellMar>
                            <w:top w:w="0" w:type="dxa"/>
                            <w:left w:w="108" w:type="dxa"/>
                            <w:bottom w:w="0" w:type="dxa"/>
                            <w:right w:w="108" w:type="dxa"/>
                          </w:tblCellMar>
                        </w:tblPrEx>
                        <w:trPr>
                          <w:trHeight w:val="620" w:hRule="atLeast"/>
                          <w:jc w:val="center"/>
                        </w:trPr>
                        <w:tc>
                          <w:tcPr>
                            <w:tcW w:w="2160" w:type="dxa"/>
                            <w:vAlign w:val="center"/>
                          </w:tcPr>
                          <w:p w14:paraId="6A698D9F">
                            <w:pPr>
                              <w:tabs>
                                <w:tab w:val="left" w:pos="783"/>
                              </w:tabs>
                              <w:spacing w:line="480" w:lineRule="auto"/>
                              <w:jc w:val="right"/>
                              <w:rPr>
                                <w:sz w:val="30"/>
                                <w:szCs w:val="32"/>
                              </w:rPr>
                            </w:pPr>
                            <w:r>
                              <w:rPr>
                                <w:rFonts w:hint="eastAsia"/>
                                <w:sz w:val="30"/>
                                <w:szCs w:val="32"/>
                              </w:rPr>
                              <w:t>计划编号：</w:t>
                            </w:r>
                          </w:p>
                        </w:tc>
                        <w:tc>
                          <w:tcPr>
                            <w:tcW w:w="6202" w:type="dxa"/>
                            <w:vAlign w:val="center"/>
                          </w:tcPr>
                          <w:p w14:paraId="6E6AFA28">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14:paraId="08E485C7">
                        <w:tblPrEx>
                          <w:tblCellMar>
                            <w:top w:w="0" w:type="dxa"/>
                            <w:left w:w="108" w:type="dxa"/>
                            <w:bottom w:w="0" w:type="dxa"/>
                            <w:right w:w="108" w:type="dxa"/>
                          </w:tblCellMar>
                        </w:tblPrEx>
                        <w:trPr>
                          <w:trHeight w:val="620" w:hRule="atLeast"/>
                          <w:jc w:val="center"/>
                        </w:trPr>
                        <w:tc>
                          <w:tcPr>
                            <w:tcW w:w="2160" w:type="dxa"/>
                            <w:vAlign w:val="center"/>
                          </w:tcPr>
                          <w:p w14:paraId="70B34353">
                            <w:pPr>
                              <w:tabs>
                                <w:tab w:val="left" w:pos="783"/>
                              </w:tabs>
                              <w:spacing w:line="480" w:lineRule="auto"/>
                              <w:jc w:val="right"/>
                              <w:rPr>
                                <w:sz w:val="30"/>
                                <w:szCs w:val="32"/>
                              </w:rPr>
                            </w:pPr>
                            <w:r>
                              <w:rPr>
                                <w:rFonts w:hint="eastAsia"/>
                                <w:sz w:val="30"/>
                                <w:szCs w:val="32"/>
                              </w:rPr>
                              <w:t>项目类型：</w:t>
                            </w:r>
                          </w:p>
                        </w:tc>
                        <w:tc>
                          <w:tcPr>
                            <w:tcW w:w="6202" w:type="dxa"/>
                            <w:vAlign w:val="center"/>
                          </w:tcPr>
                          <w:p w14:paraId="282AB167">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创新训练项目-青苗计划                                                          </w:t>
                            </w:r>
                            <w:r>
                              <w:rPr>
                                <w:rFonts w:hint="eastAsia"/>
                                <w:sz w:val="30"/>
                                <w:szCs w:val="30"/>
                                <w:u w:val="dotted"/>
                              </w:rPr>
                              <w:t xml:space="preserve"> </w:t>
                            </w:r>
                          </w:p>
                        </w:tc>
                      </w:tr>
                      <w:tr w14:paraId="32D8CE48">
                        <w:tblPrEx>
                          <w:tblCellMar>
                            <w:top w:w="0" w:type="dxa"/>
                            <w:left w:w="108" w:type="dxa"/>
                            <w:bottom w:w="0" w:type="dxa"/>
                            <w:right w:w="108" w:type="dxa"/>
                          </w:tblCellMar>
                        </w:tblPrEx>
                        <w:trPr>
                          <w:trHeight w:val="620" w:hRule="atLeast"/>
                          <w:jc w:val="center"/>
                        </w:trPr>
                        <w:tc>
                          <w:tcPr>
                            <w:tcW w:w="2160" w:type="dxa"/>
                            <w:vAlign w:val="center"/>
                          </w:tcPr>
                          <w:p w14:paraId="41ECD01A">
                            <w:pPr>
                              <w:spacing w:line="480" w:lineRule="auto"/>
                              <w:jc w:val="right"/>
                              <w:rPr>
                                <w:sz w:val="30"/>
                                <w:szCs w:val="32"/>
                              </w:rPr>
                            </w:pPr>
                            <w:r>
                              <w:rPr>
                                <w:rFonts w:hint="eastAsia"/>
                                <w:sz w:val="30"/>
                                <w:szCs w:val="32"/>
                              </w:rPr>
                              <w:t>指导教师：</w:t>
                            </w:r>
                          </w:p>
                        </w:tc>
                        <w:tc>
                          <w:tcPr>
                            <w:tcW w:w="6202" w:type="dxa"/>
                            <w:vAlign w:val="center"/>
                          </w:tcPr>
                          <w:p w14:paraId="34F840C0">
                            <w:pPr>
                              <w:spacing w:line="480" w:lineRule="auto"/>
                              <w:rPr>
                                <w:sz w:val="30"/>
                                <w:szCs w:val="32"/>
                                <w:u w:val="dotted"/>
                              </w:rPr>
                            </w:pPr>
                            <w:r>
                              <w:rPr>
                                <w:rFonts w:hint="eastAsia"/>
                                <w:sz w:val="30"/>
                                <w:szCs w:val="32"/>
                                <w:u w:val="dotted"/>
                              </w:rPr>
                              <w:t xml:space="preserve"> 程豪                  </w:t>
                            </w:r>
                            <w:r>
                              <w:rPr>
                                <w:rFonts w:hint="eastAsia"/>
                                <w:bCs/>
                                <w:sz w:val="30"/>
                                <w:szCs w:val="30"/>
                                <w:u w:val="dotted"/>
                              </w:rPr>
                              <w:t xml:space="preserve">                 </w:t>
                            </w:r>
                            <w:r>
                              <w:rPr>
                                <w:rFonts w:hint="eastAsia"/>
                                <w:sz w:val="30"/>
                                <w:szCs w:val="32"/>
                                <w:u w:val="dotted"/>
                              </w:rPr>
                              <w:t xml:space="preserve">       </w:t>
                            </w:r>
                          </w:p>
                        </w:tc>
                      </w:tr>
                      <w:tr w14:paraId="26B032B6">
                        <w:tblPrEx>
                          <w:tblCellMar>
                            <w:top w:w="0" w:type="dxa"/>
                            <w:left w:w="108" w:type="dxa"/>
                            <w:bottom w:w="0" w:type="dxa"/>
                            <w:right w:w="108" w:type="dxa"/>
                          </w:tblCellMar>
                        </w:tblPrEx>
                        <w:trPr>
                          <w:trHeight w:val="620" w:hRule="atLeast"/>
                          <w:jc w:val="center"/>
                        </w:trPr>
                        <w:tc>
                          <w:tcPr>
                            <w:tcW w:w="2160" w:type="dxa"/>
                            <w:vAlign w:val="center"/>
                          </w:tcPr>
                          <w:p w14:paraId="426E7367">
                            <w:pPr>
                              <w:spacing w:line="480" w:lineRule="auto"/>
                              <w:jc w:val="right"/>
                              <w:rPr>
                                <w:sz w:val="30"/>
                                <w:szCs w:val="32"/>
                              </w:rPr>
                            </w:pPr>
                            <w:r>
                              <w:rPr>
                                <w:rFonts w:hint="eastAsia"/>
                                <w:sz w:val="30"/>
                                <w:szCs w:val="32"/>
                              </w:rPr>
                              <w:t>项目成员：</w:t>
                            </w:r>
                          </w:p>
                        </w:tc>
                        <w:tc>
                          <w:tcPr>
                            <w:tcW w:w="6202" w:type="dxa"/>
                            <w:vAlign w:val="center"/>
                          </w:tcPr>
                          <w:p w14:paraId="224E08B1">
                            <w:pPr>
                              <w:spacing w:line="480" w:lineRule="auto"/>
                              <w:rPr>
                                <w:sz w:val="30"/>
                                <w:szCs w:val="32"/>
                                <w:u w:val="dotted"/>
                              </w:rPr>
                            </w:pPr>
                            <w:r>
                              <w:rPr>
                                <w:rFonts w:hint="eastAsia"/>
                                <w:sz w:val="30"/>
                                <w:szCs w:val="32"/>
                                <w:u w:val="dotted"/>
                              </w:rPr>
                              <w:t xml:space="preserve"> 梁斯祯、李嘉帅、姜弼达、翁祖成、姚博晟  </w:t>
                            </w:r>
                            <w:r>
                              <w:rPr>
                                <w:rFonts w:hint="eastAsia"/>
                                <w:bCs/>
                                <w:sz w:val="30"/>
                                <w:szCs w:val="30"/>
                                <w:u w:val="dotted"/>
                              </w:rPr>
                              <w:t xml:space="preserve">                 </w:t>
                            </w:r>
                            <w:r>
                              <w:rPr>
                                <w:rFonts w:hint="eastAsia"/>
                                <w:sz w:val="30"/>
                                <w:szCs w:val="32"/>
                                <w:u w:val="dotted"/>
                              </w:rPr>
                              <w:t xml:space="preserve">                                  </w:t>
                            </w:r>
                          </w:p>
                        </w:tc>
                      </w:tr>
                      <w:tr w14:paraId="46652A50">
                        <w:tblPrEx>
                          <w:tblCellMar>
                            <w:top w:w="0" w:type="dxa"/>
                            <w:left w:w="108" w:type="dxa"/>
                            <w:bottom w:w="0" w:type="dxa"/>
                            <w:right w:w="108" w:type="dxa"/>
                          </w:tblCellMar>
                        </w:tblPrEx>
                        <w:trPr>
                          <w:trHeight w:val="620" w:hRule="atLeast"/>
                          <w:jc w:val="center"/>
                        </w:trPr>
                        <w:tc>
                          <w:tcPr>
                            <w:tcW w:w="2160" w:type="dxa"/>
                            <w:vAlign w:val="center"/>
                          </w:tcPr>
                          <w:p w14:paraId="509643BD">
                            <w:pPr>
                              <w:spacing w:line="480" w:lineRule="auto"/>
                              <w:jc w:val="right"/>
                              <w:rPr>
                                <w:w w:val="90"/>
                                <w:sz w:val="30"/>
                                <w:szCs w:val="32"/>
                              </w:rPr>
                            </w:pPr>
                            <w:r>
                              <w:rPr>
                                <w:rFonts w:hint="eastAsia"/>
                                <w:sz w:val="30"/>
                                <w:szCs w:val="32"/>
                              </w:rPr>
                              <w:t>依托单位：</w:t>
                            </w:r>
                          </w:p>
                        </w:tc>
                        <w:tc>
                          <w:tcPr>
                            <w:tcW w:w="6202" w:type="dxa"/>
                            <w:vAlign w:val="center"/>
                          </w:tcPr>
                          <w:p w14:paraId="2FB17869">
                            <w:pPr>
                              <w:spacing w:line="480" w:lineRule="auto"/>
                              <w:rPr>
                                <w:sz w:val="30"/>
                                <w:szCs w:val="32"/>
                                <w:u w:val="dotted"/>
                              </w:rPr>
                            </w:pPr>
                            <w:r>
                              <w:rPr>
                                <w:rFonts w:hint="eastAsia"/>
                                <w:sz w:val="30"/>
                                <w:szCs w:val="32"/>
                                <w:u w:val="dotted"/>
                              </w:rPr>
                              <w:t xml:space="preserve"> 理学院 </w:t>
                            </w:r>
                            <w:r>
                              <w:rPr>
                                <w:rFonts w:hint="eastAsia"/>
                                <w:bCs/>
                                <w:sz w:val="30"/>
                                <w:szCs w:val="30"/>
                                <w:u w:val="dotted"/>
                              </w:rPr>
                              <w:t xml:space="preserve">                 </w:t>
                            </w:r>
                            <w:r>
                              <w:rPr>
                                <w:rFonts w:hint="eastAsia"/>
                                <w:sz w:val="30"/>
                                <w:szCs w:val="32"/>
                                <w:u w:val="dotted"/>
                              </w:rPr>
                              <w:t xml:space="preserve">                                     </w:t>
                            </w:r>
                          </w:p>
                        </w:tc>
                      </w:tr>
                    </w:tbl>
                    <w:p w14:paraId="3215148F">
                      <w:pPr>
                        <w:spacing w:line="480" w:lineRule="auto"/>
                      </w:pPr>
                    </w:p>
                  </w:txbxContent>
                </v:textbox>
              </v:shape>
            </w:pict>
          </mc:Fallback>
        </mc:AlternateContent>
      </w:r>
    </w:p>
    <w:p w14:paraId="710D818C">
      <w:pPr>
        <w:adjustRightInd w:val="0"/>
        <w:snapToGrid w:val="0"/>
        <w:spacing w:line="480" w:lineRule="auto"/>
        <w:rPr>
          <w:bCs/>
          <w:sz w:val="32"/>
          <w:szCs w:val="32"/>
        </w:rPr>
      </w:pPr>
    </w:p>
    <w:p w14:paraId="2E2FC315">
      <w:pPr>
        <w:adjustRightInd w:val="0"/>
        <w:snapToGrid w:val="0"/>
        <w:spacing w:line="480" w:lineRule="auto"/>
        <w:rPr>
          <w:bCs/>
          <w:sz w:val="32"/>
          <w:szCs w:val="32"/>
        </w:rPr>
      </w:pPr>
    </w:p>
    <w:p w14:paraId="795BD3C4">
      <w:pPr>
        <w:adjustRightInd w:val="0"/>
        <w:snapToGrid w:val="0"/>
        <w:spacing w:line="480" w:lineRule="auto"/>
        <w:rPr>
          <w:bCs/>
          <w:sz w:val="32"/>
          <w:szCs w:val="32"/>
        </w:rPr>
      </w:pPr>
    </w:p>
    <w:p w14:paraId="52D80FEC">
      <w:pPr>
        <w:adjustRightInd w:val="0"/>
        <w:snapToGrid w:val="0"/>
        <w:spacing w:line="480" w:lineRule="auto"/>
        <w:ind w:firstLine="720" w:firstLineChars="300"/>
        <w:rPr>
          <w:sz w:val="24"/>
        </w:rPr>
      </w:pPr>
    </w:p>
    <w:p w14:paraId="45E7A52E">
      <w:pPr>
        <w:jc w:val="center"/>
        <w:rPr>
          <w:sz w:val="28"/>
          <w:szCs w:val="28"/>
        </w:rPr>
      </w:pPr>
      <w:r>
        <w:rPr>
          <w:rFonts w:hint="eastAsia"/>
          <w:sz w:val="28"/>
          <w:szCs w:val="28"/>
        </w:rPr>
        <w:t>2026年5月18日</w:t>
      </w:r>
    </w:p>
    <w:p w14:paraId="62B8A462">
      <w:pPr>
        <w:spacing w:before="60" w:line="360" w:lineRule="auto"/>
        <w:jc w:val="center"/>
        <w:rPr>
          <w:b/>
          <w:sz w:val="28"/>
          <w:szCs w:val="28"/>
        </w:rPr>
      </w:pPr>
      <w:r>
        <w:rPr>
          <w:rFonts w:hint="eastAsia"/>
          <w:b/>
          <w:sz w:val="28"/>
          <w:szCs w:val="28"/>
        </w:rPr>
        <w:t>项目结题验收报告书</w:t>
      </w:r>
    </w:p>
    <w:p w14:paraId="6087392A">
      <w:pPr>
        <w:spacing w:before="60" w:line="360" w:lineRule="auto"/>
        <w:ind w:firstLine="420"/>
        <w:rPr>
          <w:sz w:val="24"/>
        </w:rPr>
      </w:pPr>
      <w:r>
        <w:t>整体来看，本项目已较好完成立项时提出的研究目标，不仅识别并量化了大语言模型（LLM，Large Language Model）输出文本的人类选择偏好数据中存在的长度偏好与格式偏好，还通过净效应控制、稳健性检验和结构方程模型等统计学方法将课题推进到路径机制探索层面。项目已形成较完整的代码、数据、结果和文档体系，具备论文写作、答辩展示与后续扩展研究的基础。</w:t>
      </w:r>
    </w:p>
    <w:p w14:paraId="3EA8D9DF">
      <w:pPr>
        <w:numPr>
          <w:ilvl w:val="0"/>
          <w:numId w:val="1"/>
        </w:numPr>
        <w:spacing w:before="60" w:line="360" w:lineRule="auto"/>
        <w:ind w:firstLine="420"/>
        <w:rPr>
          <w:b/>
          <w:sz w:val="24"/>
        </w:rPr>
      </w:pPr>
      <w:r>
        <w:rPr>
          <w:rFonts w:hint="eastAsia"/>
          <w:b/>
          <w:sz w:val="24"/>
        </w:rPr>
        <w:t>预期目标及完成情况</w:t>
      </w:r>
    </w:p>
    <w:p w14:paraId="6EBB2324">
      <w:pPr>
        <w:spacing w:before="60" w:line="360" w:lineRule="auto"/>
        <w:ind w:firstLine="480"/>
        <w:rPr>
          <w:sz w:val="24"/>
        </w:rPr>
      </w:pPr>
      <w:r>
        <w:t>本项目立项时设定的核心目标一共包括四项，目前都已经完成：</w:t>
      </w:r>
    </w:p>
    <w:p w14:paraId="5E9315A1">
      <w:pPr>
        <w:spacing w:before="60" w:line="360" w:lineRule="auto"/>
        <w:ind w:firstLine="480"/>
        <w:rPr>
          <w:b/>
          <w:bCs/>
          <w:sz w:val="24"/>
        </w:rPr>
      </w:pPr>
      <w:r>
        <w:rPr>
          <w:rFonts w:hint="eastAsia"/>
          <w:b/>
          <w:bCs/>
          <w:sz w:val="24"/>
        </w:rPr>
        <w:t>1.原始数据的探索、清洗与重构</w:t>
      </w:r>
    </w:p>
    <w:p w14:paraId="4BB1A5BE">
      <w:pPr>
        <w:spacing w:before="60" w:line="360" w:lineRule="auto"/>
        <w:ind w:firstLine="420"/>
        <w:rPr>
          <w:sz w:val="24"/>
        </w:rPr>
      </w:pPr>
      <w:r>
        <w:t>一是，项目对于原始数据进行梳理、分析与清洗。按照研究逻辑对 LMArena 的 arena-human-preference-140k 数据进行完整性检验、整合、结构审查与字段探索，明确原始数据的会话层级分为 Session、Order、Turn，并掌握了role、content、conv_metadata、category_tag等字段的数值特征与真实含义。</w:t>
      </w:r>
    </w:p>
    <w:p w14:paraId="79304535">
      <w:pPr>
        <w:spacing w:before="60" w:line="360" w:lineRule="auto"/>
        <w:ind w:firstLine="420"/>
        <w:rPr>
          <w:sz w:val="24"/>
        </w:rPr>
      </w:pPr>
      <w:r>
        <w:rPr>
          <w:rFonts w:hint="eastAsia"/>
          <w:sz w:val="24"/>
        </w:rPr>
        <w:t>接着，项目对于原始数据进行了结构优化与子集划分。去除了原始数据中缺失、异常的内容，并将各字段重构为更符合逻辑、更适合调用的结构，生成优化数据；再按照任务类型（category_tag）将优化数据划分为多个子集，方便后续结合现实场景的细化研究。</w:t>
      </w:r>
    </w:p>
    <w:p w14:paraId="735162F9">
      <w:pPr>
        <w:spacing w:before="60" w:line="360" w:lineRule="auto"/>
        <w:ind w:firstLine="420"/>
        <w:rPr>
          <w:sz w:val="24"/>
        </w:rPr>
      </w:pPr>
      <w:r>
        <w:rPr>
          <w:rFonts w:hint="eastAsia"/>
          <w:sz w:val="24"/>
        </w:rPr>
        <w:t>随后，项目将数据进行可视化，完成描述性统计。基于长度偏好、格式偏好与胜率的相关性，依次对于优化数据全集与各类别的全集完成了包含折线图、条形图、分箱表在内的统计图表，可借助图像初步抽象理解偏好的存在。</w:t>
      </w:r>
    </w:p>
    <w:p w14:paraId="7F0A1844">
      <w:pPr>
        <w:spacing w:before="60" w:line="360" w:lineRule="auto"/>
        <w:ind w:firstLine="420"/>
        <w:rPr>
          <w:b/>
          <w:bCs/>
          <w:sz w:val="24"/>
        </w:rPr>
      </w:pPr>
      <w:r>
        <w:rPr>
          <w:rFonts w:hint="eastAsia"/>
          <w:b/>
          <w:bCs/>
          <w:sz w:val="24"/>
        </w:rPr>
        <w:t>2.人类偏好的存在性检验与强度量化</w:t>
      </w:r>
    </w:p>
    <w:p w14:paraId="641827B8">
      <w:pPr>
        <w:spacing w:before="60" w:line="360" w:lineRule="auto"/>
        <w:ind w:firstLine="420"/>
        <w:rPr>
          <w:sz w:val="24"/>
        </w:rPr>
      </w:pPr>
      <w:r>
        <w:t>项目对于长度偏好和格式偏好开展了存在性检验。由于数据本身具备严格配对、分布呈现偏态、长尾等特征，采用 Wilcoxon 符号秩检验进行显著性测试，并将Wilcoxon 统计量转成 rank-biserial 相关系数，完成效应量计算，再配合 Bootstrap 中位数区间实现置信区间判断，同时还利用 Cohen’s d 与 Hedges’ g 作为参考参数，进一步加强结论可靠性。</w:t>
      </w:r>
    </w:p>
    <w:p w14:paraId="0DB8AEB0">
      <w:pPr>
        <w:spacing w:before="60" w:line="360" w:lineRule="auto"/>
        <w:ind w:firstLine="420"/>
        <w:rPr>
          <w:sz w:val="24"/>
        </w:rPr>
      </w:pPr>
      <w:r>
        <w:t>由以上检验可得出初步结论：长度偏好在各主要任务类型中均表现出更基础、更稳健的统计优势，但这并不意味着长度本身可以被简单等同为质量。格式偏好同样存在，但内部差异更大：标题与粗体在控制混淆后仍保留独立正向信号，而列表效应在本文采用了的密度指标与控制框架下更接近长度扩张和文本组织方式的伴生结果。</w:t>
      </w:r>
    </w:p>
    <w:p w14:paraId="2C772CC3">
      <w:pPr>
        <w:spacing w:before="60" w:line="360" w:lineRule="auto"/>
        <w:rPr>
          <w:sz w:val="24"/>
        </w:rPr>
      </w:pPr>
      <w:r>
        <w:rPr>
          <w:b/>
          <w:bCs/>
          <w:sz w:val="24"/>
        </w:rPr>
        <w:tab/>
      </w:r>
      <w:r>
        <w:rPr>
          <w:rFonts w:hint="eastAsia"/>
          <w:b/>
          <w:bCs/>
          <w:sz w:val="24"/>
        </w:rPr>
        <w:t>3.伪相关性建模与控制混淆变量</w:t>
      </w:r>
    </w:p>
    <w:p w14:paraId="72FCFF2A">
      <w:pPr>
        <w:spacing w:before="60" w:line="360" w:lineRule="auto"/>
        <w:ind w:firstLine="480"/>
        <w:rPr>
          <w:sz w:val="24"/>
        </w:rPr>
      </w:pPr>
      <w:r>
        <w:t>项目通过嵌套逻辑回归、调整逻辑回归、稳定化逆概率加权和倾向得分匹配，对模型能力差、冗长度风格、格式倾向、任务类型与问题维度等潜在混淆因素进行了系统控制。研究发现，模型能力与平均长度、平均格式数存在明显相关，因而模型层混淆必须显式进入控制框架。控制混淆后，全量样本的长度净效应仍保留，嵌套逻辑回归 M3 中 OR 为 1.3551，调整逻辑回归中 OR 为 1.9103，IPW ATE 为 0.1489；标题密度与粗体密度在控制长度和其余格式后也保留独立正向效应。匹配诊断进一步显示，mean|SMD| 由 0.2502 降至 0.0597，匹配后 ATE 仍为 0.1601，说明主结论不依赖原始样本失衡。</w:t>
      </w:r>
    </w:p>
    <w:p w14:paraId="5F4E7AF8">
      <w:pPr>
        <w:spacing w:before="60" w:line="360" w:lineRule="auto"/>
        <w:ind w:firstLine="420"/>
        <w:rPr>
          <w:sz w:val="24"/>
        </w:rPr>
      </w:pPr>
      <w:r>
        <w:rPr>
          <w:rFonts w:hint="eastAsia"/>
          <w:b/>
          <w:bCs/>
          <w:sz w:val="24"/>
        </w:rPr>
        <w:t>4.</w:t>
      </w:r>
      <w:r>
        <w:rPr>
          <w:b/>
          <w:bCs/>
          <w:sz w:val="24"/>
        </w:rPr>
        <w:t>偏好影响机制与路径探索</w:t>
      </w:r>
    </w:p>
    <w:p w14:paraId="14112675">
      <w:pPr>
        <w:spacing w:before="60" w:line="360" w:lineRule="auto"/>
        <w:ind w:firstLine="480"/>
        <w:rPr>
          <w:sz w:val="24"/>
        </w:rPr>
      </w:pPr>
      <w:r>
        <w:t>该目标已基本完成。项目构建了以长度差、标题密度差和粗体密度差为核心路径层变量（在本文建模框架下）的结构方程模型，并以任务类型、问题维度、模型能力差、冗长度风格差和格式倾向差作为外生控制变量。模型拟合优度较高，主模型的 CFI 为 0.9998，TLI 为 0.9998，RMSEA 为 0.0030。Bootstrap 结果显示，标题密度和粗体密度的直接效应区间均排除 0，说明其有较为清晰的路径层支持；长度直接效应区间跨 0，提示长度虽在统计层面稳健相关，但在机制层面仍兼具风格代理与信息承载的复合属性。还需要说明的是，本研究所称“路径层变量”，是指在路径模型中承接外生控制变量与偏好结果关系的观测变量，并不意味着已经通过实验设计识别出严格因果中介效应，也就是说，项目已经从“识别偏好是否存在”推进到“讨论偏好如何形成”的层面，但对长度路径的进一步细分仍有深化空间。</w:t>
      </w:r>
    </w:p>
    <w:p w14:paraId="32945AE0">
      <w:pPr>
        <w:spacing w:before="60" w:line="360" w:lineRule="auto"/>
        <w:ind w:firstLine="480"/>
        <w:rPr>
          <w:b/>
          <w:bCs/>
          <w:sz w:val="24"/>
        </w:rPr>
      </w:pPr>
      <w:r>
        <w:rPr>
          <w:rFonts w:hint="eastAsia"/>
          <w:b/>
          <w:bCs/>
          <w:sz w:val="24"/>
        </w:rPr>
        <w:t>具体成果产出</w:t>
      </w:r>
    </w:p>
    <w:p w14:paraId="3DC9E64E">
      <w:pPr>
        <w:spacing w:before="60" w:line="360" w:lineRule="auto"/>
        <w:ind w:firstLine="480"/>
        <w:rPr>
          <w:sz w:val="24"/>
        </w:rPr>
      </w:pPr>
      <w:r>
        <w:rPr>
          <w:rFonts w:hint="eastAsia"/>
          <w:sz w:val="24"/>
        </w:rPr>
        <w:t>与立项计划相比，项目的主要预期成果已基本形成：</w:t>
      </w:r>
    </w:p>
    <w:p w14:paraId="059514A9">
      <w:pPr>
        <w:spacing w:before="60" w:line="360" w:lineRule="auto"/>
        <w:ind w:firstLine="480"/>
        <w:rPr>
          <w:sz w:val="24"/>
        </w:rPr>
      </w:pPr>
      <w:r>
        <w:rPr>
          <w:rFonts w:hint="eastAsia"/>
          <w:sz w:val="24"/>
        </w:rPr>
        <w:t>1. 已形成完整的青苗计划结题材料，其中包括本结题报告书。</w:t>
      </w:r>
    </w:p>
    <w:p w14:paraId="43463990">
      <w:pPr>
        <w:spacing w:before="60" w:line="360" w:lineRule="auto"/>
        <w:ind w:firstLine="480"/>
        <w:rPr>
          <w:sz w:val="24"/>
        </w:rPr>
      </w:pPr>
      <w:r>
        <w:rPr>
          <w:rFonts w:hint="eastAsia"/>
          <w:sz w:val="24"/>
        </w:rPr>
        <w:t>2. 已形成结构化统计分析结果，覆盖 Reports、Tables 和 Pictures 三类结果文件。</w:t>
      </w:r>
    </w:p>
    <w:p w14:paraId="781B1C8E">
      <w:pPr>
        <w:spacing w:before="60" w:line="360" w:lineRule="auto"/>
        <w:ind w:firstLine="480"/>
        <w:rPr>
          <w:sz w:val="24"/>
        </w:rPr>
      </w:pPr>
      <w:r>
        <w:rPr>
          <w:rFonts w:hint="eastAsia"/>
          <w:sz w:val="24"/>
        </w:rPr>
        <w:t>3. 已形成可复现的 Python 分析代码，主分析链覆盖 C01 至 C22。</w:t>
      </w:r>
    </w:p>
    <w:p w14:paraId="43236C38">
      <w:pPr>
        <w:spacing w:before="60" w:line="360" w:lineRule="auto"/>
        <w:ind w:firstLine="480"/>
        <w:rPr>
          <w:sz w:val="24"/>
        </w:rPr>
      </w:pPr>
      <w:r>
        <w:t>4. 已完成论文初稿撰写，并在这个基础上持续完善方法说明与机制解释部分。</w:t>
      </w:r>
    </w:p>
    <w:p w14:paraId="4F437DD9">
      <w:pPr>
        <w:spacing w:before="60" w:line="360" w:lineRule="auto"/>
        <w:ind w:firstLine="480"/>
        <w:rPr>
          <w:sz w:val="24"/>
        </w:rPr>
      </w:pPr>
      <w:r>
        <w:rPr>
          <w:rFonts w:hint="eastAsia"/>
          <w:sz w:val="24"/>
        </w:rPr>
        <w:t>5. 已准备答辩展示材料，包括演示文档、主要图表和说明文本。</w:t>
      </w:r>
    </w:p>
    <w:p w14:paraId="6B3FC4BF">
      <w:pPr>
        <w:spacing w:before="60" w:line="360" w:lineRule="auto"/>
        <w:ind w:firstLine="480"/>
        <w:rPr>
          <w:b/>
          <w:sz w:val="24"/>
        </w:rPr>
      </w:pPr>
      <w:r>
        <w:rPr>
          <w:rFonts w:hint="eastAsia"/>
          <w:b/>
          <w:sz w:val="24"/>
        </w:rPr>
        <w:t>二、学术及应用价值</w:t>
      </w:r>
    </w:p>
    <w:p w14:paraId="6E1F41D5">
      <w:pPr>
        <w:spacing w:before="60" w:line="360" w:lineRule="auto"/>
        <w:ind w:firstLine="480"/>
        <w:rPr>
          <w:rFonts w:hint="eastAsia" w:ascii="宋体" w:hAnsi="宋体"/>
          <w:b/>
          <w:bCs/>
          <w:sz w:val="24"/>
        </w:rPr>
      </w:pPr>
      <w:r>
        <w:rPr>
          <w:rFonts w:hint="eastAsia" w:ascii="宋体" w:hAnsi="宋体"/>
          <w:b/>
          <w:bCs/>
          <w:sz w:val="24"/>
        </w:rPr>
        <w:t>1.学术价值</w:t>
      </w:r>
    </w:p>
    <w:p w14:paraId="298DBF8A">
      <w:pPr>
        <w:spacing w:before="60" w:line="360" w:lineRule="auto"/>
        <w:ind w:firstLine="480"/>
        <w:rPr>
          <w:sz w:val="24"/>
        </w:rPr>
      </w:pPr>
      <w:r>
        <w:t>本项目的学术价值主要可以从三个方面来看。</w:t>
      </w:r>
    </w:p>
    <w:p w14:paraId="34626A8A">
      <w:pPr>
        <w:spacing w:before="60" w:line="360" w:lineRule="auto"/>
        <w:ind w:firstLine="480"/>
        <w:rPr>
          <w:sz w:val="24"/>
        </w:rPr>
      </w:pPr>
      <w:r>
        <w:t>一是，项目将研究焦点从“如何利用人类反馈数据对LLM进行强化学习（RLHF，Reinforcement Learning from Human Feedback）”前移到“偏好数据本身是否带有潜在偏好”，从而把人类偏好数据视为需要被审查和解释的研究对象，挖掘数据源头的特性，这一视角有助于解决当前 RLHF 与偏好对齐研究中对训练数据自身特质关注度不足的问题。</w:t>
      </w:r>
    </w:p>
    <w:p w14:paraId="4F534E3E">
      <w:pPr>
        <w:spacing w:before="60" w:line="360" w:lineRule="auto"/>
        <w:ind w:firstLine="480"/>
        <w:rPr>
          <w:sz w:val="24"/>
        </w:rPr>
      </w:pPr>
      <w:r>
        <w:t>二是，项目在方法上形成了较完整的统计实证研究链条，即“研究对象确认—数据处理—现象识别—描述性统计—存在性检验—净效应估算—稳健性检验—机制探索”。和仅停留在描述性观察或单一回归建模，本项目把非参数检验、效应量、回归控制、逆概率加权（IPW，Inverse Probability Weighting）、倾向得分匹配（PSM，Propensity Score Matching）和结构方程模型（SEM，Structural Equation Model）依照研究逻辑整合到一条可实践、可遵循的路径中，为后续同类偏好研究提供了方法论参考。</w:t>
      </w:r>
    </w:p>
    <w:p w14:paraId="49ED7664">
      <w:pPr>
        <w:spacing w:before="60" w:line="360" w:lineRule="auto"/>
        <w:ind w:firstLine="480"/>
        <w:rPr>
          <w:sz w:val="24"/>
        </w:rPr>
      </w:pPr>
      <w:r>
        <w:t>三是，项目在结果上不仅识别出长度偏好和格式偏好，还进一步区分了不同格式变量的稳定性差异，提出“标题与粗体有更清晰的路径层支持，而列表在本文采用了的密度指标与控制框架下更像长度和风格的伴生指标”的判断，进一步挖掘次级结论，这使研究结论不再停留在“长回答更易获胜”的粗粒度层面，而推进到更细的机制解释层次。</w:t>
      </w:r>
    </w:p>
    <w:p w14:paraId="5743ACAB">
      <w:pPr>
        <w:spacing w:before="60" w:line="360" w:lineRule="auto"/>
        <w:ind w:firstLine="420"/>
        <w:rPr>
          <w:rFonts w:hint="eastAsia" w:ascii="宋体" w:hAnsi="宋体"/>
          <w:b/>
          <w:bCs/>
          <w:sz w:val="24"/>
        </w:rPr>
      </w:pPr>
      <w:r>
        <w:rPr>
          <w:rFonts w:hint="eastAsia" w:ascii="宋体" w:hAnsi="宋体"/>
          <w:b/>
          <w:bCs/>
          <w:sz w:val="24"/>
        </w:rPr>
        <w:t>2.应用价值</w:t>
      </w:r>
    </w:p>
    <w:p w14:paraId="7F1F8EEE">
      <w:pPr>
        <w:spacing w:before="60" w:line="360" w:lineRule="auto"/>
        <w:ind w:firstLine="480"/>
        <w:rPr>
          <w:sz w:val="24"/>
        </w:rPr>
      </w:pPr>
      <w:r>
        <w:rPr>
          <w:rFonts w:hint="eastAsia"/>
          <w:sz w:val="24"/>
        </w:rPr>
        <w:t>本项目的应用价值主要集中在LLM训练数据的偏好管理和RLHF的奖励模型（RM，Reward Model）设计方向。</w:t>
      </w:r>
    </w:p>
    <w:p w14:paraId="3FBB6D63">
      <w:pPr>
        <w:spacing w:before="60" w:line="360" w:lineRule="auto"/>
        <w:ind w:firstLine="480"/>
        <w:rPr>
          <w:sz w:val="24"/>
        </w:rPr>
      </w:pPr>
      <w:r>
        <w:t>一是，项目结果表明，人类偏好标签并不是纯粹反映内容质量，也会受到长度和结构化表达的影响，这也说明在构建偏好训练集时，需要更加重视长度、标题、粗体等形式变量的分布平衡，以避免训练数据在源头上对某类与内容无关的表达方式存在偏好。</w:t>
      </w:r>
    </w:p>
    <w:p w14:paraId="4EA7838E">
      <w:pPr>
        <w:spacing w:before="60" w:line="360" w:lineRule="auto"/>
        <w:ind w:firstLine="480"/>
        <w:rPr>
          <w:sz w:val="24"/>
        </w:rPr>
      </w:pPr>
      <w:r>
        <w:t>二是，项目为RM去偏提供了操作性思路。结果显示，若不显式控制长度和格式变量，模型可能把“更会展开”和“更会排版”错误地理解为“更高质量”，这样一来，本项目的结果可以为后续RM特征选择、样本重加权、对比样本构造和评估准则设计提供经验依据。</w:t>
      </w:r>
    </w:p>
    <w:p w14:paraId="29EC2D43">
      <w:pPr>
        <w:spacing w:before="60" w:line="360" w:lineRule="auto"/>
        <w:ind w:firstLine="480"/>
        <w:rPr>
          <w:b/>
          <w:sz w:val="24"/>
        </w:rPr>
      </w:pPr>
      <w:r>
        <w:rPr>
          <w:rFonts w:hint="eastAsia"/>
          <w:b/>
          <w:sz w:val="24"/>
        </w:rPr>
        <w:t>三、研究存在的不足或欠缺</w:t>
      </w:r>
    </w:p>
    <w:p w14:paraId="15162C42">
      <w:pPr>
        <w:spacing w:before="60" w:line="360" w:lineRule="auto"/>
        <w:ind w:firstLine="480"/>
        <w:rPr>
          <w:sz w:val="24"/>
        </w:rPr>
      </w:pPr>
      <w:r>
        <w:rPr>
          <w:rFonts w:hint="eastAsia"/>
          <w:sz w:val="24"/>
        </w:rPr>
        <w:t>尽管本项目已完成主要研究目标，但仍存在若干不足，需要在正式论文、后续研究或成果扩展中继续补充完善。</w:t>
      </w:r>
    </w:p>
    <w:p w14:paraId="0EAC97CD">
      <w:pPr>
        <w:spacing w:before="60" w:line="360" w:lineRule="auto"/>
        <w:ind w:firstLine="480"/>
        <w:rPr>
          <w:sz w:val="24"/>
        </w:rPr>
      </w:pPr>
      <w:r>
        <w:t>一是，数据外推性仍有限。当前分析主要基于 LMArena 单一来源的人类偏好数据，虽然样本规模较大，但不同平台、不同信源、不同语言和不同评价标准下是否仍存在相似强度的长度与格式偏好，尚需进一步验证。</w:t>
      </w:r>
    </w:p>
    <w:p w14:paraId="0E485351">
      <w:pPr>
        <w:spacing w:before="60" w:line="360" w:lineRule="auto"/>
        <w:ind w:firstLine="480"/>
        <w:rPr>
          <w:sz w:val="24"/>
        </w:rPr>
      </w:pPr>
    </w:p>
    <w:p w14:paraId="2AA4E8A1">
      <w:pPr>
        <w:spacing w:before="60" w:line="360" w:lineRule="auto"/>
        <w:ind w:firstLine="480"/>
        <w:rPr>
          <w:sz w:val="24"/>
        </w:rPr>
      </w:pPr>
      <w:r>
        <w:t>二是，长度机制解释仍可进一步细化。项目已经证明长度优势在多种稳健性框架下存在，但结构方程模型同时表明，长度在机制层面仍混合了承载信息量、模型能力、冗长度风格和表达组织方式等多种因素，这样一来，现阶段更适合将长度解释为“稳健存在但尚未彻底拆分的综合性变量”，而不是将其简化为单一路径效应。</w:t>
      </w:r>
    </w:p>
    <w:p w14:paraId="436CCFF8">
      <w:pPr>
        <w:spacing w:before="60" w:line="360" w:lineRule="auto"/>
        <w:ind w:firstLine="480"/>
        <w:rPr>
          <w:sz w:val="24"/>
        </w:rPr>
      </w:pPr>
      <w:r>
        <w:t>三是，部分任务子集样本量偏小。部分多标签重叠子集在若干分析模块中因样本量不足而被跳过，这限制了项目对高复杂度任务组合的特殊性研究深度。后续如能引入更多异质数据或调整任务划分标准，可进一步完成对于特例的解释。</w:t>
      </w:r>
    </w:p>
    <w:p w14:paraId="1F263F77">
      <w:pPr>
        <w:spacing w:before="60" w:line="360" w:lineRule="auto"/>
        <w:ind w:firstLine="480"/>
        <w:rPr>
          <w:sz w:val="24"/>
        </w:rPr>
      </w:pPr>
      <w:r>
        <w:t>四是，路径层变量和质量变量仍可扩展。当前项目已纳入任务类型、问题特性以及长度和格式密度等变量，但对“情绪指标”“语义冗余度”“回答结构完整度”等更细的回复级指标尚未充分展开，若补充这些变量，偏好形成路径的解释将更加完整。</w:t>
      </w:r>
    </w:p>
    <w:p w14:paraId="6DC2787E">
      <w:pPr>
        <w:spacing w:before="60" w:line="360" w:lineRule="auto"/>
        <w:ind w:firstLine="480"/>
        <w:rPr>
          <w:b/>
          <w:bCs/>
          <w:sz w:val="24"/>
        </w:rPr>
      </w:pPr>
      <w:r>
        <w:rPr>
          <w:rFonts w:hint="eastAsia"/>
          <w:b/>
          <w:bCs/>
          <w:sz w:val="24"/>
        </w:rPr>
        <w:t>四、经费使用情况</w:t>
      </w:r>
    </w:p>
    <w:tbl>
      <w:tblPr>
        <w:tblStyle w:val="14"/>
        <w:tblW w:w="9338" w:type="dxa"/>
        <w:tblInd w:w="98" w:type="dxa"/>
        <w:tblLayout w:type="fixed"/>
        <w:tblCellMar>
          <w:top w:w="0" w:type="dxa"/>
          <w:left w:w="108" w:type="dxa"/>
          <w:bottom w:w="0" w:type="dxa"/>
          <w:right w:w="108" w:type="dxa"/>
        </w:tblCellMar>
      </w:tblPr>
      <w:tblGrid>
        <w:gridCol w:w="1315"/>
        <w:gridCol w:w="1417"/>
        <w:gridCol w:w="993"/>
        <w:gridCol w:w="1275"/>
        <w:gridCol w:w="4338"/>
      </w:tblGrid>
      <w:tr w14:paraId="24120B9C">
        <w:tblPrEx>
          <w:tblCellMar>
            <w:top w:w="0" w:type="dxa"/>
            <w:left w:w="108" w:type="dxa"/>
            <w:bottom w:w="0" w:type="dxa"/>
            <w:right w:w="108" w:type="dxa"/>
          </w:tblCellMar>
        </w:tblPrEx>
        <w:trPr>
          <w:trHeight w:val="916"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58955B07">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支出类目</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74D2130D">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单价（元）</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3A31CF10">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数量</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3E15DAC">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金额（元）</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17D3668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用途说明</w:t>
            </w:r>
          </w:p>
        </w:tc>
      </w:tr>
      <w:tr w14:paraId="27047010">
        <w:tblPrEx>
          <w:tblCellMar>
            <w:top w:w="0" w:type="dxa"/>
            <w:left w:w="108" w:type="dxa"/>
            <w:bottom w:w="0" w:type="dxa"/>
            <w:right w:w="108" w:type="dxa"/>
          </w:tblCellMar>
        </w:tblPrEx>
        <w:trPr>
          <w:trHeight w:val="614"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63543816">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数据存储与处理</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30F88AB8">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100</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49EE8FC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1项</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00FBF4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100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572AFBA3">
            <w:pPr>
              <w:widowControl/>
              <w:textAlignment w:val="center"/>
              <w:rPr>
                <w:rFonts w:hint="eastAsia" w:ascii="宋体" w:hAnsi="宋体" w:cs="宋体"/>
                <w:color w:val="000000"/>
                <w:sz w:val="24"/>
              </w:rPr>
            </w:pPr>
            <w:r>
              <w:rPr>
                <w:rFonts w:hint="eastAsia" w:ascii="宋体" w:hAnsi="宋体" w:cs="宋体"/>
                <w:color w:val="000000"/>
                <w:kern w:val="0"/>
                <w:sz w:val="24"/>
                <w:lang w:bidi="ar"/>
              </w:rPr>
              <w:t>用于存储的移动硬盘，保障大规模数据集、研究代码的安全备份与高效处理。</w:t>
            </w:r>
          </w:p>
        </w:tc>
      </w:tr>
      <w:tr w14:paraId="25444A77">
        <w:tblPrEx>
          <w:tblCellMar>
            <w:top w:w="0" w:type="dxa"/>
            <w:left w:w="108" w:type="dxa"/>
            <w:bottom w:w="0" w:type="dxa"/>
            <w:right w:w="108" w:type="dxa"/>
          </w:tblCellMar>
        </w:tblPrEx>
        <w:trPr>
          <w:trHeight w:val="916"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704BD31A">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打印与资料复印</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27EE7C9D">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0.1</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032F69BB">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200页</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4CF7E47A">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20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5D050958">
            <w:pPr>
              <w:widowControl/>
              <w:textAlignment w:val="center"/>
              <w:rPr>
                <w:rFonts w:hint="eastAsia" w:ascii="宋体" w:hAnsi="宋体" w:cs="宋体"/>
                <w:color w:val="000000"/>
                <w:sz w:val="24"/>
              </w:rPr>
            </w:pPr>
            <w:r>
              <w:rPr>
                <w:rFonts w:hint="eastAsia" w:ascii="宋体" w:hAnsi="宋体" w:cs="宋体"/>
                <w:color w:val="000000"/>
                <w:kern w:val="0"/>
                <w:sz w:val="24"/>
                <w:lang w:bidi="ar"/>
              </w:rPr>
              <w:t>用于打印文献资料、中期检查表及最终结题报告。</w:t>
            </w:r>
          </w:p>
        </w:tc>
      </w:tr>
      <w:tr w14:paraId="525E6180">
        <w:tblPrEx>
          <w:tblCellMar>
            <w:top w:w="0" w:type="dxa"/>
            <w:left w:w="108" w:type="dxa"/>
            <w:bottom w:w="0" w:type="dxa"/>
            <w:right w:w="108" w:type="dxa"/>
          </w:tblCellMar>
        </w:tblPrEx>
        <w:trPr>
          <w:trHeight w:val="614"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47E9745F">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研究助理Agent</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622242B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140</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576751E2">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1期</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1BD234B">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140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3FFFC611">
            <w:pPr>
              <w:widowControl/>
              <w:textAlignment w:val="center"/>
              <w:rPr>
                <w:rFonts w:hint="eastAsia" w:ascii="宋体" w:hAnsi="宋体" w:cs="宋体"/>
                <w:color w:val="000000"/>
                <w:sz w:val="24"/>
              </w:rPr>
            </w:pPr>
            <w:r>
              <w:rPr>
                <w:rFonts w:hint="eastAsia" w:ascii="宋体" w:hAnsi="宋体" w:cs="宋体"/>
                <w:color w:val="000000"/>
                <w:kern w:val="0"/>
                <w:sz w:val="24"/>
                <w:lang w:bidi="ar"/>
              </w:rPr>
              <w:t>协助工程文件管理、数据处理</w:t>
            </w:r>
          </w:p>
        </w:tc>
      </w:tr>
    </w:tbl>
    <w:p w14:paraId="05FECAF2">
      <w:pPr>
        <w:spacing w:before="60" w:line="360" w:lineRule="auto"/>
        <w:ind w:firstLine="480"/>
        <w:rPr>
          <w:sz w:val="24"/>
        </w:rPr>
      </w:pPr>
    </w:p>
    <w:p w14:paraId="1ABC5C51">
      <w:pPr>
        <w:spacing w:before="60" w:line="360" w:lineRule="auto"/>
        <w:ind w:firstLine="480"/>
        <w:rPr>
          <w:sz w:val="24"/>
        </w:rPr>
      </w:pPr>
    </w:p>
    <w:p w14:paraId="472E3DF5">
      <w:pPr>
        <w:spacing w:before="60" w:line="360" w:lineRule="auto"/>
        <w:ind w:firstLine="480"/>
        <w:rPr>
          <w:sz w:val="24"/>
        </w:rPr>
      </w:pPr>
    </w:p>
    <w:p w14:paraId="4FAE653F">
      <w:pPr>
        <w:spacing w:before="60" w:line="360" w:lineRule="auto"/>
        <w:rPr>
          <w:szCs w:val="21"/>
        </w:rPr>
      </w:pPr>
    </w:p>
    <w:p w14:paraId="27C444DE">
      <w:pPr>
        <w:pStyle w:val="2"/>
        <w:rPr>
          <w:rFonts w:hint="eastAsia" w:ascii="黑体" w:hAnsi="黑体" w:eastAsia="黑体"/>
          <w:sz w:val="32"/>
          <w:szCs w:val="32"/>
        </w:rPr>
      </w:pPr>
      <w:r>
        <w:rPr>
          <w:szCs w:val="28"/>
        </w:rPr>
        <w:br w:type="page"/>
      </w:r>
      <w:bookmarkStart w:id="0" w:name="_Toc5023"/>
      <w:bookmarkStart w:id="1" w:name="_Toc19084"/>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0"/>
      <w:bookmarkEnd w:id="1"/>
    </w:p>
    <w:p w14:paraId="4EB6EE1D">
      <w:pPr>
        <w:spacing w:line="300" w:lineRule="auto"/>
        <w:ind w:firstLine="420"/>
        <w:rPr>
          <w:sz w:val="28"/>
          <w:szCs w:val="28"/>
        </w:rPr>
      </w:pPr>
      <w:r>
        <w:rPr>
          <w:rFonts w:hint="eastAsia"/>
          <w:sz w:val="28"/>
          <w:szCs w:val="28"/>
        </w:rPr>
        <w:t>随着</w:t>
      </w:r>
      <w:r>
        <w:rPr>
          <w:sz w:val="28"/>
          <w:szCs w:val="28"/>
        </w:rPr>
        <w:t>大语言模型</w:t>
      </w:r>
      <w:r>
        <w:rPr>
          <w:rFonts w:hint="eastAsia"/>
          <w:sz w:val="28"/>
          <w:szCs w:val="28"/>
        </w:rPr>
        <w:t>（LLM）</w:t>
      </w:r>
      <w:r>
        <w:rPr>
          <w:sz w:val="28"/>
          <w:szCs w:val="28"/>
        </w:rPr>
        <w:t>的快速发展与广泛</w:t>
      </w:r>
      <w:r>
        <w:rPr>
          <w:rFonts w:hint="eastAsia"/>
          <w:sz w:val="28"/>
          <w:szCs w:val="28"/>
        </w:rPr>
        <w:t>应用</w:t>
      </w:r>
      <w:r>
        <w:rPr>
          <w:sz w:val="28"/>
          <w:szCs w:val="28"/>
        </w:rPr>
        <w:t>，</w:t>
      </w:r>
      <w:r>
        <w:rPr>
          <w:rFonts w:hint="eastAsia"/>
          <w:sz w:val="28"/>
          <w:szCs w:val="28"/>
        </w:rPr>
        <w:t>如何使</w:t>
      </w:r>
      <w:r>
        <w:rPr>
          <w:sz w:val="28"/>
          <w:szCs w:val="28"/>
        </w:rPr>
        <w:t>模型</w:t>
      </w:r>
      <w:r>
        <w:rPr>
          <w:rFonts w:hint="eastAsia"/>
          <w:sz w:val="28"/>
          <w:szCs w:val="28"/>
        </w:rPr>
        <w:t>表现更符合</w:t>
      </w:r>
      <w:r>
        <w:rPr>
          <w:sz w:val="28"/>
          <w:szCs w:val="28"/>
        </w:rPr>
        <w:t>人类</w:t>
      </w:r>
      <w:r>
        <w:rPr>
          <w:rFonts w:hint="eastAsia"/>
          <w:sz w:val="28"/>
          <w:szCs w:val="28"/>
        </w:rPr>
        <w:t>期望已</w:t>
      </w:r>
      <w:r>
        <w:rPr>
          <w:sz w:val="28"/>
          <w:szCs w:val="28"/>
        </w:rPr>
        <w:t>成为人工智能</w:t>
      </w:r>
      <w:r>
        <w:rPr>
          <w:rFonts w:hint="eastAsia"/>
          <w:sz w:val="28"/>
          <w:szCs w:val="28"/>
        </w:rPr>
        <w:t>研究</w:t>
      </w:r>
      <w:r>
        <w:rPr>
          <w:sz w:val="28"/>
          <w:szCs w:val="28"/>
        </w:rPr>
        <w:t>的</w:t>
      </w:r>
      <w:r>
        <w:rPr>
          <w:rFonts w:hint="eastAsia"/>
          <w:sz w:val="28"/>
          <w:szCs w:val="28"/>
        </w:rPr>
        <w:t>核心</w:t>
      </w:r>
      <w:r>
        <w:rPr>
          <w:sz w:val="28"/>
          <w:szCs w:val="28"/>
        </w:rPr>
        <w:t>议题</w:t>
      </w:r>
      <w:r>
        <w:rPr>
          <w:rFonts w:hint="eastAsia"/>
          <w:sz w:val="28"/>
          <w:szCs w:val="28"/>
        </w:rPr>
        <w:t>之一，</w:t>
      </w:r>
      <w:r>
        <w:rPr>
          <w:sz w:val="28"/>
          <w:szCs w:val="28"/>
        </w:rPr>
        <w:t>基于人类反馈的强化学习（</w:t>
      </w:r>
      <w:r>
        <w:rPr>
          <w:rFonts w:hint="eastAsia"/>
          <w:sz w:val="28"/>
          <w:szCs w:val="28"/>
        </w:rPr>
        <w:t>RLHF</w:t>
      </w:r>
      <w:r>
        <w:rPr>
          <w:sz w:val="28"/>
          <w:szCs w:val="28"/>
        </w:rPr>
        <w:t>）是目前</w:t>
      </w:r>
      <w:r>
        <w:rPr>
          <w:rFonts w:hint="eastAsia"/>
          <w:sz w:val="28"/>
          <w:szCs w:val="28"/>
        </w:rPr>
        <w:t>主流</w:t>
      </w:r>
      <w:r>
        <w:rPr>
          <w:sz w:val="28"/>
          <w:szCs w:val="28"/>
        </w:rPr>
        <w:t>的</w:t>
      </w:r>
      <w:r>
        <w:rPr>
          <w:rFonts w:hint="eastAsia"/>
          <w:sz w:val="28"/>
          <w:szCs w:val="28"/>
        </w:rPr>
        <w:t>偏好</w:t>
      </w:r>
      <w:r>
        <w:rPr>
          <w:sz w:val="28"/>
          <w:szCs w:val="28"/>
        </w:rPr>
        <w:t>对齐</w:t>
      </w:r>
      <w:r>
        <w:rPr>
          <w:rFonts w:hint="eastAsia"/>
          <w:sz w:val="28"/>
          <w:szCs w:val="28"/>
        </w:rPr>
        <w:t>（PA）方法</w:t>
      </w:r>
      <w:r>
        <w:rPr>
          <w:sz w:val="28"/>
          <w:szCs w:val="28"/>
        </w:rPr>
        <w:t>。</w:t>
      </w:r>
    </w:p>
    <w:p w14:paraId="13D575DE">
      <w:pPr>
        <w:spacing w:line="300" w:lineRule="auto"/>
        <w:ind w:firstLine="420"/>
        <w:rPr>
          <w:sz w:val="28"/>
          <w:szCs w:val="28"/>
        </w:rPr>
      </w:pPr>
      <w:r>
        <w:rPr>
          <w:rFonts w:hint="eastAsia"/>
          <w:sz w:val="28"/>
          <w:szCs w:val="28"/>
        </w:rPr>
        <w:t>然而，人类反馈数据中可能隐含对长度、格式等</w:t>
      </w:r>
      <w:r>
        <w:rPr>
          <w:sz w:val="28"/>
          <w:szCs w:val="28"/>
        </w:rPr>
        <w:t>表层形式特征</w:t>
      </w:r>
      <w:r>
        <w:rPr>
          <w:rFonts w:hint="eastAsia"/>
          <w:sz w:val="28"/>
          <w:szCs w:val="28"/>
        </w:rPr>
        <w:t>的偏好，从而误导奖励模型（RM），使其形成表层</w:t>
      </w:r>
      <w:r>
        <w:rPr>
          <w:sz w:val="28"/>
          <w:szCs w:val="28"/>
        </w:rPr>
        <w:t>形式与</w:t>
      </w:r>
      <w:r>
        <w:rPr>
          <w:rFonts w:hint="eastAsia"/>
          <w:sz w:val="28"/>
          <w:szCs w:val="28"/>
        </w:rPr>
        <w:t>深层</w:t>
      </w:r>
      <w:r>
        <w:rPr>
          <w:sz w:val="28"/>
          <w:szCs w:val="28"/>
        </w:rPr>
        <w:t>质量的伪相关性</w:t>
      </w:r>
      <w:r>
        <w:rPr>
          <w:rFonts w:hint="eastAsia"/>
          <w:sz w:val="28"/>
          <w:szCs w:val="28"/>
        </w:rPr>
        <w:t>，进而</w:t>
      </w:r>
      <w:r>
        <w:rPr>
          <w:sz w:val="28"/>
          <w:szCs w:val="28"/>
        </w:rPr>
        <w:t>削弱RLHF的优化效果</w:t>
      </w:r>
      <w:r>
        <w:rPr>
          <w:rFonts w:hint="eastAsia"/>
          <w:sz w:val="28"/>
          <w:szCs w:val="28"/>
        </w:rPr>
        <w:t>，损害LLM</w:t>
      </w:r>
      <w:r>
        <w:rPr>
          <w:sz w:val="28"/>
          <w:szCs w:val="28"/>
        </w:rPr>
        <w:t>的泛化能力和真实性能</w:t>
      </w:r>
      <w:r>
        <w:rPr>
          <w:rFonts w:hint="eastAsia"/>
          <w:sz w:val="28"/>
          <w:szCs w:val="28"/>
        </w:rPr>
        <w:t>。</w:t>
      </w:r>
    </w:p>
    <w:p w14:paraId="64513050">
      <w:pPr>
        <w:spacing w:line="300" w:lineRule="auto"/>
        <w:ind w:firstLine="420"/>
        <w:rPr>
          <w:sz w:val="28"/>
          <w:szCs w:val="28"/>
        </w:rPr>
      </w:pPr>
      <w:r>
        <w:t>现有研究多聚焦于“如何对齐”的方法论探索，致力于训练更鲁棒的RM与优化RLHF对齐机制；对照来看，对于人类反馈数据本身的审察仍显不足，即在一定程度上忽视了“对齐什么”这一根本性认知问题。</w:t>
      </w:r>
    </w:p>
    <w:p w14:paraId="0C815A2C">
      <w:pPr>
        <w:spacing w:line="300" w:lineRule="auto"/>
        <w:ind w:firstLine="420"/>
        <w:rPr>
          <w:sz w:val="28"/>
          <w:szCs w:val="28"/>
        </w:rPr>
      </w:pPr>
      <w:r>
        <w:rPr>
          <w:rFonts w:hint="eastAsia"/>
          <w:sz w:val="28"/>
          <w:szCs w:val="28"/>
        </w:rPr>
        <w:t>针对</w:t>
      </w:r>
      <w:r>
        <w:rPr>
          <w:sz w:val="28"/>
          <w:szCs w:val="28"/>
        </w:rPr>
        <w:t>上述不足，本文以大规模人类</w:t>
      </w:r>
      <w:r>
        <w:rPr>
          <w:rFonts w:hint="eastAsia"/>
          <w:sz w:val="28"/>
          <w:szCs w:val="28"/>
        </w:rPr>
        <w:t>反馈</w:t>
      </w:r>
      <w:r>
        <w:rPr>
          <w:sz w:val="28"/>
          <w:szCs w:val="28"/>
        </w:rPr>
        <w:t>数据集为研究对象，</w:t>
      </w:r>
      <w:r>
        <w:rPr>
          <w:rFonts w:hint="eastAsia"/>
          <w:sz w:val="28"/>
          <w:szCs w:val="28"/>
        </w:rPr>
        <w:t>系统考察</w:t>
      </w:r>
      <w:r>
        <w:rPr>
          <w:sz w:val="28"/>
          <w:szCs w:val="28"/>
        </w:rPr>
        <w:t>长度、标题、列表、粗体等形式特征是否</w:t>
      </w:r>
      <w:r>
        <w:rPr>
          <w:rFonts w:hint="eastAsia"/>
          <w:sz w:val="28"/>
          <w:szCs w:val="28"/>
        </w:rPr>
        <w:t>会显著</w:t>
      </w:r>
      <w:r>
        <w:rPr>
          <w:sz w:val="28"/>
          <w:szCs w:val="28"/>
        </w:rPr>
        <w:t>影响人类</w:t>
      </w:r>
      <w:r>
        <w:rPr>
          <w:rFonts w:hint="eastAsia"/>
          <w:sz w:val="28"/>
          <w:szCs w:val="28"/>
        </w:rPr>
        <w:t>判断</w:t>
      </w:r>
      <w:r>
        <w:rPr>
          <w:sz w:val="28"/>
          <w:szCs w:val="28"/>
        </w:rPr>
        <w:t>，</w:t>
      </w:r>
      <w:r>
        <w:rPr>
          <w:rFonts w:hint="eastAsia"/>
          <w:sz w:val="28"/>
          <w:szCs w:val="28"/>
        </w:rPr>
        <w:t>并进一步开展统计</w:t>
      </w:r>
      <w:r>
        <w:rPr>
          <w:sz w:val="28"/>
          <w:szCs w:val="28"/>
        </w:rPr>
        <w:t>分析</w:t>
      </w:r>
      <w:r>
        <w:rPr>
          <w:rFonts w:hint="eastAsia"/>
          <w:sz w:val="28"/>
          <w:szCs w:val="28"/>
        </w:rPr>
        <w:t>与机制解释。本研究的</w:t>
      </w:r>
      <w:r>
        <w:rPr>
          <w:sz w:val="28"/>
          <w:szCs w:val="28"/>
        </w:rPr>
        <w:t>核心贡献如下：</w:t>
      </w:r>
    </w:p>
    <w:p w14:paraId="441976FD">
      <w:pPr>
        <w:spacing w:line="300" w:lineRule="auto"/>
        <w:ind w:firstLine="420"/>
        <w:rPr>
          <w:sz w:val="28"/>
          <w:szCs w:val="28"/>
        </w:rPr>
      </w:pPr>
      <w:r>
        <w:rPr>
          <w:sz w:val="28"/>
          <w:szCs w:val="28"/>
        </w:rPr>
        <w:t>（1）建立了“偏好存在性识别 → 净效应估计 → 多框架稳健性检验”的三层递进分析链。通过描述统计与非参数检验确认偏好现象，借助嵌套回归模型分层量化混淆贡献并提取净效应，再结合多种处理效应估计框架进行交叉验证，形成从现象识别到控制混淆后的稳健性检验的完整分析路径。</w:t>
      </w:r>
    </w:p>
    <w:p w14:paraId="5493C9D1">
      <w:pPr>
        <w:spacing w:line="300" w:lineRule="auto"/>
        <w:ind w:firstLine="420"/>
        <w:rPr>
          <w:sz w:val="28"/>
          <w:szCs w:val="28"/>
        </w:rPr>
      </w:pPr>
      <w:r>
        <w:t>（2）构建了以长度差异与关键格式密度差异为并列路径层变量（在本文建模框架下）的结构方程模型（SEM），将任务类型、问题维度、模型能力差异和风格差异纳入外生变量层。通过路径分析，本研究对“形式特征如何影响偏好判断”的作用机制进行了系统解释，并区分了直接路径与间接路径的相应贡献，这里的路径层变量指在路径模型中承接外生控制变量与偏好结果关系的观测变量，并不意味着已经识别出严格的因果中介效应。</w:t>
      </w:r>
    </w:p>
    <w:p w14:paraId="581DB25E">
      <w:pPr>
        <w:spacing w:line="300" w:lineRule="auto"/>
        <w:ind w:firstLine="420"/>
        <w:rPr>
          <w:sz w:val="28"/>
          <w:szCs w:val="28"/>
        </w:rPr>
      </w:pPr>
      <w:r>
        <w:t>结果显示，人类偏好数据中存在可量化的形式偏好。全量样本中，胜者更长比例为 62.21%，中位长度差为 +125 tokens；控制混淆后，长度变量在嵌套回归 M3 中 OR=1.3551，在处理效应框架下 IPW ATE=0.1489。标题密度与粗体密度在控制混淆后仍保留独立正向效应，全量样本 IPW ATE 分别为 0.0277 和 0.0246；列表特征则在本文采用了的密度指标与控制框架下更接近长度扩张的伴生结果，而不宜作为独立主结论。SEM 进一步表明，标题密度与粗体密度的直接效应 Bootstrap 95% 置信区间均排除 0，而长度直接效应区间跨 0，说明长度偏好在现象层与稳健性层最为稳定，但其机制路径仍有复合性。上述发现对于 RLHF 与 PA 过程中人类偏好数据的审计与去偏、RM 的特征约束，以及自动评估器的设计校准，均有直接的实践指导价值。</w:t>
      </w:r>
    </w:p>
    <w:p w14:paraId="21A22E25">
      <w:pPr>
        <w:spacing w:line="300" w:lineRule="auto"/>
        <w:rPr>
          <w:sz w:val="28"/>
          <w:szCs w:val="28"/>
        </w:rPr>
      </w:pPr>
      <w:r>
        <w:rPr>
          <w:rFonts w:eastAsia="黑体"/>
          <w:sz w:val="28"/>
          <w:szCs w:val="28"/>
        </w:rPr>
        <w:t xml:space="preserve">关键词： </w:t>
      </w:r>
      <w:r>
        <w:rPr>
          <w:rFonts w:hAnsi="宋体"/>
          <w:sz w:val="28"/>
          <w:szCs w:val="28"/>
        </w:rPr>
        <w:t>大语言模型；强化学习；偏好对齐；结构方程模型</w:t>
      </w:r>
    </w:p>
    <w:p w14:paraId="65D106D3">
      <w:pPr>
        <w:spacing w:line="300" w:lineRule="auto"/>
        <w:ind w:firstLine="570"/>
        <w:rPr>
          <w:rFonts w:hint="eastAsia" w:ascii="宋体" w:hAnsi="宋体"/>
          <w:sz w:val="28"/>
          <w:szCs w:val="28"/>
        </w:rPr>
      </w:pPr>
    </w:p>
    <w:p w14:paraId="51C83441">
      <w:pPr>
        <w:bidi w:val="0"/>
        <w:jc w:val="center"/>
        <w:rPr>
          <w:b/>
          <w:szCs w:val="32"/>
        </w:rPr>
      </w:pPr>
      <w:r>
        <w:rPr>
          <w:b/>
          <w:szCs w:val="32"/>
        </w:rPr>
        <w:br w:type="page"/>
      </w:r>
      <w:r>
        <w:rPr>
          <w:b/>
          <w:bCs/>
          <w:sz w:val="32"/>
          <w:szCs w:val="32"/>
        </w:rPr>
        <w:t>Abstract</w:t>
      </w:r>
    </w:p>
    <w:p w14:paraId="428864EE">
      <w:pPr>
        <w:spacing w:line="300" w:lineRule="auto"/>
        <w:ind w:firstLine="420"/>
        <w:rPr>
          <w:rFonts w:hint="eastAsia"/>
          <w:sz w:val="28"/>
          <w:szCs w:val="28"/>
        </w:rPr>
      </w:pPr>
      <w:r>
        <w:rPr>
          <w:sz w:val="28"/>
          <w:szCs w:val="28"/>
        </w:rPr>
        <w:t>With the rapid development and widespread application of Large Language Models (LLMs), aligning model behavior with human expectations has become a central issue in artificial intelligence research. Reinforcement Learning from Human Feedback (RLHF) is currently the dominant approach for Preference Alignment (PA).</w:t>
      </w:r>
    </w:p>
    <w:p w14:paraId="3A5A7239">
      <w:pPr>
        <w:spacing w:line="300" w:lineRule="auto"/>
        <w:ind w:firstLine="420"/>
        <w:rPr>
          <w:rFonts w:hint="eastAsia"/>
          <w:sz w:val="28"/>
          <w:szCs w:val="28"/>
        </w:rPr>
      </w:pPr>
      <w:r>
        <w:rPr>
          <w:sz w:val="28"/>
          <w:szCs w:val="28"/>
        </w:rPr>
        <w:t>However, human feedback data may contain implicit preferences for superficial formal features, such as response length and formatting, which can mislead Reward Models (RMs) into learning spurious correlations between surface form and underlying quality. Such biases may weaken RLHF optimization and impair the generalization and true performance of LLMs.</w:t>
      </w:r>
    </w:p>
    <w:p w14:paraId="42D00F56">
      <w:pPr>
        <w:spacing w:line="300" w:lineRule="auto"/>
        <w:ind w:firstLine="420"/>
        <w:rPr>
          <w:rFonts w:hint="eastAsia" w:eastAsia="宋体"/>
          <w:sz w:val="28"/>
          <w:szCs w:val="28"/>
          <w:lang w:eastAsia="zh-CN"/>
        </w:rPr>
      </w:pPr>
      <w:r>
        <w:rPr>
          <w:sz w:val="28"/>
          <w:szCs w:val="28"/>
        </w:rPr>
        <w:t>Existing studies mainly focus on methodological questions of “how to align,” aiming to improve RM robustness and RLHF mechanisms, while paying relatively little attention to the human feedback data itself—that is, the more fundamental question of “what to align.”</w:t>
      </w:r>
    </w:p>
    <w:p w14:paraId="04BBA044">
      <w:pPr>
        <w:spacing w:line="300" w:lineRule="auto"/>
        <w:ind w:firstLine="420"/>
        <w:rPr>
          <w:rFonts w:hint="eastAsia"/>
          <w:sz w:val="28"/>
          <w:szCs w:val="28"/>
        </w:rPr>
      </w:pPr>
      <w:r>
        <w:rPr>
          <w:sz w:val="28"/>
          <w:szCs w:val="28"/>
        </w:rPr>
        <w:t>To address this gap, this study systematically investigates whether formal features, including length, headings, lists, and bold formatting, significantly influence human preference judgments in large-scale human feedback datasets. Statistical analyses and mechanism interpretations are further conducted. The main contributions are as follows:</w:t>
      </w:r>
    </w:p>
    <w:p w14:paraId="73121CE0">
      <w:pPr>
        <w:spacing w:line="300" w:lineRule="auto"/>
        <w:ind w:firstLine="420"/>
        <w:rPr>
          <w:rFonts w:hint="eastAsia"/>
          <w:sz w:val="28"/>
          <w:szCs w:val="28"/>
        </w:rPr>
      </w:pPr>
      <w:r>
        <w:rPr>
          <w:rFonts w:hint="eastAsia"/>
          <w:sz w:val="28"/>
          <w:szCs w:val="28"/>
        </w:rPr>
        <w:t>(1) We propose a three-stage analytical framework: “preference identification → net effect estimation → confounder-controlled robustness checks.” Descriptive statistics and nonparametric tests are used to identify preference phenomena, nested regression models are employed to estimate net effects while controlling for confounders, and multiple treatment-effect estimation frameworks are applied for cross-validation.</w:t>
      </w:r>
    </w:p>
    <w:p w14:paraId="7CBA73A6">
      <w:pPr>
        <w:spacing w:line="300" w:lineRule="auto"/>
        <w:ind w:firstLine="420"/>
        <w:rPr>
          <w:rFonts w:hint="eastAsia"/>
          <w:sz w:val="28"/>
          <w:szCs w:val="28"/>
        </w:rPr>
      </w:pPr>
      <w:r>
        <w:rPr>
          <w:sz w:val="28"/>
          <w:szCs w:val="28"/>
        </w:rPr>
        <w:t>(2) We construct a Structural Equation Model (SEM) with length differences and key formatting-density differences as parallel path variables within the present modeling framework, while incorporating task type, question dimension, model capability differences, and stylistic differences as exogenous variables. Path analysis is then used to examine how formal features may enter preference judgments. These path variables are observational carriers in the SEM rather than experimentally identified causal mediators.</w:t>
      </w:r>
    </w:p>
    <w:p w14:paraId="7ED8A0FA">
      <w:pPr>
        <w:spacing w:line="300" w:lineRule="auto"/>
        <w:ind w:firstLine="420"/>
        <w:rPr>
          <w:sz w:val="28"/>
          <w:szCs w:val="28"/>
        </w:rPr>
      </w:pPr>
      <w:r>
        <w:rPr>
          <w:sz w:val="28"/>
          <w:szCs w:val="28"/>
        </w:rPr>
        <w:t>The results reveal quantifiable formal-feature preferences in human feedback data. In the full sample, the longer response wins in 62.21% of valid pairs, with a median length advantage of +125 tokens. After controlling for confounders, the length effect remains positive with M3 OR=1.3551 and IPW ATE=0.1489. Heading density and bold-text density retain independent positive effects, with full-sample IPW ATEs of 0.0277 and 0.0246. By contrast, list features are better interpreted, under the density metrics and control framework used in this study, as accompanying indicators of length expansion rather than standalone main conclusions. SEM results further show that the Bootstrap 95% confidence intervals for the direct effects of heading density and bold density exclude zero, whereas the interval for the direct length effect crosses zero. This suggests that length is most stable at the phenomenon and robustness layers but remains mechanism-wise composite.</w:t>
      </w:r>
    </w:p>
    <w:p w14:paraId="4F696EE5">
      <w:pPr>
        <w:spacing w:line="300" w:lineRule="auto"/>
        <w:rPr>
          <w:rFonts w:ascii="黑体" w:hAnsi="Arial" w:eastAsia="黑体" w:cs="Arial"/>
          <w:sz w:val="32"/>
          <w:szCs w:val="32"/>
        </w:rPr>
      </w:pPr>
      <w:r>
        <w:rPr>
          <w:rFonts w:hint="eastAsia"/>
          <w:b/>
          <w:sz w:val="28"/>
          <w:szCs w:val="28"/>
        </w:rPr>
        <w:t>Key Words:</w:t>
      </w:r>
      <w:r>
        <w:rPr>
          <w:rFonts w:hint="eastAsia"/>
          <w:sz w:val="28"/>
          <w:szCs w:val="28"/>
        </w:rPr>
        <w:t xml:space="preserve"> </w:t>
      </w:r>
      <w:r>
        <w:rPr>
          <w:sz w:val="28"/>
          <w:szCs w:val="28"/>
        </w:rPr>
        <w:t xml:space="preserve">Large </w:t>
      </w:r>
      <w:r>
        <w:rPr>
          <w:rFonts w:hint="eastAsia"/>
          <w:sz w:val="28"/>
          <w:szCs w:val="28"/>
        </w:rPr>
        <w:t>L</w:t>
      </w:r>
      <w:r>
        <w:rPr>
          <w:sz w:val="28"/>
          <w:szCs w:val="28"/>
        </w:rPr>
        <w:t xml:space="preserve">anguage </w:t>
      </w:r>
      <w:r>
        <w:rPr>
          <w:rFonts w:hint="eastAsia"/>
          <w:sz w:val="28"/>
          <w:szCs w:val="28"/>
        </w:rPr>
        <w:t>M</w:t>
      </w:r>
      <w:r>
        <w:rPr>
          <w:sz w:val="28"/>
          <w:szCs w:val="28"/>
        </w:rPr>
        <w:t xml:space="preserve">odel; Reinforcement </w:t>
      </w:r>
      <w:r>
        <w:rPr>
          <w:rFonts w:hint="eastAsia"/>
          <w:sz w:val="28"/>
          <w:szCs w:val="28"/>
        </w:rPr>
        <w:t>L</w:t>
      </w:r>
      <w:r>
        <w:rPr>
          <w:sz w:val="28"/>
          <w:szCs w:val="28"/>
        </w:rPr>
        <w:t xml:space="preserve">earning; Preference </w:t>
      </w:r>
      <w:r>
        <w:rPr>
          <w:rFonts w:hint="eastAsia"/>
          <w:sz w:val="28"/>
          <w:szCs w:val="28"/>
        </w:rPr>
        <w:t>A</w:t>
      </w:r>
      <w:r>
        <w:rPr>
          <w:sz w:val="28"/>
          <w:szCs w:val="28"/>
        </w:rPr>
        <w:t xml:space="preserve">lignment; Structural </w:t>
      </w:r>
      <w:r>
        <w:rPr>
          <w:rFonts w:hint="eastAsia"/>
          <w:sz w:val="28"/>
          <w:szCs w:val="28"/>
        </w:rPr>
        <w:t>E</w:t>
      </w:r>
      <w:r>
        <w:rPr>
          <w:sz w:val="28"/>
          <w:szCs w:val="28"/>
        </w:rPr>
        <w:t xml:space="preserve">quation </w:t>
      </w:r>
      <w:r>
        <w:rPr>
          <w:rFonts w:hint="eastAsia"/>
          <w:sz w:val="28"/>
          <w:szCs w:val="28"/>
        </w:rPr>
        <w:t>M</w:t>
      </w:r>
      <w:r>
        <w:rPr>
          <w:sz w:val="28"/>
          <w:szCs w:val="28"/>
        </w:rPr>
        <w:t>odel</w:t>
      </w:r>
      <w:r>
        <w:rPr>
          <w:rFonts w:ascii="黑体" w:hAnsi="Arial" w:eastAsia="黑体" w:cs="Arial"/>
          <w:sz w:val="32"/>
          <w:szCs w:val="32"/>
        </w:rPr>
        <w:br w:type="page"/>
      </w:r>
    </w:p>
    <w:sdt>
      <w:sdtPr>
        <w:rPr>
          <w:rFonts w:ascii="宋体" w:hAnsi="宋体" w:eastAsia="宋体" w:cs="Times New Roman"/>
          <w:b/>
          <w:bCs/>
          <w:kern w:val="2"/>
          <w:sz w:val="32"/>
          <w:szCs w:val="32"/>
          <w:lang w:val="en-US" w:eastAsia="zh-CN" w:bidi="ar-SA"/>
        </w:rPr>
        <w:id w:val="147461335"/>
        <w15:color w:val="DBDBDB"/>
        <w:docPartObj>
          <w:docPartGallery w:val="Table of Contents"/>
          <w:docPartUnique/>
        </w:docPartObj>
      </w:sdtPr>
      <w:sdtEndPr>
        <w:rPr>
          <w:rFonts w:ascii="宋体" w:hAnsi="宋体" w:eastAsia="宋体" w:cs="Times New Roman"/>
          <w:b/>
          <w:bCs/>
          <w:kern w:val="2"/>
          <w:sz w:val="21"/>
          <w:szCs w:val="24"/>
          <w:lang w:val="en-US" w:eastAsia="zh-CN" w:bidi="ar-SA"/>
        </w:rPr>
      </w:sdtEndPr>
      <w:sdtContent>
        <w:p w14:paraId="13B3C221">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6161774F">
          <w:pPr>
            <w:pStyle w:val="11"/>
            <w:tabs>
              <w:tab w:val="right" w:leader="dot" w:pos="9354"/>
            </w:tabs>
          </w:pPr>
          <w:r>
            <w:fldChar w:fldCharType="begin"/>
          </w:r>
          <w:r>
            <w:instrText xml:space="preserve">TOC \o "1-3" \h \u </w:instrText>
          </w:r>
          <w:r>
            <w:fldChar w:fldCharType="separate"/>
          </w:r>
          <w:bookmarkStart w:id="85" w:name="_GoBack"/>
          <w:bookmarkEnd w:id="85"/>
          <w:r>
            <w:fldChar w:fldCharType="begin"/>
          </w:r>
          <w:r>
            <w:instrText xml:space="preserve"> HYPERLINK \l _Toc16738 </w:instrText>
          </w:r>
          <w:r>
            <w:fldChar w:fldCharType="separate"/>
          </w:r>
          <w:r>
            <w:t>前  言</w:t>
          </w:r>
          <w:r>
            <w:tab/>
          </w:r>
          <w:r>
            <w:fldChar w:fldCharType="begin"/>
          </w:r>
          <w:r>
            <w:instrText xml:space="preserve"> PAGEREF _Toc16738 \h </w:instrText>
          </w:r>
          <w:r>
            <w:fldChar w:fldCharType="separate"/>
          </w:r>
          <w:r>
            <w:t>14</w:t>
          </w:r>
          <w:r>
            <w:fldChar w:fldCharType="end"/>
          </w:r>
          <w:r>
            <w:fldChar w:fldCharType="end"/>
          </w:r>
        </w:p>
        <w:p w14:paraId="042BD112">
          <w:pPr>
            <w:pStyle w:val="11"/>
            <w:tabs>
              <w:tab w:val="right" w:leader="dot" w:pos="9354"/>
            </w:tabs>
          </w:pPr>
          <w:r>
            <w:fldChar w:fldCharType="begin"/>
          </w:r>
          <w:r>
            <w:instrText xml:space="preserve"> HYPERLINK \l _Toc4609 </w:instrText>
          </w:r>
          <w:r>
            <w:fldChar w:fldCharType="separate"/>
          </w:r>
          <w:r>
            <w:t xml:space="preserve">第一章 </w:t>
          </w:r>
          <w:r>
            <w:rPr>
              <w:rFonts w:hint="eastAsia"/>
              <w:lang w:val="en-US" w:eastAsia="zh-CN"/>
            </w:rPr>
            <w:t>绪论</w:t>
          </w:r>
          <w:r>
            <w:tab/>
          </w:r>
          <w:r>
            <w:fldChar w:fldCharType="begin"/>
          </w:r>
          <w:r>
            <w:instrText xml:space="preserve"> PAGEREF _Toc4609 \h </w:instrText>
          </w:r>
          <w:r>
            <w:fldChar w:fldCharType="separate"/>
          </w:r>
          <w:r>
            <w:t>16</w:t>
          </w:r>
          <w:r>
            <w:fldChar w:fldCharType="end"/>
          </w:r>
          <w:r>
            <w:fldChar w:fldCharType="end"/>
          </w:r>
        </w:p>
        <w:p w14:paraId="27507B51">
          <w:pPr>
            <w:pStyle w:val="12"/>
            <w:tabs>
              <w:tab w:val="right" w:leader="dot" w:pos="9354"/>
            </w:tabs>
          </w:pPr>
          <w:r>
            <w:fldChar w:fldCharType="begin"/>
          </w:r>
          <w:r>
            <w:instrText xml:space="preserve"> HYPERLINK \l _Toc16944 </w:instrText>
          </w:r>
          <w:r>
            <w:fldChar w:fldCharType="separate"/>
          </w:r>
          <w:r>
            <w:rPr>
              <w:rFonts w:hint="default" w:ascii="Times New Roman" w:hAnsi="Times New Roman" w:eastAsia="宋体" w:cs="Times New Roman"/>
              <w:szCs w:val="24"/>
            </w:rPr>
            <w:t>1.1</w:t>
          </w:r>
          <w:r>
            <w:rPr>
              <w:rFonts w:hint="eastAsia" w:ascii="宋体" w:hAnsi="宋体" w:eastAsia="宋体" w:cs="宋体"/>
              <w:szCs w:val="24"/>
            </w:rPr>
            <w:t xml:space="preserve"> 研究背景</w:t>
          </w:r>
          <w:r>
            <w:rPr>
              <w:rFonts w:hint="eastAsia" w:ascii="宋体" w:hAnsi="宋体" w:eastAsia="宋体" w:cs="宋体"/>
              <w:szCs w:val="24"/>
              <w:lang w:val="en-US" w:eastAsia="zh-CN"/>
            </w:rPr>
            <w:t>与问题提出</w:t>
          </w:r>
          <w:r>
            <w:tab/>
          </w:r>
          <w:r>
            <w:fldChar w:fldCharType="begin"/>
          </w:r>
          <w:r>
            <w:instrText xml:space="preserve"> PAGEREF _Toc16944 \h </w:instrText>
          </w:r>
          <w:r>
            <w:fldChar w:fldCharType="separate"/>
          </w:r>
          <w:r>
            <w:t>16</w:t>
          </w:r>
          <w:r>
            <w:fldChar w:fldCharType="end"/>
          </w:r>
          <w:r>
            <w:fldChar w:fldCharType="end"/>
          </w:r>
        </w:p>
        <w:p w14:paraId="4EECDB5A">
          <w:pPr>
            <w:pStyle w:val="12"/>
            <w:tabs>
              <w:tab w:val="right" w:leader="dot" w:pos="9354"/>
            </w:tabs>
          </w:pPr>
          <w:r>
            <w:fldChar w:fldCharType="begin"/>
          </w:r>
          <w:r>
            <w:instrText xml:space="preserve"> HYPERLINK \l _Toc18226 </w:instrText>
          </w:r>
          <w:r>
            <w:fldChar w:fldCharType="separate"/>
          </w:r>
          <w:r>
            <w:rPr>
              <w:rFonts w:hint="eastAsia" w:ascii="Times New Roman" w:hAnsi="Times New Roman" w:eastAsia="宋体" w:cs="Times New Roman"/>
              <w:szCs w:val="24"/>
            </w:rPr>
            <w:t>1.2 国内外研究现状</w:t>
          </w:r>
          <w:r>
            <w:tab/>
          </w:r>
          <w:r>
            <w:fldChar w:fldCharType="begin"/>
          </w:r>
          <w:r>
            <w:instrText xml:space="preserve"> PAGEREF _Toc18226 \h </w:instrText>
          </w:r>
          <w:r>
            <w:fldChar w:fldCharType="separate"/>
          </w:r>
          <w:r>
            <w:t>16</w:t>
          </w:r>
          <w:r>
            <w:fldChar w:fldCharType="end"/>
          </w:r>
          <w:r>
            <w:fldChar w:fldCharType="end"/>
          </w:r>
        </w:p>
        <w:p w14:paraId="72447198">
          <w:pPr>
            <w:pStyle w:val="7"/>
            <w:tabs>
              <w:tab w:val="right" w:leader="dot" w:pos="9354"/>
            </w:tabs>
          </w:pPr>
          <w:r>
            <w:fldChar w:fldCharType="begin"/>
          </w:r>
          <w:r>
            <w:instrText xml:space="preserve"> HYPERLINK \l _Toc17520 </w:instrText>
          </w:r>
          <w:r>
            <w:fldChar w:fldCharType="separate"/>
          </w:r>
          <w:r>
            <w:rPr>
              <w:rFonts w:hint="eastAsia" w:ascii="Times New Roman" w:hAnsi="Times New Roman" w:eastAsia="宋体" w:cs="Times New Roman"/>
              <w:szCs w:val="24"/>
            </w:rPr>
            <w:t>1.2.1 大语言模型偏好对齐与奖励建模研究进展</w:t>
          </w:r>
          <w:r>
            <w:tab/>
          </w:r>
          <w:r>
            <w:fldChar w:fldCharType="begin"/>
          </w:r>
          <w:r>
            <w:instrText xml:space="preserve"> PAGEREF _Toc17520 \h </w:instrText>
          </w:r>
          <w:r>
            <w:fldChar w:fldCharType="separate"/>
          </w:r>
          <w:r>
            <w:t>16</w:t>
          </w:r>
          <w:r>
            <w:fldChar w:fldCharType="end"/>
          </w:r>
          <w:r>
            <w:fldChar w:fldCharType="end"/>
          </w:r>
        </w:p>
        <w:p w14:paraId="5EDB783D">
          <w:pPr>
            <w:pStyle w:val="7"/>
            <w:tabs>
              <w:tab w:val="right" w:leader="dot" w:pos="9354"/>
            </w:tabs>
          </w:pPr>
          <w:r>
            <w:fldChar w:fldCharType="begin"/>
          </w:r>
          <w:r>
            <w:instrText xml:space="preserve"> HYPERLINK \l _Toc281 </w:instrText>
          </w:r>
          <w:r>
            <w:fldChar w:fldCharType="separate"/>
          </w:r>
          <w:r>
            <w:rPr>
              <w:rFonts w:hint="eastAsia" w:ascii="Times New Roman" w:hAnsi="Times New Roman" w:eastAsia="宋体" w:cs="Times New Roman"/>
              <w:szCs w:val="24"/>
            </w:rPr>
            <w:t>1.2.2 长度偏差相关研究进展</w:t>
          </w:r>
          <w:r>
            <w:tab/>
          </w:r>
          <w:r>
            <w:fldChar w:fldCharType="begin"/>
          </w:r>
          <w:r>
            <w:instrText xml:space="preserve"> PAGEREF _Toc281 \h </w:instrText>
          </w:r>
          <w:r>
            <w:fldChar w:fldCharType="separate"/>
          </w:r>
          <w:r>
            <w:t>16</w:t>
          </w:r>
          <w:r>
            <w:fldChar w:fldCharType="end"/>
          </w:r>
          <w:r>
            <w:fldChar w:fldCharType="end"/>
          </w:r>
        </w:p>
        <w:p w14:paraId="64869FA1">
          <w:pPr>
            <w:pStyle w:val="7"/>
            <w:tabs>
              <w:tab w:val="right" w:leader="dot" w:pos="9354"/>
            </w:tabs>
          </w:pPr>
          <w:r>
            <w:fldChar w:fldCharType="begin"/>
          </w:r>
          <w:r>
            <w:instrText xml:space="preserve"> HYPERLINK \l _Toc25189 </w:instrText>
          </w:r>
          <w:r>
            <w:fldChar w:fldCharType="separate"/>
          </w:r>
          <w:r>
            <w:rPr>
              <w:rFonts w:hint="eastAsia" w:ascii="Times New Roman" w:hAnsi="Times New Roman" w:eastAsia="宋体" w:cs="Times New Roman"/>
              <w:szCs w:val="24"/>
            </w:rPr>
            <w:t>1.2.3 格式偏好相关研究进展</w:t>
          </w:r>
          <w:r>
            <w:tab/>
          </w:r>
          <w:r>
            <w:fldChar w:fldCharType="begin"/>
          </w:r>
          <w:r>
            <w:instrText xml:space="preserve"> PAGEREF _Toc25189 \h </w:instrText>
          </w:r>
          <w:r>
            <w:fldChar w:fldCharType="separate"/>
          </w:r>
          <w:r>
            <w:t>17</w:t>
          </w:r>
          <w:r>
            <w:fldChar w:fldCharType="end"/>
          </w:r>
          <w:r>
            <w:fldChar w:fldCharType="end"/>
          </w:r>
        </w:p>
        <w:p w14:paraId="62BB0B56">
          <w:pPr>
            <w:pStyle w:val="7"/>
            <w:tabs>
              <w:tab w:val="right" w:leader="dot" w:pos="9354"/>
            </w:tabs>
          </w:pPr>
          <w:r>
            <w:fldChar w:fldCharType="begin"/>
          </w:r>
          <w:r>
            <w:instrText xml:space="preserve"> HYPERLINK \l _Toc6998 </w:instrText>
          </w:r>
          <w:r>
            <w:fldChar w:fldCharType="separate"/>
          </w:r>
          <w:r>
            <w:rPr>
              <w:rFonts w:hint="eastAsia" w:ascii="Times New Roman" w:hAnsi="Times New Roman" w:eastAsia="宋体" w:cs="Times New Roman"/>
              <w:szCs w:val="24"/>
            </w:rPr>
            <w:t>1.2.4 偏好信号污染与评价偏差研究现状</w:t>
          </w:r>
          <w:r>
            <w:tab/>
          </w:r>
          <w:r>
            <w:fldChar w:fldCharType="begin"/>
          </w:r>
          <w:r>
            <w:instrText xml:space="preserve"> PAGEREF _Toc6998 \h </w:instrText>
          </w:r>
          <w:r>
            <w:fldChar w:fldCharType="separate"/>
          </w:r>
          <w:r>
            <w:t>17</w:t>
          </w:r>
          <w:r>
            <w:fldChar w:fldCharType="end"/>
          </w:r>
          <w:r>
            <w:fldChar w:fldCharType="end"/>
          </w:r>
        </w:p>
        <w:p w14:paraId="27E9BE77">
          <w:pPr>
            <w:pStyle w:val="7"/>
            <w:tabs>
              <w:tab w:val="right" w:leader="dot" w:pos="9354"/>
            </w:tabs>
          </w:pPr>
          <w:r>
            <w:fldChar w:fldCharType="begin"/>
          </w:r>
          <w:r>
            <w:instrText xml:space="preserve"> HYPERLINK \l _Toc12789 </w:instrText>
          </w:r>
          <w:r>
            <w:fldChar w:fldCharType="separate"/>
          </w:r>
          <w:r>
            <w:rPr>
              <w:rFonts w:hint="eastAsia" w:ascii="Times New Roman" w:hAnsi="Times New Roman" w:eastAsia="宋体" w:cs="Times New Roman"/>
              <w:szCs w:val="24"/>
            </w:rPr>
            <w:t>1.2.5 现有研究的不足与争议</w:t>
          </w:r>
          <w:r>
            <w:tab/>
          </w:r>
          <w:r>
            <w:fldChar w:fldCharType="begin"/>
          </w:r>
          <w:r>
            <w:instrText xml:space="preserve"> PAGEREF _Toc12789 \h </w:instrText>
          </w:r>
          <w:r>
            <w:fldChar w:fldCharType="separate"/>
          </w:r>
          <w:r>
            <w:t>17</w:t>
          </w:r>
          <w:r>
            <w:fldChar w:fldCharType="end"/>
          </w:r>
          <w:r>
            <w:fldChar w:fldCharType="end"/>
          </w:r>
        </w:p>
        <w:p w14:paraId="3BBEEFEB">
          <w:pPr>
            <w:pStyle w:val="12"/>
            <w:tabs>
              <w:tab w:val="right" w:leader="dot" w:pos="9354"/>
            </w:tabs>
          </w:pPr>
          <w:r>
            <w:fldChar w:fldCharType="begin"/>
          </w:r>
          <w:r>
            <w:instrText xml:space="preserve"> HYPERLINK \l _Toc25077 </w:instrText>
          </w:r>
          <w:r>
            <w:fldChar w:fldCharType="separate"/>
          </w:r>
          <w:r>
            <w:rPr>
              <w:rFonts w:hint="eastAsia" w:ascii="Times New Roman" w:hAnsi="Times New Roman" w:eastAsia="宋体" w:cs="Times New Roman"/>
              <w:szCs w:val="24"/>
            </w:rPr>
            <w:t>1.3 研究问题与研究假设</w:t>
          </w:r>
          <w:r>
            <w:tab/>
          </w:r>
          <w:r>
            <w:fldChar w:fldCharType="begin"/>
          </w:r>
          <w:r>
            <w:instrText xml:space="preserve"> PAGEREF _Toc25077 \h </w:instrText>
          </w:r>
          <w:r>
            <w:fldChar w:fldCharType="separate"/>
          </w:r>
          <w:r>
            <w:t>17</w:t>
          </w:r>
          <w:r>
            <w:fldChar w:fldCharType="end"/>
          </w:r>
          <w:r>
            <w:fldChar w:fldCharType="end"/>
          </w:r>
        </w:p>
        <w:p w14:paraId="17C0E377">
          <w:pPr>
            <w:pStyle w:val="7"/>
            <w:tabs>
              <w:tab w:val="right" w:leader="dot" w:pos="9354"/>
            </w:tabs>
          </w:pPr>
          <w:r>
            <w:fldChar w:fldCharType="begin"/>
          </w:r>
          <w:r>
            <w:instrText xml:space="preserve"> HYPERLINK \l _Toc3529 </w:instrText>
          </w:r>
          <w:r>
            <w:fldChar w:fldCharType="separate"/>
          </w:r>
          <w:r>
            <w:rPr>
              <w:rFonts w:hint="eastAsia" w:ascii="Times New Roman" w:hAnsi="Times New Roman" w:eastAsia="宋体" w:cs="Times New Roman"/>
              <w:szCs w:val="24"/>
            </w:rPr>
            <w:t>1.3.1 核心研究问题</w:t>
          </w:r>
          <w:r>
            <w:tab/>
          </w:r>
          <w:r>
            <w:fldChar w:fldCharType="begin"/>
          </w:r>
          <w:r>
            <w:instrText xml:space="preserve"> PAGEREF _Toc3529 \h </w:instrText>
          </w:r>
          <w:r>
            <w:fldChar w:fldCharType="separate"/>
          </w:r>
          <w:r>
            <w:t>17</w:t>
          </w:r>
          <w:r>
            <w:fldChar w:fldCharType="end"/>
          </w:r>
          <w:r>
            <w:fldChar w:fldCharType="end"/>
          </w:r>
        </w:p>
        <w:p w14:paraId="01C9E300">
          <w:pPr>
            <w:pStyle w:val="7"/>
            <w:tabs>
              <w:tab w:val="right" w:leader="dot" w:pos="9354"/>
            </w:tabs>
          </w:pPr>
          <w:r>
            <w:fldChar w:fldCharType="begin"/>
          </w:r>
          <w:r>
            <w:instrText xml:space="preserve"> HYPERLINK \l _Toc20613 </w:instrText>
          </w:r>
          <w:r>
            <w:fldChar w:fldCharType="separate"/>
          </w:r>
          <w:r>
            <w:rPr>
              <w:rFonts w:hint="eastAsia" w:ascii="Times New Roman" w:hAnsi="Times New Roman" w:eastAsia="宋体" w:cs="Times New Roman"/>
              <w:szCs w:val="24"/>
            </w:rPr>
            <w:t>1.3.2 研究假设的提出</w:t>
          </w:r>
          <w:r>
            <w:tab/>
          </w:r>
          <w:r>
            <w:fldChar w:fldCharType="begin"/>
          </w:r>
          <w:r>
            <w:instrText xml:space="preserve"> PAGEREF _Toc20613 \h </w:instrText>
          </w:r>
          <w:r>
            <w:fldChar w:fldCharType="separate"/>
          </w:r>
          <w:r>
            <w:t>18</w:t>
          </w:r>
          <w:r>
            <w:fldChar w:fldCharType="end"/>
          </w:r>
          <w:r>
            <w:fldChar w:fldCharType="end"/>
          </w:r>
        </w:p>
        <w:p w14:paraId="3BC46BF4">
          <w:pPr>
            <w:pStyle w:val="7"/>
            <w:tabs>
              <w:tab w:val="right" w:leader="dot" w:pos="9354"/>
            </w:tabs>
          </w:pPr>
          <w:r>
            <w:fldChar w:fldCharType="begin"/>
          </w:r>
          <w:r>
            <w:instrText xml:space="preserve"> HYPERLINK \l _Toc2200 </w:instrText>
          </w:r>
          <w:r>
            <w:fldChar w:fldCharType="separate"/>
          </w:r>
          <w:r>
            <w:rPr>
              <w:rFonts w:hint="eastAsia" w:ascii="Times New Roman" w:hAnsi="Times New Roman" w:eastAsia="宋体" w:cs="Times New Roman"/>
              <w:szCs w:val="24"/>
            </w:rPr>
            <w:t>1.3.3 研究对象与分析边界</w:t>
          </w:r>
          <w:r>
            <w:tab/>
          </w:r>
          <w:r>
            <w:fldChar w:fldCharType="begin"/>
          </w:r>
          <w:r>
            <w:instrText xml:space="preserve"> PAGEREF _Toc2200 \h </w:instrText>
          </w:r>
          <w:r>
            <w:fldChar w:fldCharType="separate"/>
          </w:r>
          <w:r>
            <w:t>18</w:t>
          </w:r>
          <w:r>
            <w:fldChar w:fldCharType="end"/>
          </w:r>
          <w:r>
            <w:fldChar w:fldCharType="end"/>
          </w:r>
        </w:p>
        <w:p w14:paraId="7EBA9FF4">
          <w:pPr>
            <w:pStyle w:val="12"/>
            <w:tabs>
              <w:tab w:val="right" w:leader="dot" w:pos="9354"/>
            </w:tabs>
          </w:pPr>
          <w:r>
            <w:fldChar w:fldCharType="begin"/>
          </w:r>
          <w:r>
            <w:instrText xml:space="preserve"> HYPERLINK \l _Toc9912 </w:instrText>
          </w:r>
          <w:r>
            <w:fldChar w:fldCharType="separate"/>
          </w:r>
          <w:r>
            <w:rPr>
              <w:rFonts w:hint="eastAsia" w:ascii="Times New Roman" w:hAnsi="Times New Roman" w:eastAsia="宋体" w:cs="Times New Roman"/>
              <w:szCs w:val="24"/>
            </w:rPr>
            <w:t>1.4 研究思路与技术路线</w:t>
          </w:r>
          <w:r>
            <w:tab/>
          </w:r>
          <w:r>
            <w:fldChar w:fldCharType="begin"/>
          </w:r>
          <w:r>
            <w:instrText xml:space="preserve"> PAGEREF _Toc9912 \h </w:instrText>
          </w:r>
          <w:r>
            <w:fldChar w:fldCharType="separate"/>
          </w:r>
          <w:r>
            <w:t>18</w:t>
          </w:r>
          <w:r>
            <w:fldChar w:fldCharType="end"/>
          </w:r>
          <w:r>
            <w:fldChar w:fldCharType="end"/>
          </w:r>
        </w:p>
        <w:p w14:paraId="04F84A99">
          <w:pPr>
            <w:pStyle w:val="12"/>
            <w:tabs>
              <w:tab w:val="right" w:leader="dot" w:pos="9354"/>
            </w:tabs>
          </w:pPr>
          <w:r>
            <w:fldChar w:fldCharType="begin"/>
          </w:r>
          <w:r>
            <w:instrText xml:space="preserve"> HYPERLINK \l _Toc25536 </w:instrText>
          </w:r>
          <w:r>
            <w:fldChar w:fldCharType="separate"/>
          </w:r>
          <w:r>
            <w:rPr>
              <w:rFonts w:hint="eastAsia" w:ascii="Times New Roman" w:hAnsi="Times New Roman" w:eastAsia="宋体" w:cs="Times New Roman"/>
              <w:szCs w:val="24"/>
            </w:rPr>
            <w:t>1.5 研究贡献与创新点</w:t>
          </w:r>
          <w:r>
            <w:tab/>
          </w:r>
          <w:r>
            <w:fldChar w:fldCharType="begin"/>
          </w:r>
          <w:r>
            <w:instrText xml:space="preserve"> PAGEREF _Toc25536 \h </w:instrText>
          </w:r>
          <w:r>
            <w:fldChar w:fldCharType="separate"/>
          </w:r>
          <w:r>
            <w:t>19</w:t>
          </w:r>
          <w:r>
            <w:fldChar w:fldCharType="end"/>
          </w:r>
          <w:r>
            <w:fldChar w:fldCharType="end"/>
          </w:r>
        </w:p>
        <w:p w14:paraId="1A0A09B3">
          <w:pPr>
            <w:pStyle w:val="7"/>
            <w:tabs>
              <w:tab w:val="right" w:leader="dot" w:pos="9354"/>
            </w:tabs>
          </w:pPr>
          <w:r>
            <w:fldChar w:fldCharType="begin"/>
          </w:r>
          <w:r>
            <w:instrText xml:space="preserve"> HYPERLINK \l _Toc26398 </w:instrText>
          </w:r>
          <w:r>
            <w:fldChar w:fldCharType="separate"/>
          </w:r>
          <w:r>
            <w:rPr>
              <w:rFonts w:hint="eastAsia" w:ascii="Times New Roman" w:hAnsi="Times New Roman" w:eastAsia="宋体" w:cs="Times New Roman"/>
              <w:szCs w:val="24"/>
            </w:rPr>
            <w:t>1.5.1 理论贡献</w:t>
          </w:r>
          <w:r>
            <w:tab/>
          </w:r>
          <w:r>
            <w:fldChar w:fldCharType="begin"/>
          </w:r>
          <w:r>
            <w:instrText xml:space="preserve"> PAGEREF _Toc26398 \h </w:instrText>
          </w:r>
          <w:r>
            <w:fldChar w:fldCharType="separate"/>
          </w:r>
          <w:r>
            <w:t>19</w:t>
          </w:r>
          <w:r>
            <w:fldChar w:fldCharType="end"/>
          </w:r>
          <w:r>
            <w:fldChar w:fldCharType="end"/>
          </w:r>
        </w:p>
        <w:p w14:paraId="1E44C127">
          <w:pPr>
            <w:pStyle w:val="7"/>
            <w:tabs>
              <w:tab w:val="right" w:leader="dot" w:pos="9354"/>
            </w:tabs>
          </w:pPr>
          <w:r>
            <w:fldChar w:fldCharType="begin"/>
          </w:r>
          <w:r>
            <w:instrText xml:space="preserve"> HYPERLINK \l _Toc27537 </w:instrText>
          </w:r>
          <w:r>
            <w:fldChar w:fldCharType="separate"/>
          </w:r>
          <w:r>
            <w:rPr>
              <w:rFonts w:hint="eastAsia" w:ascii="Times New Roman" w:hAnsi="Times New Roman" w:eastAsia="宋体" w:cs="Times New Roman"/>
              <w:szCs w:val="24"/>
            </w:rPr>
            <w:t>1.5.2 方法贡献</w:t>
          </w:r>
          <w:r>
            <w:tab/>
          </w:r>
          <w:r>
            <w:fldChar w:fldCharType="begin"/>
          </w:r>
          <w:r>
            <w:instrText xml:space="preserve"> PAGEREF _Toc27537 \h </w:instrText>
          </w:r>
          <w:r>
            <w:fldChar w:fldCharType="separate"/>
          </w:r>
          <w:r>
            <w:t>19</w:t>
          </w:r>
          <w:r>
            <w:fldChar w:fldCharType="end"/>
          </w:r>
          <w:r>
            <w:fldChar w:fldCharType="end"/>
          </w:r>
        </w:p>
        <w:p w14:paraId="746C360A">
          <w:pPr>
            <w:pStyle w:val="7"/>
            <w:tabs>
              <w:tab w:val="right" w:leader="dot" w:pos="9354"/>
            </w:tabs>
          </w:pPr>
          <w:r>
            <w:fldChar w:fldCharType="begin"/>
          </w:r>
          <w:r>
            <w:instrText xml:space="preserve"> HYPERLINK \l _Toc14533 </w:instrText>
          </w:r>
          <w:r>
            <w:fldChar w:fldCharType="separate"/>
          </w:r>
          <w:r>
            <w:rPr>
              <w:rFonts w:hint="eastAsia" w:ascii="Times New Roman" w:hAnsi="Times New Roman" w:eastAsia="宋体" w:cs="Times New Roman"/>
              <w:szCs w:val="24"/>
            </w:rPr>
            <w:t>1.5.3 应用价值</w:t>
          </w:r>
          <w:r>
            <w:tab/>
          </w:r>
          <w:r>
            <w:fldChar w:fldCharType="begin"/>
          </w:r>
          <w:r>
            <w:instrText xml:space="preserve"> PAGEREF _Toc14533 \h </w:instrText>
          </w:r>
          <w:r>
            <w:fldChar w:fldCharType="separate"/>
          </w:r>
          <w:r>
            <w:t>19</w:t>
          </w:r>
          <w:r>
            <w:fldChar w:fldCharType="end"/>
          </w:r>
          <w:r>
            <w:fldChar w:fldCharType="end"/>
          </w:r>
        </w:p>
        <w:p w14:paraId="4A02C1F4">
          <w:pPr>
            <w:pStyle w:val="12"/>
            <w:tabs>
              <w:tab w:val="right" w:leader="dot" w:pos="9354"/>
            </w:tabs>
          </w:pPr>
          <w:r>
            <w:fldChar w:fldCharType="begin"/>
          </w:r>
          <w:r>
            <w:instrText xml:space="preserve"> HYPERLINK \l _Toc28401 </w:instrText>
          </w:r>
          <w:r>
            <w:fldChar w:fldCharType="separate"/>
          </w:r>
          <w:r>
            <w:rPr>
              <w:rFonts w:hint="eastAsia" w:ascii="Times New Roman" w:hAnsi="Times New Roman" w:eastAsia="宋体" w:cs="Times New Roman"/>
              <w:szCs w:val="24"/>
            </w:rPr>
            <w:t>1.6 论文结构安排</w:t>
          </w:r>
          <w:r>
            <w:tab/>
          </w:r>
          <w:r>
            <w:fldChar w:fldCharType="begin"/>
          </w:r>
          <w:r>
            <w:instrText xml:space="preserve"> PAGEREF _Toc28401 \h </w:instrText>
          </w:r>
          <w:r>
            <w:fldChar w:fldCharType="separate"/>
          </w:r>
          <w:r>
            <w:t>19</w:t>
          </w:r>
          <w:r>
            <w:fldChar w:fldCharType="end"/>
          </w:r>
          <w:r>
            <w:fldChar w:fldCharType="end"/>
          </w:r>
        </w:p>
        <w:p w14:paraId="46E3D83A">
          <w:pPr>
            <w:pStyle w:val="11"/>
            <w:tabs>
              <w:tab w:val="right" w:leader="dot" w:pos="9354"/>
            </w:tabs>
          </w:pPr>
          <w:r>
            <w:fldChar w:fldCharType="begin"/>
          </w:r>
          <w:r>
            <w:instrText xml:space="preserve"> HYPERLINK \l _Toc10943 </w:instrText>
          </w:r>
          <w:r>
            <w:fldChar w:fldCharType="separate"/>
          </w:r>
          <w:r>
            <w:rPr>
              <w:rFonts w:hint="eastAsia"/>
            </w:rPr>
            <w:t>第二章 理论分析框架</w:t>
          </w:r>
          <w:r>
            <w:rPr>
              <w:rFonts w:hint="eastAsia"/>
              <w:lang w:val="en-US" w:eastAsia="zh-CN"/>
            </w:rPr>
            <w:t>与方法基础</w:t>
          </w:r>
          <w:r>
            <w:tab/>
          </w:r>
          <w:r>
            <w:fldChar w:fldCharType="begin"/>
          </w:r>
          <w:r>
            <w:instrText xml:space="preserve"> PAGEREF _Toc10943 \h </w:instrText>
          </w:r>
          <w:r>
            <w:fldChar w:fldCharType="separate"/>
          </w:r>
          <w:r>
            <w:t>20</w:t>
          </w:r>
          <w:r>
            <w:fldChar w:fldCharType="end"/>
          </w:r>
          <w:r>
            <w:fldChar w:fldCharType="end"/>
          </w:r>
        </w:p>
        <w:p w14:paraId="20883D3B">
          <w:pPr>
            <w:pStyle w:val="12"/>
            <w:tabs>
              <w:tab w:val="right" w:leader="dot" w:pos="9354"/>
            </w:tabs>
          </w:pPr>
          <w:r>
            <w:fldChar w:fldCharType="begin"/>
          </w:r>
          <w:r>
            <w:instrText xml:space="preserve"> HYPERLINK \l _Toc30034 </w:instrText>
          </w:r>
          <w:r>
            <w:fldChar w:fldCharType="separate"/>
          </w:r>
          <w:r>
            <w:rPr>
              <w:rFonts w:hint="eastAsia" w:ascii="Times New Roman" w:hAnsi="Times New Roman" w:eastAsia="宋体" w:cs="Times New Roman"/>
              <w:szCs w:val="24"/>
              <w:lang w:val="en-US" w:eastAsia="zh-CN"/>
            </w:rPr>
            <w:t xml:space="preserve">2.1 </w:t>
          </w:r>
          <w:r>
            <w:rPr>
              <w:rFonts w:hint="eastAsia" w:ascii="宋体" w:hAnsi="宋体" w:eastAsia="宋体" w:cs="宋体"/>
            </w:rPr>
            <w:t>偏好比较数据的功能定位与信号质量假设</w:t>
          </w:r>
          <w:r>
            <w:tab/>
          </w:r>
          <w:r>
            <w:fldChar w:fldCharType="begin"/>
          </w:r>
          <w:r>
            <w:instrText xml:space="preserve"> PAGEREF _Toc30034 \h </w:instrText>
          </w:r>
          <w:r>
            <w:fldChar w:fldCharType="separate"/>
          </w:r>
          <w:r>
            <w:t>20</w:t>
          </w:r>
          <w:r>
            <w:fldChar w:fldCharType="end"/>
          </w:r>
          <w:r>
            <w:fldChar w:fldCharType="end"/>
          </w:r>
        </w:p>
        <w:p w14:paraId="0A9E1877">
          <w:pPr>
            <w:pStyle w:val="12"/>
            <w:tabs>
              <w:tab w:val="right" w:leader="dot" w:pos="9354"/>
            </w:tabs>
          </w:pPr>
          <w:r>
            <w:fldChar w:fldCharType="begin"/>
          </w:r>
          <w:r>
            <w:instrText xml:space="preserve"> HYPERLINK \l _Toc4309 </w:instrText>
          </w:r>
          <w:r>
            <w:fldChar w:fldCharType="separate"/>
          </w:r>
          <w:r>
            <w:rPr>
              <w:rFonts w:hint="eastAsia" w:ascii="Times New Roman" w:hAnsi="Times New Roman" w:eastAsia="宋体" w:cs="Times New Roman"/>
              <w:szCs w:val="24"/>
              <w:lang w:val="en-US" w:eastAsia="zh-CN"/>
            </w:rPr>
            <w:t>2.2 表层形式偏差的概念界定与认知成因</w:t>
          </w:r>
          <w:r>
            <w:tab/>
          </w:r>
          <w:r>
            <w:fldChar w:fldCharType="begin"/>
          </w:r>
          <w:r>
            <w:instrText xml:space="preserve"> PAGEREF _Toc4309 \h </w:instrText>
          </w:r>
          <w:r>
            <w:fldChar w:fldCharType="separate"/>
          </w:r>
          <w:r>
            <w:t>20</w:t>
          </w:r>
          <w:r>
            <w:fldChar w:fldCharType="end"/>
          </w:r>
          <w:r>
            <w:fldChar w:fldCharType="end"/>
          </w:r>
        </w:p>
        <w:p w14:paraId="3252A234">
          <w:pPr>
            <w:pStyle w:val="7"/>
            <w:tabs>
              <w:tab w:val="right" w:leader="dot" w:pos="9354"/>
            </w:tabs>
          </w:pPr>
          <w:r>
            <w:fldChar w:fldCharType="begin"/>
          </w:r>
          <w:r>
            <w:instrText xml:space="preserve"> HYPERLINK \l _Toc11525 </w:instrText>
          </w:r>
          <w:r>
            <w:fldChar w:fldCharType="separate"/>
          </w:r>
          <w:r>
            <w:rPr>
              <w:rFonts w:hint="eastAsia" w:ascii="Times New Roman" w:hAnsi="Times New Roman" w:eastAsia="宋体" w:cs="Times New Roman"/>
              <w:szCs w:val="24"/>
            </w:rPr>
            <w:t>2.2.1 操作性定义</w:t>
          </w:r>
          <w:r>
            <w:tab/>
          </w:r>
          <w:r>
            <w:fldChar w:fldCharType="begin"/>
          </w:r>
          <w:r>
            <w:instrText xml:space="preserve"> PAGEREF _Toc11525 \h </w:instrText>
          </w:r>
          <w:r>
            <w:fldChar w:fldCharType="separate"/>
          </w:r>
          <w:r>
            <w:t>20</w:t>
          </w:r>
          <w:r>
            <w:fldChar w:fldCharType="end"/>
          </w:r>
          <w:r>
            <w:fldChar w:fldCharType="end"/>
          </w:r>
        </w:p>
        <w:p w14:paraId="7226E487">
          <w:pPr>
            <w:pStyle w:val="7"/>
            <w:tabs>
              <w:tab w:val="right" w:leader="dot" w:pos="9354"/>
            </w:tabs>
          </w:pPr>
          <w:r>
            <w:fldChar w:fldCharType="begin"/>
          </w:r>
          <w:r>
            <w:instrText xml:space="preserve"> HYPERLINK \l _Toc11005 </w:instrText>
          </w:r>
          <w:r>
            <w:fldChar w:fldCharType="separate"/>
          </w:r>
          <w:r>
            <w:rPr>
              <w:rFonts w:hint="eastAsia" w:ascii="Times New Roman" w:hAnsi="Times New Roman" w:eastAsia="宋体" w:cs="Times New Roman"/>
              <w:szCs w:val="24"/>
            </w:rPr>
            <w:t>2.2.2 比较场景中的启发式判断</w:t>
          </w:r>
          <w:r>
            <w:tab/>
          </w:r>
          <w:r>
            <w:fldChar w:fldCharType="begin"/>
          </w:r>
          <w:r>
            <w:instrText xml:space="preserve"> PAGEREF _Toc11005 \h </w:instrText>
          </w:r>
          <w:r>
            <w:fldChar w:fldCharType="separate"/>
          </w:r>
          <w:r>
            <w:t>21</w:t>
          </w:r>
          <w:r>
            <w:fldChar w:fldCharType="end"/>
          </w:r>
          <w:r>
            <w:fldChar w:fldCharType="end"/>
          </w:r>
        </w:p>
        <w:p w14:paraId="47715923">
          <w:pPr>
            <w:pStyle w:val="7"/>
            <w:tabs>
              <w:tab w:val="right" w:leader="dot" w:pos="9354"/>
            </w:tabs>
          </w:pPr>
          <w:r>
            <w:fldChar w:fldCharType="begin"/>
          </w:r>
          <w:r>
            <w:instrText xml:space="preserve"> HYPERLINK \l _Toc7533 </w:instrText>
          </w:r>
          <w:r>
            <w:fldChar w:fldCharType="separate"/>
          </w:r>
          <w:r>
            <w:rPr>
              <w:rFonts w:hint="eastAsia" w:ascii="Times New Roman" w:hAnsi="Times New Roman" w:eastAsia="宋体" w:cs="Times New Roman"/>
              <w:szCs w:val="24"/>
            </w:rPr>
            <w:t>2.2.3 偏差的分类学</w:t>
          </w:r>
          <w:r>
            <w:tab/>
          </w:r>
          <w:r>
            <w:fldChar w:fldCharType="begin"/>
          </w:r>
          <w:r>
            <w:instrText xml:space="preserve"> PAGEREF _Toc7533 \h </w:instrText>
          </w:r>
          <w:r>
            <w:fldChar w:fldCharType="separate"/>
          </w:r>
          <w:r>
            <w:t>21</w:t>
          </w:r>
          <w:r>
            <w:fldChar w:fldCharType="end"/>
          </w:r>
          <w:r>
            <w:fldChar w:fldCharType="end"/>
          </w:r>
        </w:p>
        <w:p w14:paraId="5673D763">
          <w:pPr>
            <w:pStyle w:val="12"/>
            <w:tabs>
              <w:tab w:val="right" w:leader="dot" w:pos="9354"/>
            </w:tabs>
          </w:pPr>
          <w:r>
            <w:fldChar w:fldCharType="begin"/>
          </w:r>
          <w:r>
            <w:instrText xml:space="preserve"> HYPERLINK \l _Toc5447 </w:instrText>
          </w:r>
          <w:r>
            <w:fldChar w:fldCharType="separate"/>
          </w:r>
          <w:r>
            <w:rPr>
              <w:rFonts w:hint="eastAsia" w:ascii="Times New Roman" w:hAnsi="Times New Roman" w:eastAsia="宋体" w:cs="Times New Roman"/>
              <w:szCs w:val="24"/>
              <w:lang w:val="en-US" w:eastAsia="zh-CN"/>
            </w:rPr>
            <w:t>2.3 长度偏差的研究发展脉络与方法演进</w:t>
          </w:r>
          <w:r>
            <w:tab/>
          </w:r>
          <w:r>
            <w:fldChar w:fldCharType="begin"/>
          </w:r>
          <w:r>
            <w:instrText xml:space="preserve"> PAGEREF _Toc5447 \h </w:instrText>
          </w:r>
          <w:r>
            <w:fldChar w:fldCharType="separate"/>
          </w:r>
          <w:r>
            <w:t>22</w:t>
          </w:r>
          <w:r>
            <w:fldChar w:fldCharType="end"/>
          </w:r>
          <w:r>
            <w:fldChar w:fldCharType="end"/>
          </w:r>
        </w:p>
        <w:p w14:paraId="75C58B2D">
          <w:pPr>
            <w:pStyle w:val="12"/>
            <w:tabs>
              <w:tab w:val="right" w:leader="dot" w:pos="9354"/>
            </w:tabs>
          </w:pPr>
          <w:r>
            <w:fldChar w:fldCharType="begin"/>
          </w:r>
          <w:r>
            <w:instrText xml:space="preserve"> HYPERLINK \l _Toc17323 </w:instrText>
          </w:r>
          <w:r>
            <w:fldChar w:fldCharType="separate"/>
          </w:r>
          <w:r>
            <w:rPr>
              <w:rFonts w:hint="eastAsia" w:ascii="Times New Roman" w:hAnsi="Times New Roman" w:eastAsia="宋体" w:cs="Times New Roman"/>
              <w:szCs w:val="24"/>
              <w:lang w:val="en-US" w:eastAsia="zh-CN"/>
            </w:rPr>
            <w:t>2.4 格式偏差的研究演进与格式特征分类</w:t>
          </w:r>
          <w:r>
            <w:tab/>
          </w:r>
          <w:r>
            <w:fldChar w:fldCharType="begin"/>
          </w:r>
          <w:r>
            <w:instrText xml:space="preserve"> PAGEREF _Toc17323 \h </w:instrText>
          </w:r>
          <w:r>
            <w:fldChar w:fldCharType="separate"/>
          </w:r>
          <w:r>
            <w:t>23</w:t>
          </w:r>
          <w:r>
            <w:fldChar w:fldCharType="end"/>
          </w:r>
          <w:r>
            <w:fldChar w:fldCharType="end"/>
          </w:r>
        </w:p>
        <w:p w14:paraId="741B556C">
          <w:pPr>
            <w:pStyle w:val="12"/>
            <w:tabs>
              <w:tab w:val="right" w:leader="dot" w:pos="9354"/>
            </w:tabs>
          </w:pPr>
          <w:r>
            <w:fldChar w:fldCharType="begin"/>
          </w:r>
          <w:r>
            <w:instrText xml:space="preserve"> HYPERLINK \l _Toc11352 </w:instrText>
          </w:r>
          <w:r>
            <w:fldChar w:fldCharType="separate"/>
          </w:r>
          <w:r>
            <w:rPr>
              <w:rFonts w:hint="eastAsia" w:ascii="Times New Roman" w:hAnsi="Times New Roman" w:eastAsia="宋体" w:cs="Times New Roman"/>
              <w:szCs w:val="24"/>
              <w:lang w:val="en-US" w:eastAsia="zh-CN"/>
            </w:rPr>
            <w:t>2.5 混淆控制与识别框架</w:t>
          </w:r>
          <w:r>
            <w:tab/>
          </w:r>
          <w:r>
            <w:fldChar w:fldCharType="begin"/>
          </w:r>
          <w:r>
            <w:instrText xml:space="preserve"> PAGEREF _Toc11352 \h </w:instrText>
          </w:r>
          <w:r>
            <w:fldChar w:fldCharType="separate"/>
          </w:r>
          <w:r>
            <w:t>24</w:t>
          </w:r>
          <w:r>
            <w:fldChar w:fldCharType="end"/>
          </w:r>
          <w:r>
            <w:fldChar w:fldCharType="end"/>
          </w:r>
        </w:p>
        <w:p w14:paraId="4B5561D2">
          <w:pPr>
            <w:pStyle w:val="12"/>
            <w:tabs>
              <w:tab w:val="right" w:leader="dot" w:pos="9354"/>
            </w:tabs>
          </w:pPr>
          <w:r>
            <w:fldChar w:fldCharType="begin"/>
          </w:r>
          <w:r>
            <w:instrText xml:space="preserve"> HYPERLINK \l _Toc13746 </w:instrText>
          </w:r>
          <w:r>
            <w:fldChar w:fldCharType="separate"/>
          </w:r>
          <w:r>
            <w:rPr>
              <w:rFonts w:hint="eastAsia" w:ascii="Times New Roman" w:hAnsi="Times New Roman" w:eastAsia="宋体" w:cs="Times New Roman"/>
              <w:szCs w:val="24"/>
              <w:lang w:val="en-US" w:eastAsia="zh-CN"/>
            </w:rPr>
            <w:t>2.6 理论分析框架与研究假设</w:t>
          </w:r>
          <w:r>
            <w:tab/>
          </w:r>
          <w:r>
            <w:fldChar w:fldCharType="begin"/>
          </w:r>
          <w:r>
            <w:instrText xml:space="preserve"> PAGEREF _Toc13746 \h </w:instrText>
          </w:r>
          <w:r>
            <w:fldChar w:fldCharType="separate"/>
          </w:r>
          <w:r>
            <w:t>26</w:t>
          </w:r>
          <w:r>
            <w:fldChar w:fldCharType="end"/>
          </w:r>
          <w:r>
            <w:fldChar w:fldCharType="end"/>
          </w:r>
        </w:p>
        <w:p w14:paraId="55F96F92">
          <w:pPr>
            <w:pStyle w:val="12"/>
            <w:tabs>
              <w:tab w:val="right" w:leader="dot" w:pos="9354"/>
            </w:tabs>
          </w:pPr>
          <w:r>
            <w:fldChar w:fldCharType="begin"/>
          </w:r>
          <w:r>
            <w:instrText xml:space="preserve"> HYPERLINK \l _Toc12983 </w:instrText>
          </w:r>
          <w:r>
            <w:fldChar w:fldCharType="separate"/>
          </w:r>
          <w:r>
            <w:rPr>
              <w:rFonts w:hint="eastAsia" w:ascii="Times New Roman" w:hAnsi="Times New Roman" w:eastAsia="宋体" w:cs="Times New Roman"/>
              <w:szCs w:val="24"/>
              <w:lang w:val="en-US" w:eastAsia="zh-CN"/>
            </w:rPr>
            <w:t>2.7 本章小结</w:t>
          </w:r>
          <w:r>
            <w:tab/>
          </w:r>
          <w:r>
            <w:fldChar w:fldCharType="begin"/>
          </w:r>
          <w:r>
            <w:instrText xml:space="preserve"> PAGEREF _Toc12983 \h </w:instrText>
          </w:r>
          <w:r>
            <w:fldChar w:fldCharType="separate"/>
          </w:r>
          <w:r>
            <w:t>26</w:t>
          </w:r>
          <w:r>
            <w:fldChar w:fldCharType="end"/>
          </w:r>
          <w:r>
            <w:fldChar w:fldCharType="end"/>
          </w:r>
        </w:p>
        <w:p w14:paraId="1B98A843">
          <w:pPr>
            <w:pStyle w:val="11"/>
            <w:tabs>
              <w:tab w:val="right" w:leader="dot" w:pos="9354"/>
            </w:tabs>
          </w:pPr>
          <w:r>
            <w:fldChar w:fldCharType="begin"/>
          </w:r>
          <w:r>
            <w:instrText xml:space="preserve"> HYPERLINK \l _Toc1760 </w:instrText>
          </w:r>
          <w:r>
            <w:fldChar w:fldCharType="separate"/>
          </w:r>
          <w:r>
            <w:rPr>
              <w:rFonts w:hint="eastAsia"/>
            </w:rPr>
            <w:t>第三章 数据来源与预处理</w:t>
          </w:r>
          <w:r>
            <w:tab/>
          </w:r>
          <w:r>
            <w:fldChar w:fldCharType="begin"/>
          </w:r>
          <w:r>
            <w:instrText xml:space="preserve"> PAGEREF _Toc1760 \h </w:instrText>
          </w:r>
          <w:r>
            <w:fldChar w:fldCharType="separate"/>
          </w:r>
          <w:r>
            <w:t>27</w:t>
          </w:r>
          <w:r>
            <w:fldChar w:fldCharType="end"/>
          </w:r>
          <w:r>
            <w:fldChar w:fldCharType="end"/>
          </w:r>
        </w:p>
        <w:p w14:paraId="31769C9A">
          <w:pPr>
            <w:pStyle w:val="12"/>
            <w:tabs>
              <w:tab w:val="right" w:leader="dot" w:pos="9354"/>
            </w:tabs>
          </w:pPr>
          <w:r>
            <w:fldChar w:fldCharType="begin"/>
          </w:r>
          <w:r>
            <w:instrText xml:space="preserve"> HYPERLINK \l _Toc9581 </w:instrText>
          </w:r>
          <w:r>
            <w:fldChar w:fldCharType="separate"/>
          </w:r>
          <w:r>
            <w:rPr>
              <w:rFonts w:hint="eastAsia" w:ascii="Times New Roman" w:hAnsi="Times New Roman" w:eastAsia="宋体" w:cs="Times New Roman"/>
              <w:szCs w:val="24"/>
              <w:lang w:val="en-US" w:eastAsia="zh-CN"/>
            </w:rPr>
            <w:t>3.1 数据来源与原始结构</w:t>
          </w:r>
          <w:r>
            <w:tab/>
          </w:r>
          <w:r>
            <w:fldChar w:fldCharType="begin"/>
          </w:r>
          <w:r>
            <w:instrText xml:space="preserve"> PAGEREF _Toc9581 \h </w:instrText>
          </w:r>
          <w:r>
            <w:fldChar w:fldCharType="separate"/>
          </w:r>
          <w:r>
            <w:t>27</w:t>
          </w:r>
          <w:r>
            <w:fldChar w:fldCharType="end"/>
          </w:r>
          <w:r>
            <w:fldChar w:fldCharType="end"/>
          </w:r>
        </w:p>
        <w:p w14:paraId="0AEE29EB">
          <w:pPr>
            <w:pStyle w:val="12"/>
            <w:tabs>
              <w:tab w:val="right" w:leader="dot" w:pos="9354"/>
            </w:tabs>
          </w:pPr>
          <w:r>
            <w:fldChar w:fldCharType="begin"/>
          </w:r>
          <w:r>
            <w:instrText xml:space="preserve"> HYPERLINK \l _Toc17047 </w:instrText>
          </w:r>
          <w:r>
            <w:fldChar w:fldCharType="separate"/>
          </w:r>
          <w:r>
            <w:rPr>
              <w:rFonts w:hint="eastAsia" w:ascii="Times New Roman" w:hAnsi="Times New Roman" w:eastAsia="宋体" w:cs="Times New Roman"/>
              <w:szCs w:val="24"/>
              <w:lang w:val="en-US" w:eastAsia="zh-CN"/>
            </w:rPr>
            <w:t>3.2 数据审计与清洗规则</w:t>
          </w:r>
          <w:r>
            <w:tab/>
          </w:r>
          <w:r>
            <w:fldChar w:fldCharType="begin"/>
          </w:r>
          <w:r>
            <w:instrText xml:space="preserve"> PAGEREF _Toc17047 \h </w:instrText>
          </w:r>
          <w:r>
            <w:fldChar w:fldCharType="separate"/>
          </w:r>
          <w:r>
            <w:t>29</w:t>
          </w:r>
          <w:r>
            <w:fldChar w:fldCharType="end"/>
          </w:r>
          <w:r>
            <w:fldChar w:fldCharType="end"/>
          </w:r>
        </w:p>
        <w:p w14:paraId="7C0175DE">
          <w:pPr>
            <w:pStyle w:val="12"/>
            <w:tabs>
              <w:tab w:val="right" w:leader="dot" w:pos="9354"/>
            </w:tabs>
          </w:pPr>
          <w:r>
            <w:fldChar w:fldCharType="begin"/>
          </w:r>
          <w:r>
            <w:instrText xml:space="preserve"> HYPERLINK \l _Toc25297 </w:instrText>
          </w:r>
          <w:r>
            <w:fldChar w:fldCharType="separate"/>
          </w:r>
          <w:r>
            <w:t>3.3 优化主表构建与样本筛选</w:t>
          </w:r>
          <w:r>
            <w:tab/>
          </w:r>
          <w:r>
            <w:fldChar w:fldCharType="begin"/>
          </w:r>
          <w:r>
            <w:instrText xml:space="preserve"> PAGEREF _Toc25297 \h </w:instrText>
          </w:r>
          <w:r>
            <w:fldChar w:fldCharType="separate"/>
          </w:r>
          <w:r>
            <w:t>30</w:t>
          </w:r>
          <w:r>
            <w:fldChar w:fldCharType="end"/>
          </w:r>
          <w:r>
            <w:fldChar w:fldCharType="end"/>
          </w:r>
        </w:p>
        <w:p w14:paraId="6C8C6117">
          <w:pPr>
            <w:pStyle w:val="12"/>
            <w:tabs>
              <w:tab w:val="right" w:leader="dot" w:pos="9354"/>
            </w:tabs>
          </w:pPr>
          <w:r>
            <w:fldChar w:fldCharType="begin"/>
          </w:r>
          <w:r>
            <w:instrText xml:space="preserve"> HYPERLINK \l _Toc13421 </w:instrText>
          </w:r>
          <w:r>
            <w:fldChar w:fldCharType="separate"/>
          </w:r>
          <w:r>
            <w:rPr>
              <w:rFonts w:hint="eastAsia" w:ascii="Times New Roman" w:hAnsi="Times New Roman" w:eastAsia="宋体" w:cs="Times New Roman"/>
              <w:szCs w:val="24"/>
              <w:lang w:val="en-US" w:eastAsia="zh-CN"/>
            </w:rPr>
            <w:t>3.4 任务子集划分</w:t>
          </w:r>
          <w:r>
            <w:tab/>
          </w:r>
          <w:r>
            <w:fldChar w:fldCharType="begin"/>
          </w:r>
          <w:r>
            <w:instrText xml:space="preserve"> PAGEREF _Toc13421 \h </w:instrText>
          </w:r>
          <w:r>
            <w:fldChar w:fldCharType="separate"/>
          </w:r>
          <w:r>
            <w:t>31</w:t>
          </w:r>
          <w:r>
            <w:fldChar w:fldCharType="end"/>
          </w:r>
          <w:r>
            <w:fldChar w:fldCharType="end"/>
          </w:r>
        </w:p>
        <w:p w14:paraId="3F5443A1">
          <w:pPr>
            <w:pStyle w:val="12"/>
            <w:tabs>
              <w:tab w:val="right" w:leader="dot" w:pos="9354"/>
            </w:tabs>
          </w:pPr>
          <w:r>
            <w:fldChar w:fldCharType="begin"/>
          </w:r>
          <w:r>
            <w:instrText xml:space="preserve"> HYPERLINK \l _Toc7278 </w:instrText>
          </w:r>
          <w:r>
            <w:fldChar w:fldCharType="separate"/>
          </w:r>
          <w:r>
            <w:rPr>
              <w:rFonts w:hint="eastAsia" w:ascii="Times New Roman" w:hAnsi="Times New Roman" w:eastAsia="宋体" w:cs="Times New Roman"/>
              <w:szCs w:val="24"/>
              <w:lang w:val="en-US" w:eastAsia="zh-CN"/>
            </w:rPr>
            <w:t>3.5 本章小结</w:t>
          </w:r>
          <w:r>
            <w:tab/>
          </w:r>
          <w:r>
            <w:fldChar w:fldCharType="begin"/>
          </w:r>
          <w:r>
            <w:instrText xml:space="preserve"> PAGEREF _Toc7278 \h </w:instrText>
          </w:r>
          <w:r>
            <w:fldChar w:fldCharType="separate"/>
          </w:r>
          <w:r>
            <w:t>31</w:t>
          </w:r>
          <w:r>
            <w:fldChar w:fldCharType="end"/>
          </w:r>
          <w:r>
            <w:fldChar w:fldCharType="end"/>
          </w:r>
        </w:p>
        <w:p w14:paraId="0201AEBE">
          <w:pPr>
            <w:pStyle w:val="11"/>
            <w:tabs>
              <w:tab w:val="right" w:leader="dot" w:pos="9354"/>
            </w:tabs>
          </w:pPr>
          <w:r>
            <w:fldChar w:fldCharType="begin"/>
          </w:r>
          <w:r>
            <w:instrText xml:space="preserve"> HYPERLINK \l _Toc13022 </w:instrText>
          </w:r>
          <w:r>
            <w:fldChar w:fldCharType="separate"/>
          </w:r>
          <w:r>
            <w:rPr>
              <w:rFonts w:hint="eastAsia"/>
            </w:rPr>
            <w:t>第四章 变量构造与研究设计</w:t>
          </w:r>
          <w:r>
            <w:tab/>
          </w:r>
          <w:r>
            <w:fldChar w:fldCharType="begin"/>
          </w:r>
          <w:r>
            <w:instrText xml:space="preserve"> PAGEREF _Toc13022 \h </w:instrText>
          </w:r>
          <w:r>
            <w:fldChar w:fldCharType="separate"/>
          </w:r>
          <w:r>
            <w:t>32</w:t>
          </w:r>
          <w:r>
            <w:fldChar w:fldCharType="end"/>
          </w:r>
          <w:r>
            <w:fldChar w:fldCharType="end"/>
          </w:r>
        </w:p>
        <w:p w14:paraId="64DED0C1">
          <w:pPr>
            <w:pStyle w:val="12"/>
            <w:tabs>
              <w:tab w:val="right" w:leader="dot" w:pos="9354"/>
            </w:tabs>
          </w:pPr>
          <w:r>
            <w:fldChar w:fldCharType="begin"/>
          </w:r>
          <w:r>
            <w:instrText xml:space="preserve"> HYPERLINK \l _Toc5479 </w:instrText>
          </w:r>
          <w:r>
            <w:fldChar w:fldCharType="separate"/>
          </w:r>
          <w:r>
            <w:rPr>
              <w:rFonts w:hint="eastAsia" w:ascii="Times New Roman" w:hAnsi="Times New Roman" w:eastAsia="宋体" w:cs="Times New Roman"/>
              <w:szCs w:val="24"/>
              <w:lang w:val="en-US" w:eastAsia="zh-CN"/>
            </w:rPr>
            <w:t>4.1 结果变量与长度相关变量</w:t>
          </w:r>
          <w:r>
            <w:tab/>
          </w:r>
          <w:r>
            <w:fldChar w:fldCharType="begin"/>
          </w:r>
          <w:r>
            <w:instrText xml:space="preserve"> PAGEREF _Toc5479 \h </w:instrText>
          </w:r>
          <w:r>
            <w:fldChar w:fldCharType="separate"/>
          </w:r>
          <w:r>
            <w:t>32</w:t>
          </w:r>
          <w:r>
            <w:fldChar w:fldCharType="end"/>
          </w:r>
          <w:r>
            <w:fldChar w:fldCharType="end"/>
          </w:r>
        </w:p>
        <w:p w14:paraId="52482489">
          <w:pPr>
            <w:pStyle w:val="12"/>
            <w:tabs>
              <w:tab w:val="right" w:leader="dot" w:pos="9354"/>
            </w:tabs>
          </w:pPr>
          <w:r>
            <w:fldChar w:fldCharType="begin"/>
          </w:r>
          <w:r>
            <w:instrText xml:space="preserve"> HYPERLINK \l _Toc2225 </w:instrText>
          </w:r>
          <w:r>
            <w:fldChar w:fldCharType="separate"/>
          </w:r>
          <w:r>
            <w:rPr>
              <w:rFonts w:hint="eastAsia" w:ascii="Times New Roman" w:hAnsi="Times New Roman" w:eastAsia="宋体" w:cs="Times New Roman"/>
              <w:szCs w:val="24"/>
              <w:lang w:val="en-US" w:eastAsia="zh-CN"/>
            </w:rPr>
            <w:t>4.2 格式变量与密度指标构造</w:t>
          </w:r>
          <w:r>
            <w:tab/>
          </w:r>
          <w:r>
            <w:fldChar w:fldCharType="begin"/>
          </w:r>
          <w:r>
            <w:instrText xml:space="preserve"> PAGEREF _Toc2225 \h </w:instrText>
          </w:r>
          <w:r>
            <w:fldChar w:fldCharType="separate"/>
          </w:r>
          <w:r>
            <w:t>32</w:t>
          </w:r>
          <w:r>
            <w:fldChar w:fldCharType="end"/>
          </w:r>
          <w:r>
            <w:fldChar w:fldCharType="end"/>
          </w:r>
        </w:p>
        <w:p w14:paraId="79B86ED8">
          <w:pPr>
            <w:pStyle w:val="12"/>
            <w:tabs>
              <w:tab w:val="right" w:leader="dot" w:pos="9354"/>
            </w:tabs>
          </w:pPr>
          <w:r>
            <w:fldChar w:fldCharType="begin"/>
          </w:r>
          <w:r>
            <w:instrText xml:space="preserve"> HYPERLINK \l _Toc30928 </w:instrText>
          </w:r>
          <w:r>
            <w:fldChar w:fldCharType="separate"/>
          </w:r>
          <w:r>
            <w:rPr>
              <w:rFonts w:hint="eastAsia" w:ascii="Times New Roman" w:hAnsi="Times New Roman" w:eastAsia="宋体" w:cs="Times New Roman"/>
              <w:szCs w:val="24"/>
              <w:lang w:val="en-US" w:eastAsia="zh-CN"/>
            </w:rPr>
            <w:t>4.3 任务类型、质量维度与模型代理变量</w:t>
          </w:r>
          <w:r>
            <w:tab/>
          </w:r>
          <w:r>
            <w:fldChar w:fldCharType="begin"/>
          </w:r>
          <w:r>
            <w:instrText xml:space="preserve"> PAGEREF _Toc30928 \h </w:instrText>
          </w:r>
          <w:r>
            <w:fldChar w:fldCharType="separate"/>
          </w:r>
          <w:r>
            <w:t>32</w:t>
          </w:r>
          <w:r>
            <w:fldChar w:fldCharType="end"/>
          </w:r>
          <w:r>
            <w:fldChar w:fldCharType="end"/>
          </w:r>
        </w:p>
        <w:p w14:paraId="30A84FC3">
          <w:pPr>
            <w:pStyle w:val="12"/>
            <w:tabs>
              <w:tab w:val="right" w:leader="dot" w:pos="9354"/>
            </w:tabs>
          </w:pPr>
          <w:r>
            <w:fldChar w:fldCharType="begin"/>
          </w:r>
          <w:r>
            <w:instrText xml:space="preserve"> HYPERLINK \l _Toc14961 </w:instrText>
          </w:r>
          <w:r>
            <w:fldChar w:fldCharType="separate"/>
          </w:r>
          <w:r>
            <w:rPr>
              <w:rFonts w:hint="eastAsia" w:ascii="Times New Roman" w:hAnsi="Times New Roman" w:eastAsia="宋体" w:cs="Times New Roman"/>
              <w:szCs w:val="24"/>
              <w:lang w:val="en-US" w:eastAsia="zh-CN"/>
            </w:rPr>
            <w:t>4.4 分析方法链设计</w:t>
          </w:r>
          <w:r>
            <w:tab/>
          </w:r>
          <w:r>
            <w:fldChar w:fldCharType="begin"/>
          </w:r>
          <w:r>
            <w:instrText xml:space="preserve"> PAGEREF _Toc14961 \h </w:instrText>
          </w:r>
          <w:r>
            <w:fldChar w:fldCharType="separate"/>
          </w:r>
          <w:r>
            <w:t>33</w:t>
          </w:r>
          <w:r>
            <w:fldChar w:fldCharType="end"/>
          </w:r>
          <w:r>
            <w:fldChar w:fldCharType="end"/>
          </w:r>
        </w:p>
        <w:p w14:paraId="4B0D83D2">
          <w:pPr>
            <w:pStyle w:val="12"/>
            <w:tabs>
              <w:tab w:val="right" w:leader="dot" w:pos="9354"/>
            </w:tabs>
          </w:pPr>
          <w:r>
            <w:fldChar w:fldCharType="begin"/>
          </w:r>
          <w:r>
            <w:instrText xml:space="preserve"> HYPERLINK \l _Toc12226 </w:instrText>
          </w:r>
          <w:r>
            <w:fldChar w:fldCharType="separate"/>
          </w:r>
          <w:r>
            <w:rPr>
              <w:rFonts w:hint="eastAsia" w:ascii="Times New Roman" w:hAnsi="Times New Roman" w:eastAsia="宋体" w:cs="Times New Roman"/>
              <w:szCs w:val="24"/>
              <w:lang w:val="en-US" w:eastAsia="zh-CN"/>
            </w:rPr>
            <w:t>4.5 核心统计方法的适用性说明</w:t>
          </w:r>
          <w:r>
            <w:tab/>
          </w:r>
          <w:r>
            <w:fldChar w:fldCharType="begin"/>
          </w:r>
          <w:r>
            <w:instrText xml:space="preserve"> PAGEREF _Toc12226 \h </w:instrText>
          </w:r>
          <w:r>
            <w:fldChar w:fldCharType="separate"/>
          </w:r>
          <w:r>
            <w:t>33</w:t>
          </w:r>
          <w:r>
            <w:fldChar w:fldCharType="end"/>
          </w:r>
          <w:r>
            <w:fldChar w:fldCharType="end"/>
          </w:r>
        </w:p>
        <w:p w14:paraId="182EB5D0">
          <w:pPr>
            <w:pStyle w:val="12"/>
            <w:tabs>
              <w:tab w:val="right" w:leader="dot" w:pos="9354"/>
            </w:tabs>
          </w:pPr>
          <w:r>
            <w:fldChar w:fldCharType="begin"/>
          </w:r>
          <w:r>
            <w:instrText xml:space="preserve"> HYPERLINK \l _Toc4256 </w:instrText>
          </w:r>
          <w:r>
            <w:fldChar w:fldCharType="separate"/>
          </w:r>
          <w:r>
            <w:rPr>
              <w:rFonts w:hint="eastAsia" w:ascii="Times New Roman" w:hAnsi="Times New Roman" w:eastAsia="宋体" w:cs="Times New Roman"/>
              <w:szCs w:val="24"/>
              <w:lang w:val="en-US" w:eastAsia="zh-CN"/>
            </w:rPr>
            <w:t>4.6 本章小结</w:t>
          </w:r>
          <w:r>
            <w:tab/>
          </w:r>
          <w:r>
            <w:fldChar w:fldCharType="begin"/>
          </w:r>
          <w:r>
            <w:instrText xml:space="preserve"> PAGEREF _Toc4256 \h </w:instrText>
          </w:r>
          <w:r>
            <w:fldChar w:fldCharType="separate"/>
          </w:r>
          <w:r>
            <w:t>34</w:t>
          </w:r>
          <w:r>
            <w:fldChar w:fldCharType="end"/>
          </w:r>
          <w:r>
            <w:fldChar w:fldCharType="end"/>
          </w:r>
        </w:p>
        <w:p w14:paraId="13C4FA13">
          <w:pPr>
            <w:pStyle w:val="11"/>
            <w:tabs>
              <w:tab w:val="right" w:leader="dot" w:pos="9354"/>
            </w:tabs>
          </w:pPr>
          <w:r>
            <w:fldChar w:fldCharType="begin"/>
          </w:r>
          <w:r>
            <w:instrText xml:space="preserve"> HYPERLINK \l _Toc7491 </w:instrText>
          </w:r>
          <w:r>
            <w:fldChar w:fldCharType="separate"/>
          </w:r>
          <w:r>
            <w:rPr>
              <w:rFonts w:hint="eastAsia"/>
            </w:rPr>
            <w:t>第五章 偏好存在性分析与检验</w:t>
          </w:r>
          <w:r>
            <w:tab/>
          </w:r>
          <w:r>
            <w:fldChar w:fldCharType="begin"/>
          </w:r>
          <w:r>
            <w:instrText xml:space="preserve"> PAGEREF _Toc7491 \h </w:instrText>
          </w:r>
          <w:r>
            <w:fldChar w:fldCharType="separate"/>
          </w:r>
          <w:r>
            <w:t>35</w:t>
          </w:r>
          <w:r>
            <w:fldChar w:fldCharType="end"/>
          </w:r>
          <w:r>
            <w:fldChar w:fldCharType="end"/>
          </w:r>
        </w:p>
        <w:p w14:paraId="0FA67B8F">
          <w:pPr>
            <w:pStyle w:val="12"/>
            <w:tabs>
              <w:tab w:val="right" w:leader="dot" w:pos="9354"/>
            </w:tabs>
          </w:pPr>
          <w:r>
            <w:fldChar w:fldCharType="begin"/>
          </w:r>
          <w:r>
            <w:instrText xml:space="preserve"> HYPERLINK \l _Toc21649 </w:instrText>
          </w:r>
          <w:r>
            <w:fldChar w:fldCharType="separate"/>
          </w:r>
          <w:r>
            <w:rPr>
              <w:rFonts w:hint="eastAsia" w:ascii="Times New Roman" w:hAnsi="Times New Roman" w:eastAsia="宋体" w:cs="Times New Roman"/>
              <w:szCs w:val="24"/>
              <w:lang w:val="en-US" w:eastAsia="zh-CN"/>
            </w:rPr>
            <w:t>5.1 长度偏好的描述性特征</w:t>
          </w:r>
          <w:r>
            <w:tab/>
          </w:r>
          <w:r>
            <w:fldChar w:fldCharType="begin"/>
          </w:r>
          <w:r>
            <w:instrText xml:space="preserve"> PAGEREF _Toc21649 \h </w:instrText>
          </w:r>
          <w:r>
            <w:fldChar w:fldCharType="separate"/>
          </w:r>
          <w:r>
            <w:t>35</w:t>
          </w:r>
          <w:r>
            <w:fldChar w:fldCharType="end"/>
          </w:r>
          <w:r>
            <w:fldChar w:fldCharType="end"/>
          </w:r>
        </w:p>
        <w:p w14:paraId="10895B97">
          <w:pPr>
            <w:pStyle w:val="12"/>
            <w:tabs>
              <w:tab w:val="right" w:leader="dot" w:pos="9354"/>
            </w:tabs>
          </w:pPr>
          <w:r>
            <w:fldChar w:fldCharType="begin"/>
          </w:r>
          <w:r>
            <w:instrText xml:space="preserve"> HYPERLINK \l _Toc5686 </w:instrText>
          </w:r>
          <w:r>
            <w:fldChar w:fldCharType="separate"/>
          </w:r>
          <w:r>
            <w:rPr>
              <w:rFonts w:hint="eastAsia" w:ascii="Times New Roman" w:hAnsi="Times New Roman" w:eastAsia="宋体" w:cs="Times New Roman"/>
              <w:szCs w:val="24"/>
              <w:lang w:val="en-US" w:eastAsia="zh-CN"/>
            </w:rPr>
            <w:t>5.2 格式偏好的描述性特征</w:t>
          </w:r>
          <w:r>
            <w:tab/>
          </w:r>
          <w:r>
            <w:fldChar w:fldCharType="begin"/>
          </w:r>
          <w:r>
            <w:instrText xml:space="preserve"> PAGEREF _Toc5686 \h </w:instrText>
          </w:r>
          <w:r>
            <w:fldChar w:fldCharType="separate"/>
          </w:r>
          <w:r>
            <w:t>35</w:t>
          </w:r>
          <w:r>
            <w:fldChar w:fldCharType="end"/>
          </w:r>
          <w:r>
            <w:fldChar w:fldCharType="end"/>
          </w:r>
        </w:p>
        <w:p w14:paraId="71383C1F">
          <w:pPr>
            <w:pStyle w:val="12"/>
            <w:tabs>
              <w:tab w:val="right" w:leader="dot" w:pos="9354"/>
            </w:tabs>
          </w:pPr>
          <w:r>
            <w:fldChar w:fldCharType="begin"/>
          </w:r>
          <w:r>
            <w:instrText xml:space="preserve"> HYPERLINK \l _Toc23820 </w:instrText>
          </w:r>
          <w:r>
            <w:fldChar w:fldCharType="separate"/>
          </w:r>
          <w:r>
            <w:rPr>
              <w:rFonts w:hint="eastAsia" w:ascii="Times New Roman" w:hAnsi="Times New Roman" w:eastAsia="宋体" w:cs="Times New Roman"/>
              <w:szCs w:val="24"/>
              <w:lang w:val="en-US" w:eastAsia="zh-CN"/>
            </w:rPr>
            <w:t>5.3 长度偏好的正式统计检验</w:t>
          </w:r>
          <w:r>
            <w:tab/>
          </w:r>
          <w:r>
            <w:fldChar w:fldCharType="begin"/>
          </w:r>
          <w:r>
            <w:instrText xml:space="preserve"> PAGEREF _Toc23820 \h </w:instrText>
          </w:r>
          <w:r>
            <w:fldChar w:fldCharType="separate"/>
          </w:r>
          <w:r>
            <w:t>36</w:t>
          </w:r>
          <w:r>
            <w:fldChar w:fldCharType="end"/>
          </w:r>
          <w:r>
            <w:fldChar w:fldCharType="end"/>
          </w:r>
        </w:p>
        <w:p w14:paraId="6C8E194B">
          <w:pPr>
            <w:pStyle w:val="12"/>
            <w:tabs>
              <w:tab w:val="right" w:leader="dot" w:pos="9354"/>
            </w:tabs>
          </w:pPr>
          <w:r>
            <w:fldChar w:fldCharType="begin"/>
          </w:r>
          <w:r>
            <w:instrText xml:space="preserve"> HYPERLINK \l _Toc24039 </w:instrText>
          </w:r>
          <w:r>
            <w:fldChar w:fldCharType="separate"/>
          </w:r>
          <w:r>
            <w:rPr>
              <w:rFonts w:hint="eastAsia" w:ascii="Times New Roman" w:hAnsi="Times New Roman" w:eastAsia="宋体" w:cs="Times New Roman"/>
              <w:szCs w:val="24"/>
              <w:lang w:val="en-US" w:eastAsia="zh-CN"/>
            </w:rPr>
            <w:t>5.4 格式偏好的正式统计检验</w:t>
          </w:r>
          <w:r>
            <w:tab/>
          </w:r>
          <w:r>
            <w:fldChar w:fldCharType="begin"/>
          </w:r>
          <w:r>
            <w:instrText xml:space="preserve"> PAGEREF _Toc24039 \h </w:instrText>
          </w:r>
          <w:r>
            <w:fldChar w:fldCharType="separate"/>
          </w:r>
          <w:r>
            <w:t>37</w:t>
          </w:r>
          <w:r>
            <w:fldChar w:fldCharType="end"/>
          </w:r>
          <w:r>
            <w:fldChar w:fldCharType="end"/>
          </w:r>
        </w:p>
        <w:p w14:paraId="4FAFF691">
          <w:pPr>
            <w:pStyle w:val="12"/>
            <w:tabs>
              <w:tab w:val="right" w:leader="dot" w:pos="9354"/>
            </w:tabs>
          </w:pPr>
          <w:r>
            <w:fldChar w:fldCharType="begin"/>
          </w:r>
          <w:r>
            <w:instrText xml:space="preserve"> HYPERLINK \l _Toc12591 </w:instrText>
          </w:r>
          <w:r>
            <w:fldChar w:fldCharType="separate"/>
          </w:r>
          <w:r>
            <w:rPr>
              <w:rFonts w:hint="eastAsia" w:ascii="Times New Roman" w:hAnsi="Times New Roman" w:eastAsia="宋体" w:cs="Times New Roman"/>
              <w:szCs w:val="24"/>
              <w:lang w:val="en-US" w:eastAsia="zh-CN"/>
            </w:rPr>
            <w:t>5.5 本章小结</w:t>
          </w:r>
          <w:r>
            <w:tab/>
          </w:r>
          <w:r>
            <w:fldChar w:fldCharType="begin"/>
          </w:r>
          <w:r>
            <w:instrText xml:space="preserve"> PAGEREF _Toc12591 \h </w:instrText>
          </w:r>
          <w:r>
            <w:fldChar w:fldCharType="separate"/>
          </w:r>
          <w:r>
            <w:t>40</w:t>
          </w:r>
          <w:r>
            <w:fldChar w:fldCharType="end"/>
          </w:r>
          <w:r>
            <w:fldChar w:fldCharType="end"/>
          </w:r>
        </w:p>
        <w:p w14:paraId="4981E3D1">
          <w:pPr>
            <w:pStyle w:val="11"/>
            <w:tabs>
              <w:tab w:val="right" w:leader="dot" w:pos="9354"/>
            </w:tabs>
          </w:pPr>
          <w:r>
            <w:fldChar w:fldCharType="begin"/>
          </w:r>
          <w:r>
            <w:instrText xml:space="preserve"> HYPERLINK \l _Toc29689 </w:instrText>
          </w:r>
          <w:r>
            <w:fldChar w:fldCharType="separate"/>
          </w:r>
          <w:r>
            <w:rPr>
              <w:rFonts w:hint="eastAsia"/>
            </w:rPr>
            <w:t>第六章 净效应估计与稳健性验证</w:t>
          </w:r>
          <w:r>
            <w:tab/>
          </w:r>
          <w:r>
            <w:fldChar w:fldCharType="begin"/>
          </w:r>
          <w:r>
            <w:instrText xml:space="preserve"> PAGEREF _Toc29689 \h </w:instrText>
          </w:r>
          <w:r>
            <w:fldChar w:fldCharType="separate"/>
          </w:r>
          <w:r>
            <w:t>41</w:t>
          </w:r>
          <w:r>
            <w:fldChar w:fldCharType="end"/>
          </w:r>
          <w:r>
            <w:fldChar w:fldCharType="end"/>
          </w:r>
        </w:p>
        <w:p w14:paraId="2F221B23">
          <w:pPr>
            <w:pStyle w:val="12"/>
            <w:tabs>
              <w:tab w:val="right" w:leader="dot" w:pos="9354"/>
            </w:tabs>
          </w:pPr>
          <w:r>
            <w:fldChar w:fldCharType="begin"/>
          </w:r>
          <w:r>
            <w:instrText xml:space="preserve"> HYPERLINK \l _Toc31524 </w:instrText>
          </w:r>
          <w:r>
            <w:fldChar w:fldCharType="separate"/>
          </w:r>
          <w:r>
            <w:rPr>
              <w:rFonts w:hint="eastAsia" w:ascii="Times New Roman" w:hAnsi="Times New Roman" w:eastAsia="宋体" w:cs="Times New Roman"/>
              <w:szCs w:val="24"/>
              <w:lang w:val="en-US" w:eastAsia="zh-CN"/>
            </w:rPr>
            <w:t>6.1 嵌套逻辑回归下的净效应分解</w:t>
          </w:r>
          <w:r>
            <w:tab/>
          </w:r>
          <w:r>
            <w:fldChar w:fldCharType="begin"/>
          </w:r>
          <w:r>
            <w:instrText xml:space="preserve"> PAGEREF _Toc31524 \h </w:instrText>
          </w:r>
          <w:r>
            <w:fldChar w:fldCharType="separate"/>
          </w:r>
          <w:r>
            <w:t>41</w:t>
          </w:r>
          <w:r>
            <w:fldChar w:fldCharType="end"/>
          </w:r>
          <w:r>
            <w:fldChar w:fldCharType="end"/>
          </w:r>
        </w:p>
        <w:p w14:paraId="2E53E8B6">
          <w:pPr>
            <w:pStyle w:val="12"/>
            <w:tabs>
              <w:tab w:val="right" w:leader="dot" w:pos="9354"/>
            </w:tabs>
          </w:pPr>
          <w:r>
            <w:fldChar w:fldCharType="begin"/>
          </w:r>
          <w:r>
            <w:instrText xml:space="preserve"> HYPERLINK \l _Toc9917 </w:instrText>
          </w:r>
          <w:r>
            <w:fldChar w:fldCharType="separate"/>
          </w:r>
          <w:r>
            <w:rPr>
              <w:rFonts w:hint="eastAsia" w:ascii="Times New Roman" w:hAnsi="Times New Roman" w:eastAsia="宋体" w:cs="Times New Roman"/>
              <w:szCs w:val="24"/>
              <w:lang w:val="en-US" w:eastAsia="zh-CN"/>
            </w:rPr>
            <w:t>6.2 调整逻辑回归与 IPW 稳健性验证</w:t>
          </w:r>
          <w:r>
            <w:tab/>
          </w:r>
          <w:r>
            <w:fldChar w:fldCharType="begin"/>
          </w:r>
          <w:r>
            <w:instrText xml:space="preserve"> PAGEREF _Toc9917 \h </w:instrText>
          </w:r>
          <w:r>
            <w:fldChar w:fldCharType="separate"/>
          </w:r>
          <w:r>
            <w:t>42</w:t>
          </w:r>
          <w:r>
            <w:fldChar w:fldCharType="end"/>
          </w:r>
          <w:r>
            <w:fldChar w:fldCharType="end"/>
          </w:r>
        </w:p>
        <w:p w14:paraId="3B2DBAF6">
          <w:pPr>
            <w:pStyle w:val="12"/>
            <w:tabs>
              <w:tab w:val="right" w:leader="dot" w:pos="9354"/>
            </w:tabs>
          </w:pPr>
          <w:r>
            <w:fldChar w:fldCharType="begin"/>
          </w:r>
          <w:r>
            <w:instrText xml:space="preserve"> HYPERLINK \l _Toc4506 </w:instrText>
          </w:r>
          <w:r>
            <w:fldChar w:fldCharType="separate"/>
          </w:r>
          <w:r>
            <w:rPr>
              <w:rFonts w:hint="eastAsia" w:ascii="Times New Roman" w:hAnsi="Times New Roman" w:eastAsia="宋体" w:cs="Times New Roman"/>
              <w:szCs w:val="24"/>
              <w:lang w:val="en-US" w:eastAsia="zh-CN"/>
            </w:rPr>
            <w:t>6.3 倾向得分匹配与平衡性诊断</w:t>
          </w:r>
          <w:r>
            <w:tab/>
          </w:r>
          <w:r>
            <w:fldChar w:fldCharType="begin"/>
          </w:r>
          <w:r>
            <w:instrText xml:space="preserve"> PAGEREF _Toc4506 \h </w:instrText>
          </w:r>
          <w:r>
            <w:fldChar w:fldCharType="separate"/>
          </w:r>
          <w:r>
            <w:t>43</w:t>
          </w:r>
          <w:r>
            <w:fldChar w:fldCharType="end"/>
          </w:r>
          <w:r>
            <w:fldChar w:fldCharType="end"/>
          </w:r>
        </w:p>
        <w:p w14:paraId="3D013DB2">
          <w:pPr>
            <w:pStyle w:val="12"/>
            <w:tabs>
              <w:tab w:val="right" w:leader="dot" w:pos="9354"/>
            </w:tabs>
          </w:pPr>
          <w:r>
            <w:fldChar w:fldCharType="begin"/>
          </w:r>
          <w:r>
            <w:instrText xml:space="preserve"> HYPERLINK \l _Toc13622 </w:instrText>
          </w:r>
          <w:r>
            <w:fldChar w:fldCharType="separate"/>
          </w:r>
          <w:r>
            <w:rPr>
              <w:rFonts w:hint="eastAsia" w:ascii="Times New Roman" w:hAnsi="Times New Roman" w:eastAsia="宋体" w:cs="Times New Roman"/>
              <w:szCs w:val="24"/>
              <w:lang w:val="en-US" w:eastAsia="zh-CN"/>
            </w:rPr>
            <w:t>6.4 本章小结</w:t>
          </w:r>
          <w:r>
            <w:tab/>
          </w:r>
          <w:r>
            <w:fldChar w:fldCharType="begin"/>
          </w:r>
          <w:r>
            <w:instrText xml:space="preserve"> PAGEREF _Toc13622 \h </w:instrText>
          </w:r>
          <w:r>
            <w:fldChar w:fldCharType="separate"/>
          </w:r>
          <w:r>
            <w:t>44</w:t>
          </w:r>
          <w:r>
            <w:fldChar w:fldCharType="end"/>
          </w:r>
          <w:r>
            <w:fldChar w:fldCharType="end"/>
          </w:r>
        </w:p>
        <w:p w14:paraId="06A7C55A">
          <w:pPr>
            <w:pStyle w:val="11"/>
            <w:tabs>
              <w:tab w:val="right" w:leader="dot" w:pos="9354"/>
            </w:tabs>
          </w:pPr>
          <w:r>
            <w:fldChar w:fldCharType="begin"/>
          </w:r>
          <w:r>
            <w:instrText xml:space="preserve"> HYPERLINK \l _Toc22074 </w:instrText>
          </w:r>
          <w:r>
            <w:fldChar w:fldCharType="separate"/>
          </w:r>
          <w:r>
            <w:rPr>
              <w:rFonts w:hint="eastAsia"/>
            </w:rPr>
            <w:t>第七章 机制探索与路径分析</w:t>
          </w:r>
          <w:r>
            <w:tab/>
          </w:r>
          <w:r>
            <w:fldChar w:fldCharType="begin"/>
          </w:r>
          <w:r>
            <w:instrText xml:space="preserve"> PAGEREF _Toc22074 \h </w:instrText>
          </w:r>
          <w:r>
            <w:fldChar w:fldCharType="separate"/>
          </w:r>
          <w:r>
            <w:t>45</w:t>
          </w:r>
          <w:r>
            <w:fldChar w:fldCharType="end"/>
          </w:r>
          <w:r>
            <w:fldChar w:fldCharType="end"/>
          </w:r>
        </w:p>
        <w:p w14:paraId="06574E82">
          <w:pPr>
            <w:pStyle w:val="12"/>
            <w:tabs>
              <w:tab w:val="right" w:leader="dot" w:pos="9354"/>
            </w:tabs>
          </w:pPr>
          <w:r>
            <w:fldChar w:fldCharType="begin"/>
          </w:r>
          <w:r>
            <w:instrText xml:space="preserve"> HYPERLINK \l _Toc26204 </w:instrText>
          </w:r>
          <w:r>
            <w:fldChar w:fldCharType="separate"/>
          </w:r>
          <w:r>
            <w:rPr>
              <w:rFonts w:hint="eastAsia" w:ascii="Times New Roman" w:hAnsi="Times New Roman" w:eastAsia="宋体" w:cs="Times New Roman"/>
              <w:szCs w:val="24"/>
              <w:lang w:val="en-US" w:eastAsia="zh-CN"/>
            </w:rPr>
            <w:t>7.1 路径分析框架与变量设定</w:t>
          </w:r>
          <w:r>
            <w:tab/>
          </w:r>
          <w:r>
            <w:fldChar w:fldCharType="begin"/>
          </w:r>
          <w:r>
            <w:instrText xml:space="preserve"> PAGEREF _Toc26204 \h </w:instrText>
          </w:r>
          <w:r>
            <w:fldChar w:fldCharType="separate"/>
          </w:r>
          <w:r>
            <w:t>45</w:t>
          </w:r>
          <w:r>
            <w:fldChar w:fldCharType="end"/>
          </w:r>
          <w:r>
            <w:fldChar w:fldCharType="end"/>
          </w:r>
        </w:p>
        <w:p w14:paraId="5D2D2D85">
          <w:pPr>
            <w:pStyle w:val="12"/>
            <w:tabs>
              <w:tab w:val="right" w:leader="dot" w:pos="9354"/>
            </w:tabs>
          </w:pPr>
          <w:r>
            <w:fldChar w:fldCharType="begin"/>
          </w:r>
          <w:r>
            <w:instrText xml:space="preserve"> HYPERLINK \l _Toc22619 </w:instrText>
          </w:r>
          <w:r>
            <w:fldChar w:fldCharType="separate"/>
          </w:r>
          <w:r>
            <w:rPr>
              <w:rFonts w:hint="eastAsia" w:ascii="Times New Roman" w:hAnsi="Times New Roman" w:eastAsia="宋体" w:cs="Times New Roman"/>
              <w:szCs w:val="24"/>
              <w:lang w:val="en-US" w:eastAsia="zh-CN"/>
            </w:rPr>
            <w:t>7.2 模型拟合与结构关系检验</w:t>
          </w:r>
          <w:r>
            <w:tab/>
          </w:r>
          <w:r>
            <w:fldChar w:fldCharType="begin"/>
          </w:r>
          <w:r>
            <w:instrText xml:space="preserve"> PAGEREF _Toc22619 \h </w:instrText>
          </w:r>
          <w:r>
            <w:fldChar w:fldCharType="separate"/>
          </w:r>
          <w:r>
            <w:t>45</w:t>
          </w:r>
          <w:r>
            <w:fldChar w:fldCharType="end"/>
          </w:r>
          <w:r>
            <w:fldChar w:fldCharType="end"/>
          </w:r>
        </w:p>
        <w:p w14:paraId="0F19E95A">
          <w:pPr>
            <w:pStyle w:val="12"/>
            <w:tabs>
              <w:tab w:val="right" w:leader="dot" w:pos="9354"/>
            </w:tabs>
          </w:pPr>
          <w:r>
            <w:fldChar w:fldCharType="begin"/>
          </w:r>
          <w:r>
            <w:instrText xml:space="preserve"> HYPERLINK \l _Toc26460 </w:instrText>
          </w:r>
          <w:r>
            <w:fldChar w:fldCharType="separate"/>
          </w:r>
          <w:r>
            <w:rPr>
              <w:rFonts w:hint="eastAsia" w:ascii="Times New Roman" w:hAnsi="Times New Roman" w:eastAsia="宋体" w:cs="Times New Roman"/>
              <w:szCs w:val="24"/>
              <w:lang w:val="en-US" w:eastAsia="zh-CN"/>
            </w:rPr>
            <w:t>7.3 长度与格式特征的作用路径分析</w:t>
          </w:r>
          <w:r>
            <w:tab/>
          </w:r>
          <w:r>
            <w:fldChar w:fldCharType="begin"/>
          </w:r>
          <w:r>
            <w:instrText xml:space="preserve"> PAGEREF _Toc26460 \h </w:instrText>
          </w:r>
          <w:r>
            <w:fldChar w:fldCharType="separate"/>
          </w:r>
          <w:r>
            <w:t>45</w:t>
          </w:r>
          <w:r>
            <w:fldChar w:fldCharType="end"/>
          </w:r>
          <w:r>
            <w:fldChar w:fldCharType="end"/>
          </w:r>
        </w:p>
        <w:p w14:paraId="3CE2B854">
          <w:pPr>
            <w:pStyle w:val="12"/>
            <w:tabs>
              <w:tab w:val="right" w:leader="dot" w:pos="9354"/>
            </w:tabs>
          </w:pPr>
          <w:r>
            <w:fldChar w:fldCharType="begin"/>
          </w:r>
          <w:r>
            <w:instrText xml:space="preserve"> HYPERLINK \l _Toc26313 </w:instrText>
          </w:r>
          <w:r>
            <w:fldChar w:fldCharType="separate"/>
          </w:r>
          <w:r>
            <w:rPr>
              <w:rFonts w:hint="eastAsia" w:ascii="Times New Roman" w:hAnsi="Times New Roman" w:eastAsia="宋体" w:cs="Times New Roman"/>
              <w:szCs w:val="24"/>
              <w:lang w:val="en-US" w:eastAsia="zh-CN"/>
            </w:rPr>
            <w:t>7.4 直接效应、间接效应与结构分解</w:t>
          </w:r>
          <w:r>
            <w:tab/>
          </w:r>
          <w:r>
            <w:fldChar w:fldCharType="begin"/>
          </w:r>
          <w:r>
            <w:instrText xml:space="preserve"> PAGEREF _Toc26313 \h </w:instrText>
          </w:r>
          <w:r>
            <w:fldChar w:fldCharType="separate"/>
          </w:r>
          <w:r>
            <w:t>46</w:t>
          </w:r>
          <w:r>
            <w:fldChar w:fldCharType="end"/>
          </w:r>
          <w:r>
            <w:fldChar w:fldCharType="end"/>
          </w:r>
        </w:p>
        <w:p w14:paraId="1FCFE0A0">
          <w:pPr>
            <w:pStyle w:val="12"/>
            <w:tabs>
              <w:tab w:val="right" w:leader="dot" w:pos="9354"/>
            </w:tabs>
          </w:pPr>
          <w:r>
            <w:fldChar w:fldCharType="begin"/>
          </w:r>
          <w:r>
            <w:instrText xml:space="preserve"> HYPERLINK \l _Toc4325 </w:instrText>
          </w:r>
          <w:r>
            <w:fldChar w:fldCharType="separate"/>
          </w:r>
          <w:r>
            <w:rPr>
              <w:rFonts w:hint="eastAsia" w:ascii="Times New Roman" w:hAnsi="Times New Roman" w:eastAsia="宋体" w:cs="Times New Roman"/>
              <w:szCs w:val="24"/>
              <w:lang w:val="en-US" w:eastAsia="zh-CN"/>
            </w:rPr>
            <w:t>7.5 路径分析的解释边界与适用范围</w:t>
          </w:r>
          <w:r>
            <w:tab/>
          </w:r>
          <w:r>
            <w:fldChar w:fldCharType="begin"/>
          </w:r>
          <w:r>
            <w:instrText xml:space="preserve"> PAGEREF _Toc4325 \h </w:instrText>
          </w:r>
          <w:r>
            <w:fldChar w:fldCharType="separate"/>
          </w:r>
          <w:r>
            <w:t>47</w:t>
          </w:r>
          <w:r>
            <w:fldChar w:fldCharType="end"/>
          </w:r>
          <w:r>
            <w:fldChar w:fldCharType="end"/>
          </w:r>
        </w:p>
        <w:p w14:paraId="1C9C3907">
          <w:pPr>
            <w:pStyle w:val="12"/>
            <w:tabs>
              <w:tab w:val="right" w:leader="dot" w:pos="9354"/>
            </w:tabs>
          </w:pPr>
          <w:r>
            <w:fldChar w:fldCharType="begin"/>
          </w:r>
          <w:r>
            <w:instrText xml:space="preserve"> HYPERLINK \l _Toc20573 </w:instrText>
          </w:r>
          <w:r>
            <w:fldChar w:fldCharType="separate"/>
          </w:r>
          <w:r>
            <w:rPr>
              <w:rFonts w:hint="eastAsia" w:ascii="Times New Roman" w:hAnsi="Times New Roman" w:eastAsia="宋体" w:cs="Times New Roman"/>
              <w:szCs w:val="24"/>
              <w:lang w:val="en-US" w:eastAsia="zh-CN"/>
            </w:rPr>
            <w:t>7.6 本章小结</w:t>
          </w:r>
          <w:r>
            <w:tab/>
          </w:r>
          <w:r>
            <w:fldChar w:fldCharType="begin"/>
          </w:r>
          <w:r>
            <w:instrText xml:space="preserve"> PAGEREF _Toc20573 \h </w:instrText>
          </w:r>
          <w:r>
            <w:fldChar w:fldCharType="separate"/>
          </w:r>
          <w:r>
            <w:t>48</w:t>
          </w:r>
          <w:r>
            <w:fldChar w:fldCharType="end"/>
          </w:r>
          <w:r>
            <w:fldChar w:fldCharType="end"/>
          </w:r>
        </w:p>
        <w:p w14:paraId="0DA9C265">
          <w:pPr>
            <w:pStyle w:val="11"/>
            <w:tabs>
              <w:tab w:val="right" w:leader="dot" w:pos="9354"/>
            </w:tabs>
          </w:pPr>
          <w:r>
            <w:fldChar w:fldCharType="begin"/>
          </w:r>
          <w:r>
            <w:instrText xml:space="preserve"> HYPERLINK \l _Toc29628 </w:instrText>
          </w:r>
          <w:r>
            <w:fldChar w:fldCharType="separate"/>
          </w:r>
          <w:r>
            <w:rPr>
              <w:rFonts w:hint="eastAsia"/>
            </w:rPr>
            <w:t>第八章 讨论与启示</w:t>
          </w:r>
          <w:r>
            <w:tab/>
          </w:r>
          <w:r>
            <w:fldChar w:fldCharType="begin"/>
          </w:r>
          <w:r>
            <w:instrText xml:space="preserve"> PAGEREF _Toc29628 \h </w:instrText>
          </w:r>
          <w:r>
            <w:fldChar w:fldCharType="separate"/>
          </w:r>
          <w:r>
            <w:t>49</w:t>
          </w:r>
          <w:r>
            <w:fldChar w:fldCharType="end"/>
          </w:r>
          <w:r>
            <w:fldChar w:fldCharType="end"/>
          </w:r>
        </w:p>
        <w:p w14:paraId="661674E6">
          <w:pPr>
            <w:pStyle w:val="12"/>
            <w:tabs>
              <w:tab w:val="right" w:leader="dot" w:pos="9354"/>
            </w:tabs>
          </w:pPr>
          <w:r>
            <w:fldChar w:fldCharType="begin"/>
          </w:r>
          <w:r>
            <w:instrText xml:space="preserve"> HYPERLINK \l _Toc21174 </w:instrText>
          </w:r>
          <w:r>
            <w:fldChar w:fldCharType="separate"/>
          </w:r>
          <w:r>
            <w:rPr>
              <w:rFonts w:hint="eastAsia" w:ascii="Times New Roman" w:hAnsi="Times New Roman" w:eastAsia="宋体" w:cs="Times New Roman"/>
              <w:szCs w:val="24"/>
              <w:lang w:val="en-US" w:eastAsia="zh-CN"/>
            </w:rPr>
            <w:t>8.1 核心发现的理论解读</w:t>
          </w:r>
          <w:r>
            <w:tab/>
          </w:r>
          <w:r>
            <w:fldChar w:fldCharType="begin"/>
          </w:r>
          <w:r>
            <w:instrText xml:space="preserve"> PAGEREF _Toc21174 \h </w:instrText>
          </w:r>
          <w:r>
            <w:fldChar w:fldCharType="separate"/>
          </w:r>
          <w:r>
            <w:t>49</w:t>
          </w:r>
          <w:r>
            <w:fldChar w:fldCharType="end"/>
          </w:r>
          <w:r>
            <w:fldChar w:fldCharType="end"/>
          </w:r>
        </w:p>
        <w:p w14:paraId="6636F14A">
          <w:pPr>
            <w:pStyle w:val="12"/>
            <w:tabs>
              <w:tab w:val="right" w:leader="dot" w:pos="9354"/>
            </w:tabs>
          </w:pPr>
          <w:r>
            <w:fldChar w:fldCharType="begin"/>
          </w:r>
          <w:r>
            <w:instrText xml:space="preserve"> HYPERLINK \l _Toc20280 </w:instrText>
          </w:r>
          <w:r>
            <w:fldChar w:fldCharType="separate"/>
          </w:r>
          <w:r>
            <w:rPr>
              <w:rFonts w:hint="eastAsia" w:ascii="Times New Roman" w:hAnsi="Times New Roman" w:eastAsia="宋体" w:cs="Times New Roman"/>
              <w:szCs w:val="24"/>
              <w:lang w:val="en-US" w:eastAsia="zh-CN"/>
            </w:rPr>
            <w:t>8.2 对 RLHF 偏好对齐理论的启示</w:t>
          </w:r>
          <w:r>
            <w:tab/>
          </w:r>
          <w:r>
            <w:fldChar w:fldCharType="begin"/>
          </w:r>
          <w:r>
            <w:instrText xml:space="preserve"> PAGEREF _Toc20280 \h </w:instrText>
          </w:r>
          <w:r>
            <w:fldChar w:fldCharType="separate"/>
          </w:r>
          <w:r>
            <w:t>49</w:t>
          </w:r>
          <w:r>
            <w:fldChar w:fldCharType="end"/>
          </w:r>
          <w:r>
            <w:fldChar w:fldCharType="end"/>
          </w:r>
        </w:p>
        <w:p w14:paraId="3DA84B25">
          <w:pPr>
            <w:pStyle w:val="12"/>
            <w:tabs>
              <w:tab w:val="right" w:leader="dot" w:pos="9354"/>
            </w:tabs>
          </w:pPr>
          <w:r>
            <w:fldChar w:fldCharType="begin"/>
          </w:r>
          <w:r>
            <w:instrText xml:space="preserve"> HYPERLINK \l _Toc28498 </w:instrText>
          </w:r>
          <w:r>
            <w:fldChar w:fldCharType="separate"/>
          </w:r>
          <w:r>
            <w:rPr>
              <w:rFonts w:hint="eastAsia" w:ascii="Times New Roman" w:hAnsi="Times New Roman" w:eastAsia="宋体" w:cs="Times New Roman"/>
              <w:szCs w:val="24"/>
              <w:lang w:val="en-US" w:eastAsia="zh-CN"/>
            </w:rPr>
            <w:t>8.3 可操作的去偏策略</w:t>
          </w:r>
          <w:r>
            <w:tab/>
          </w:r>
          <w:r>
            <w:fldChar w:fldCharType="begin"/>
          </w:r>
          <w:r>
            <w:instrText xml:space="preserve"> PAGEREF _Toc28498 \h </w:instrText>
          </w:r>
          <w:r>
            <w:fldChar w:fldCharType="separate"/>
          </w:r>
          <w:r>
            <w:t>49</w:t>
          </w:r>
          <w:r>
            <w:fldChar w:fldCharType="end"/>
          </w:r>
          <w:r>
            <w:fldChar w:fldCharType="end"/>
          </w:r>
        </w:p>
        <w:p w14:paraId="299E4989">
          <w:pPr>
            <w:pStyle w:val="12"/>
            <w:tabs>
              <w:tab w:val="right" w:leader="dot" w:pos="9354"/>
            </w:tabs>
          </w:pPr>
          <w:r>
            <w:fldChar w:fldCharType="begin"/>
          </w:r>
          <w:r>
            <w:instrText xml:space="preserve"> HYPERLINK \l _Toc26707 </w:instrText>
          </w:r>
          <w:r>
            <w:fldChar w:fldCharType="separate"/>
          </w:r>
          <w:r>
            <w:rPr>
              <w:rFonts w:hint="eastAsia" w:ascii="Times New Roman" w:hAnsi="Times New Roman" w:eastAsia="宋体" w:cs="Times New Roman"/>
              <w:szCs w:val="24"/>
              <w:lang w:val="en-US" w:eastAsia="zh-CN"/>
            </w:rPr>
            <w:t>8.4 研究局限与进一步问题</w:t>
          </w:r>
          <w:r>
            <w:tab/>
          </w:r>
          <w:r>
            <w:fldChar w:fldCharType="begin"/>
          </w:r>
          <w:r>
            <w:instrText xml:space="preserve"> PAGEREF _Toc26707 \h </w:instrText>
          </w:r>
          <w:r>
            <w:fldChar w:fldCharType="separate"/>
          </w:r>
          <w:r>
            <w:t>49</w:t>
          </w:r>
          <w:r>
            <w:fldChar w:fldCharType="end"/>
          </w:r>
          <w:r>
            <w:fldChar w:fldCharType="end"/>
          </w:r>
        </w:p>
        <w:p w14:paraId="32B097FB">
          <w:pPr>
            <w:pStyle w:val="12"/>
            <w:tabs>
              <w:tab w:val="right" w:leader="dot" w:pos="9354"/>
            </w:tabs>
          </w:pPr>
          <w:r>
            <w:fldChar w:fldCharType="begin"/>
          </w:r>
          <w:r>
            <w:instrText xml:space="preserve"> HYPERLINK \l _Toc25302 </w:instrText>
          </w:r>
          <w:r>
            <w:fldChar w:fldCharType="separate"/>
          </w:r>
          <w:r>
            <w:rPr>
              <w:rFonts w:hint="eastAsia" w:ascii="Times New Roman" w:hAnsi="Times New Roman" w:eastAsia="宋体" w:cs="Times New Roman"/>
              <w:szCs w:val="24"/>
              <w:lang w:val="en-US" w:eastAsia="zh-CN"/>
            </w:rPr>
            <w:t>8.5 本章小结</w:t>
          </w:r>
          <w:r>
            <w:tab/>
          </w:r>
          <w:r>
            <w:fldChar w:fldCharType="begin"/>
          </w:r>
          <w:r>
            <w:instrText xml:space="preserve"> PAGEREF _Toc25302 \h </w:instrText>
          </w:r>
          <w:r>
            <w:fldChar w:fldCharType="separate"/>
          </w:r>
          <w:r>
            <w:t>50</w:t>
          </w:r>
          <w:r>
            <w:fldChar w:fldCharType="end"/>
          </w:r>
          <w:r>
            <w:fldChar w:fldCharType="end"/>
          </w:r>
        </w:p>
        <w:p w14:paraId="768F8F2D">
          <w:pPr>
            <w:pStyle w:val="11"/>
            <w:tabs>
              <w:tab w:val="right" w:leader="dot" w:pos="9354"/>
            </w:tabs>
          </w:pPr>
          <w:r>
            <w:fldChar w:fldCharType="begin"/>
          </w:r>
          <w:r>
            <w:instrText xml:space="preserve"> HYPERLINK \l _Toc11880 </w:instrText>
          </w:r>
          <w:r>
            <w:fldChar w:fldCharType="separate"/>
          </w:r>
          <w:r>
            <w:rPr>
              <w:rFonts w:hint="eastAsia"/>
            </w:rPr>
            <w:t>第九章 结论与展望</w:t>
          </w:r>
          <w:r>
            <w:tab/>
          </w:r>
          <w:r>
            <w:fldChar w:fldCharType="begin"/>
          </w:r>
          <w:r>
            <w:instrText xml:space="preserve"> PAGEREF _Toc11880 \h </w:instrText>
          </w:r>
          <w:r>
            <w:fldChar w:fldCharType="separate"/>
          </w:r>
          <w:r>
            <w:t>51</w:t>
          </w:r>
          <w:r>
            <w:fldChar w:fldCharType="end"/>
          </w:r>
          <w:r>
            <w:fldChar w:fldCharType="end"/>
          </w:r>
        </w:p>
        <w:p w14:paraId="4D2C06EB">
          <w:pPr>
            <w:pStyle w:val="12"/>
            <w:tabs>
              <w:tab w:val="right" w:leader="dot" w:pos="9354"/>
            </w:tabs>
          </w:pPr>
          <w:r>
            <w:fldChar w:fldCharType="begin"/>
          </w:r>
          <w:r>
            <w:instrText xml:space="preserve"> HYPERLINK \l _Toc5969 </w:instrText>
          </w:r>
          <w:r>
            <w:fldChar w:fldCharType="separate"/>
          </w:r>
          <w:r>
            <w:rPr>
              <w:rFonts w:hint="eastAsia" w:ascii="Times New Roman" w:hAnsi="Times New Roman" w:eastAsia="宋体" w:cs="Times New Roman"/>
              <w:szCs w:val="24"/>
              <w:lang w:val="en-US" w:eastAsia="zh-CN"/>
            </w:rPr>
            <w:t>9.1 主要研究结论</w:t>
          </w:r>
          <w:r>
            <w:tab/>
          </w:r>
          <w:r>
            <w:fldChar w:fldCharType="begin"/>
          </w:r>
          <w:r>
            <w:instrText xml:space="preserve"> PAGEREF _Toc5969 \h </w:instrText>
          </w:r>
          <w:r>
            <w:fldChar w:fldCharType="separate"/>
          </w:r>
          <w:r>
            <w:t>51</w:t>
          </w:r>
          <w:r>
            <w:fldChar w:fldCharType="end"/>
          </w:r>
          <w:r>
            <w:fldChar w:fldCharType="end"/>
          </w:r>
        </w:p>
        <w:p w14:paraId="286600F4">
          <w:pPr>
            <w:pStyle w:val="12"/>
            <w:tabs>
              <w:tab w:val="right" w:leader="dot" w:pos="9354"/>
            </w:tabs>
          </w:pPr>
          <w:r>
            <w:fldChar w:fldCharType="begin"/>
          </w:r>
          <w:r>
            <w:instrText xml:space="preserve"> HYPERLINK \l _Toc17124 </w:instrText>
          </w:r>
          <w:r>
            <w:fldChar w:fldCharType="separate"/>
          </w:r>
          <w:r>
            <w:rPr>
              <w:rFonts w:hint="eastAsia" w:ascii="Times New Roman" w:hAnsi="Times New Roman" w:eastAsia="宋体" w:cs="Times New Roman"/>
              <w:szCs w:val="24"/>
              <w:lang w:val="en-US" w:eastAsia="zh-CN"/>
            </w:rPr>
            <w:t>9.2 理论贡献与实践价值</w:t>
          </w:r>
          <w:r>
            <w:tab/>
          </w:r>
          <w:r>
            <w:fldChar w:fldCharType="begin"/>
          </w:r>
          <w:r>
            <w:instrText xml:space="preserve"> PAGEREF _Toc17124 \h </w:instrText>
          </w:r>
          <w:r>
            <w:fldChar w:fldCharType="separate"/>
          </w:r>
          <w:r>
            <w:t>51</w:t>
          </w:r>
          <w:r>
            <w:fldChar w:fldCharType="end"/>
          </w:r>
          <w:r>
            <w:fldChar w:fldCharType="end"/>
          </w:r>
        </w:p>
        <w:p w14:paraId="1651DFAE">
          <w:pPr>
            <w:pStyle w:val="12"/>
            <w:tabs>
              <w:tab w:val="right" w:leader="dot" w:pos="9354"/>
            </w:tabs>
          </w:pPr>
          <w:r>
            <w:fldChar w:fldCharType="begin"/>
          </w:r>
          <w:r>
            <w:instrText xml:space="preserve"> HYPERLINK \l _Toc29105 </w:instrText>
          </w:r>
          <w:r>
            <w:fldChar w:fldCharType="separate"/>
          </w:r>
          <w:r>
            <w:rPr>
              <w:rFonts w:hint="eastAsia" w:ascii="Times New Roman" w:hAnsi="Times New Roman" w:eastAsia="宋体" w:cs="Times New Roman"/>
              <w:szCs w:val="24"/>
              <w:lang w:val="en-US" w:eastAsia="zh-CN"/>
            </w:rPr>
            <w:t>9.3 未来研究展望</w:t>
          </w:r>
          <w:r>
            <w:tab/>
          </w:r>
          <w:r>
            <w:fldChar w:fldCharType="begin"/>
          </w:r>
          <w:r>
            <w:instrText xml:space="preserve"> PAGEREF _Toc29105 \h </w:instrText>
          </w:r>
          <w:r>
            <w:fldChar w:fldCharType="separate"/>
          </w:r>
          <w:r>
            <w:t>51</w:t>
          </w:r>
          <w:r>
            <w:fldChar w:fldCharType="end"/>
          </w:r>
          <w:r>
            <w:fldChar w:fldCharType="end"/>
          </w:r>
        </w:p>
        <w:p w14:paraId="1A04E9A3">
          <w:pPr>
            <w:pStyle w:val="11"/>
            <w:tabs>
              <w:tab w:val="right" w:leader="dot" w:pos="9354"/>
            </w:tabs>
          </w:pPr>
          <w:r>
            <w:fldChar w:fldCharType="begin"/>
          </w:r>
          <w:r>
            <w:instrText xml:space="preserve"> HYPERLINK \l _Toc25453 </w:instrText>
          </w:r>
          <w:r>
            <w:fldChar w:fldCharType="separate"/>
          </w:r>
          <w:r>
            <w:rPr>
              <w:rFonts w:hint="eastAsia"/>
            </w:rPr>
            <w:t>参考文献</w:t>
          </w:r>
          <w:r>
            <w:tab/>
          </w:r>
          <w:r>
            <w:fldChar w:fldCharType="begin"/>
          </w:r>
          <w:r>
            <w:instrText xml:space="preserve"> PAGEREF _Toc25453 \h </w:instrText>
          </w:r>
          <w:r>
            <w:fldChar w:fldCharType="separate"/>
          </w:r>
          <w:r>
            <w:t>52</w:t>
          </w:r>
          <w:r>
            <w:fldChar w:fldCharType="end"/>
          </w:r>
          <w:r>
            <w:fldChar w:fldCharType="end"/>
          </w:r>
        </w:p>
        <w:p w14:paraId="7AF6B3CE">
          <w:pPr>
            <w:pStyle w:val="11"/>
            <w:tabs>
              <w:tab w:val="right" w:leader="dot" w:pos="9354"/>
            </w:tabs>
          </w:pPr>
          <w:r>
            <w:fldChar w:fldCharType="begin"/>
          </w:r>
          <w:r>
            <w:instrText xml:space="preserve"> HYPERLINK \l _Toc7108 </w:instrText>
          </w:r>
          <w:r>
            <w:fldChar w:fldCharType="separate"/>
          </w:r>
          <w:r>
            <w:t>附录</w:t>
          </w:r>
          <w:r>
            <w:tab/>
          </w:r>
          <w:r>
            <w:fldChar w:fldCharType="begin"/>
          </w:r>
          <w:r>
            <w:instrText xml:space="preserve"> PAGEREF _Toc7108 \h </w:instrText>
          </w:r>
          <w:r>
            <w:fldChar w:fldCharType="separate"/>
          </w:r>
          <w:r>
            <w:t>54</w:t>
          </w:r>
          <w:r>
            <w:fldChar w:fldCharType="end"/>
          </w:r>
          <w:r>
            <w:fldChar w:fldCharType="end"/>
          </w:r>
        </w:p>
        <w:p w14:paraId="71C547F9">
          <w:pPr>
            <w:pStyle w:val="12"/>
            <w:tabs>
              <w:tab w:val="right" w:leader="dot" w:pos="9354"/>
            </w:tabs>
          </w:pPr>
          <w:r>
            <w:fldChar w:fldCharType="begin"/>
          </w:r>
          <w:r>
            <w:instrText xml:space="preserve"> HYPERLINK \l _Toc29259 </w:instrText>
          </w:r>
          <w:r>
            <w:fldChar w:fldCharType="separate"/>
          </w:r>
          <w:r>
            <w:rPr>
              <w:rFonts w:hint="eastAsia" w:ascii="Times New Roman" w:hAnsi="Times New Roman" w:eastAsia="宋体" w:cs="Times New Roman"/>
              <w:szCs w:val="24"/>
              <w:lang w:val="en-US" w:eastAsia="zh-CN"/>
            </w:rPr>
            <w:t>附录 A 研究数据与工程产出</w:t>
          </w:r>
          <w:r>
            <w:tab/>
          </w:r>
          <w:r>
            <w:fldChar w:fldCharType="begin"/>
          </w:r>
          <w:r>
            <w:instrText xml:space="preserve"> PAGEREF _Toc29259 \h </w:instrText>
          </w:r>
          <w:r>
            <w:fldChar w:fldCharType="separate"/>
          </w:r>
          <w:r>
            <w:t>54</w:t>
          </w:r>
          <w:r>
            <w:fldChar w:fldCharType="end"/>
          </w:r>
          <w:r>
            <w:fldChar w:fldCharType="end"/>
          </w:r>
        </w:p>
        <w:p w14:paraId="4AC7D5C2">
          <w:pPr>
            <w:pStyle w:val="12"/>
            <w:tabs>
              <w:tab w:val="right" w:leader="dot" w:pos="9354"/>
            </w:tabs>
          </w:pPr>
          <w:r>
            <w:fldChar w:fldCharType="begin"/>
          </w:r>
          <w:r>
            <w:instrText xml:space="preserve"> HYPERLINK \l _Toc14213 </w:instrText>
          </w:r>
          <w:r>
            <w:fldChar w:fldCharType="separate"/>
          </w:r>
          <w:r>
            <w:rPr>
              <w:rFonts w:hint="eastAsia" w:ascii="Times New Roman" w:hAnsi="Times New Roman" w:eastAsia="宋体" w:cs="Times New Roman"/>
              <w:szCs w:val="24"/>
              <w:lang w:val="en-US" w:eastAsia="zh-CN"/>
            </w:rPr>
            <w:t>附录 B 程序脚本与分析流程产出</w:t>
          </w:r>
          <w:r>
            <w:tab/>
          </w:r>
          <w:r>
            <w:fldChar w:fldCharType="begin"/>
          </w:r>
          <w:r>
            <w:instrText xml:space="preserve"> PAGEREF _Toc14213 \h </w:instrText>
          </w:r>
          <w:r>
            <w:fldChar w:fldCharType="separate"/>
          </w:r>
          <w:r>
            <w:t>54</w:t>
          </w:r>
          <w:r>
            <w:fldChar w:fldCharType="end"/>
          </w:r>
          <w:r>
            <w:fldChar w:fldCharType="end"/>
          </w:r>
        </w:p>
        <w:p w14:paraId="31F2236F">
          <w:pPr>
            <w:pStyle w:val="12"/>
            <w:tabs>
              <w:tab w:val="right" w:leader="dot" w:pos="9354"/>
            </w:tabs>
          </w:pPr>
          <w:r>
            <w:fldChar w:fldCharType="begin"/>
          </w:r>
          <w:r>
            <w:instrText xml:space="preserve"> HYPERLINK \l _Toc30489 </w:instrText>
          </w:r>
          <w:r>
            <w:fldChar w:fldCharType="separate"/>
          </w:r>
          <w:r>
            <w:rPr>
              <w:rFonts w:hint="eastAsia" w:ascii="Times New Roman" w:hAnsi="Times New Roman" w:eastAsia="宋体" w:cs="Times New Roman"/>
              <w:szCs w:val="24"/>
              <w:lang w:val="en-US" w:eastAsia="zh-CN"/>
            </w:rPr>
            <w:t>附录 C 主要统计结果产出</w:t>
          </w:r>
          <w:r>
            <w:tab/>
          </w:r>
          <w:r>
            <w:fldChar w:fldCharType="begin"/>
          </w:r>
          <w:r>
            <w:instrText xml:space="preserve"> PAGEREF _Toc30489 \h </w:instrText>
          </w:r>
          <w:r>
            <w:fldChar w:fldCharType="separate"/>
          </w:r>
          <w:r>
            <w:t>55</w:t>
          </w:r>
          <w:r>
            <w:fldChar w:fldCharType="end"/>
          </w:r>
          <w:r>
            <w:fldChar w:fldCharType="end"/>
          </w:r>
        </w:p>
        <w:p w14:paraId="440B3D95">
          <w:pPr>
            <w:pStyle w:val="12"/>
            <w:tabs>
              <w:tab w:val="right" w:leader="dot" w:pos="9354"/>
            </w:tabs>
          </w:pPr>
          <w:r>
            <w:fldChar w:fldCharType="begin"/>
          </w:r>
          <w:r>
            <w:instrText xml:space="preserve"> HYPERLINK \l _Toc3457 </w:instrText>
          </w:r>
          <w:r>
            <w:fldChar w:fldCharType="separate"/>
          </w:r>
          <w:r>
            <w:rPr>
              <w:rFonts w:hint="eastAsia" w:ascii="Times New Roman" w:hAnsi="Times New Roman" w:eastAsia="宋体" w:cs="Times New Roman"/>
              <w:szCs w:val="24"/>
              <w:lang w:val="en-US" w:eastAsia="zh-CN"/>
            </w:rPr>
            <w:t>附录 D 图像与可视化成果</w:t>
          </w:r>
          <w:r>
            <w:tab/>
          </w:r>
          <w:r>
            <w:fldChar w:fldCharType="begin"/>
          </w:r>
          <w:r>
            <w:instrText xml:space="preserve"> PAGEREF _Toc3457 \h </w:instrText>
          </w:r>
          <w:r>
            <w:fldChar w:fldCharType="separate"/>
          </w:r>
          <w:r>
            <w:t>55</w:t>
          </w:r>
          <w:r>
            <w:fldChar w:fldCharType="end"/>
          </w:r>
          <w:r>
            <w:fldChar w:fldCharType="end"/>
          </w:r>
        </w:p>
        <w:p w14:paraId="08D9B017">
          <w:pPr>
            <w:pStyle w:val="11"/>
            <w:tabs>
              <w:tab w:val="right" w:leader="dot" w:pos="9354"/>
            </w:tabs>
          </w:pPr>
          <w:r>
            <w:fldChar w:fldCharType="begin"/>
          </w:r>
          <w:r>
            <w:instrText xml:space="preserve"> HYPERLINK \l _Toc525 </w:instrText>
          </w:r>
          <w:r>
            <w:fldChar w:fldCharType="separate"/>
          </w:r>
          <w:r>
            <w:rPr>
              <w:rFonts w:hint="eastAsia"/>
            </w:rPr>
            <w:t>致谢</w:t>
          </w:r>
          <w:r>
            <w:tab/>
          </w:r>
          <w:r>
            <w:fldChar w:fldCharType="begin"/>
          </w:r>
          <w:r>
            <w:instrText xml:space="preserve"> PAGEREF _Toc525 \h </w:instrText>
          </w:r>
          <w:r>
            <w:fldChar w:fldCharType="separate"/>
          </w:r>
          <w:r>
            <w:t>57</w:t>
          </w:r>
          <w:r>
            <w:fldChar w:fldCharType="end"/>
          </w:r>
          <w:r>
            <w:fldChar w:fldCharType="end"/>
          </w:r>
        </w:p>
        <w:p w14:paraId="4655C106">
          <w:p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1418" w:left="1134" w:header="851" w:footer="992" w:gutter="284"/>
              <w:cols w:space="720" w:num="1"/>
              <w:titlePg/>
              <w:docGrid w:type="lines" w:linePitch="312" w:charSpace="0"/>
            </w:sectPr>
          </w:pPr>
          <w:r>
            <w:fldChar w:fldCharType="end"/>
          </w:r>
        </w:p>
      </w:sdtContent>
    </w:sdt>
    <w:p w14:paraId="551B04DB">
      <w:pPr>
        <w:pStyle w:val="2"/>
        <w:bidi w:val="0"/>
        <w:jc w:val="center"/>
        <w:rPr>
          <w:rFonts w:ascii="黑体" w:hAnsi="Arial" w:eastAsia="黑体" w:cs="Arial"/>
          <w:szCs w:val="32"/>
        </w:rPr>
      </w:pPr>
      <w:bookmarkStart w:id="2" w:name="_Toc230016173"/>
      <w:bookmarkStart w:id="3" w:name="_Toc16738"/>
      <w:r>
        <w:t>前  言</w:t>
      </w:r>
      <w:bookmarkEnd w:id="2"/>
      <w:bookmarkEnd w:id="3"/>
    </w:p>
    <w:p w14:paraId="337130AA">
      <w:pPr>
        <w:spacing w:line="440" w:lineRule="exact"/>
        <w:ind w:firstLine="420"/>
        <w:rPr>
          <w:rFonts w:hint="eastAsia"/>
          <w:sz w:val="24"/>
        </w:rPr>
      </w:pPr>
      <w:r>
        <w:t>随着大语言模型（LLM）进入大规模应用阶段，模型输出质量的评估已不再仅取决于模型能力本身，而是越发受训练数据质量与评价机制影响。以 InstructGPT 为代表的工作率先确立了基于人类反馈的强化学习（RLHF）范式——通过收集人类对成对回答的选择偏好标注训练奖励模型（RM），再以近端策略优化（PPO）等强化学习算法优化语言模型输出策略[10]。随后 Rafailov 等人提出直接偏好优化（DPO），进一步省去了显式奖励建模步骤，以更轻量的方式实现与 RLHF 近似的对齐效果[11]。然而，无论采用哪种范式，其核心都是在于将人类偏好数据视为高质量的对齐信号，若这些偏好标签本身已混入对回答长度、排版格式和结构化呈现方式的无关偏好，那么后续训练得到的模型就可能并不是“更准确”或“能力更强”，而只是更擅长迎合人类比较过程中的“浅层启发式阅读”（Shallow Heuristic Reading）。</w:t>
      </w:r>
    </w:p>
    <w:p w14:paraId="3ECA1FA2">
      <w:pPr>
        <w:spacing w:line="440" w:lineRule="exact"/>
        <w:ind w:firstLine="420"/>
        <w:rPr>
          <w:rFonts w:hint="eastAsia"/>
          <w:sz w:val="24"/>
        </w:rPr>
      </w:pPr>
      <w:r>
        <w:t>已有研究从多个维度揭示了这一问题的存在：Li 等人的细粒度拆解分析表明，“篇幅更长”是真实对话场景中最具影响力的人类偏好属性之一[4]；Shen 等人进一步证实，在 RLHF 训练流程中，RM 会将“更长 = 更好”作为预测捷径[5]；Zhang 等人则指出，列表、粗体、emoji 等格式特征同样会系统性影响人类及 LLM 评价器的偏好判断[7]，在这个基础上，Sharma 等人揭示，RLHF 对表层信号的奖励还会诱发更广泛的“谄媚性”（Sycophancy）——RM不仅倾向于迎合格式和长度偏好，还会对契合用户既有观点的回答给予更高评价，而不论其真实正确性[17]；Wang 等人的综述则将冗长偏差、谄媚性等现象统一纳入“奖励破解”（Reward Hacking）框架，指出其根源是“高维人类目标在代理压缩与优化放大过程的结构性失稳”[20]。在前面的基础上背景，本文尝试将研究重心从“如何利用人类反馈数据训练模型”前移至“人类反馈数据本身究竟在奖励什么”。</w:t>
      </w:r>
    </w:p>
    <w:p w14:paraId="276D7B9D">
      <w:pPr>
        <w:spacing w:line="440" w:lineRule="exact"/>
        <w:ind w:firstLine="420"/>
        <w:rPr>
          <w:rFonts w:hint="eastAsia"/>
          <w:sz w:val="24"/>
        </w:rPr>
      </w:pPr>
      <w:r>
        <w:t>这样一来，本文关注的核心问题并不是简单论证“长回答更容易被偏好”这一经验事实，而是试图在更严格的数据分析和统计框架下回答以下三个递进问题：一是，人类反馈数据中是否存在显著的长度偏好与格式偏好；二是，在控制任务类型、问题维度和模型差异后，这些偏好还能保留多少净效应；三是，长度、标题、列表、粗体等形式变量究竟如何影响最终偏好判断——它们是直接作用于偏好选择，还是通过模型能力与风格因素间接传递。</w:t>
      </w:r>
    </w:p>
    <w:p w14:paraId="482EF638">
      <w:pPr>
        <w:spacing w:line="440" w:lineRule="exact"/>
        <w:ind w:firstLine="420"/>
        <w:rPr>
          <w:rFonts w:hint="eastAsia"/>
          <w:sz w:val="24"/>
        </w:rPr>
      </w:pPr>
      <w:r>
        <w:t>在分析路径上，本文遵循“现象识别—效应拆解—讨论解释”的递进逻辑，避免在缺乏统计实证的前提下直接进行因果化阐释，同时，本研究将长度偏好与格式偏好置于统一框架下联合考察，而非彼此割裂地独立讨论，符合现实场景：在真实的人类比较选择过程中，回答长度、格式组织和模型风格往往共同出现、相互影响。</w:t>
      </w:r>
    </w:p>
    <w:p w14:paraId="32623154">
      <w:pPr>
        <w:spacing w:line="440" w:lineRule="exact"/>
        <w:ind w:firstLine="420"/>
        <w:rPr>
          <w:rFonts w:hint="eastAsia"/>
          <w:sz w:val="24"/>
        </w:rPr>
      </w:pPr>
      <w:r>
        <w:t>全文的结构安排大致如下：第一、二章介绍研究背景、相关工作与研究假设；第三、四章说明数据处理流程、变量构建与研究方法；第五、六章为实证分析核心，分别对应偏好存在性识别以及净效应与稳健性验证；第七章进一步利用结构方程模型（SEM）展开机制解释；第八、九章总结发现，并讨论其对 RLHF 训练数据构建、RM 训练和后续研究设计的启示。</w:t>
      </w:r>
    </w:p>
    <w:p w14:paraId="37DA654F">
      <w:pPr>
        <w:spacing w:line="440" w:lineRule="exact"/>
        <w:ind w:firstLine="420"/>
        <w:rPr>
          <w:sz w:val="24"/>
        </w:rPr>
      </w:pPr>
      <w:r>
        <w:t>还需要说明的是，尽管本文引入了处理效应估计、倾向得分匹配（PSM）和SEM等有较强解释力的方法，但研究目标仍然是对人类偏好数据中的形式偏差做系统识别和机制分解，而非宣称已经获得严格实验意义上的因果定论。本研究真正试图回答的，并不只是“什么样的回答更容易获胜”，而是“为什么这种获胜方式会被写进偏好数据，并进一步影响模型对齐”。</w:t>
      </w:r>
    </w:p>
    <w:p w14:paraId="0DB97F0F">
      <w:bookmarkStart w:id="4" w:name="_Toc230016174"/>
      <w:r>
        <w:br w:type="page"/>
      </w:r>
    </w:p>
    <w:p w14:paraId="7AD758BE">
      <w:pPr>
        <w:pStyle w:val="2"/>
        <w:rPr>
          <w:rFonts w:hint="eastAsia" w:eastAsia="宋体"/>
          <w:lang w:val="en-US" w:eastAsia="zh-CN"/>
        </w:rPr>
      </w:pPr>
      <w:bookmarkStart w:id="5" w:name="_Toc4609"/>
      <w:r>
        <w:t xml:space="preserve">第一章 </w:t>
      </w:r>
      <w:bookmarkEnd w:id="4"/>
      <w:r>
        <w:rPr>
          <w:rFonts w:hint="eastAsia"/>
          <w:lang w:val="en-US" w:eastAsia="zh-CN"/>
        </w:rPr>
        <w:t>绪论</w:t>
      </w:r>
      <w:bookmarkEnd w:id="5"/>
    </w:p>
    <w:p w14:paraId="375F58DF">
      <w:pPr>
        <w:pStyle w:val="3"/>
        <w:pageBreakBefore w:val="0"/>
        <w:widowControl w:val="0"/>
        <w:kinsoku/>
        <w:wordWrap/>
        <w:overflowPunct/>
        <w:topLinePunct w:val="0"/>
        <w:autoSpaceDE/>
        <w:autoSpaceDN/>
        <w:bidi w:val="0"/>
        <w:adjustRightInd/>
        <w:snapToGrid/>
        <w:spacing w:line="440" w:lineRule="atLeast"/>
        <w:textAlignment w:val="auto"/>
        <w:rPr>
          <w:rFonts w:hint="default" w:ascii="宋体" w:hAnsi="宋体" w:eastAsia="宋体" w:cs="宋体"/>
          <w:sz w:val="24"/>
          <w:szCs w:val="24"/>
          <w:lang w:val="en-US" w:eastAsia="zh-CN"/>
        </w:rPr>
      </w:pPr>
      <w:bookmarkStart w:id="6" w:name="_Toc16944"/>
      <w:r>
        <w:rPr>
          <w:rFonts w:hint="default" w:ascii="Times New Roman" w:hAnsi="Times New Roman" w:eastAsia="宋体" w:cs="Times New Roman"/>
          <w:sz w:val="24"/>
          <w:szCs w:val="24"/>
        </w:rPr>
        <w:t>1.1</w:t>
      </w:r>
      <w:r>
        <w:rPr>
          <w:rFonts w:hint="eastAsia" w:ascii="宋体" w:hAnsi="宋体" w:eastAsia="宋体" w:cs="宋体"/>
          <w:sz w:val="24"/>
          <w:szCs w:val="24"/>
        </w:rPr>
        <w:t xml:space="preserve"> 研究背景</w:t>
      </w:r>
      <w:r>
        <w:rPr>
          <w:rFonts w:hint="eastAsia" w:ascii="宋体" w:hAnsi="宋体" w:eastAsia="宋体" w:cs="宋体"/>
          <w:sz w:val="24"/>
          <w:szCs w:val="24"/>
          <w:lang w:val="en-US" w:eastAsia="zh-CN"/>
        </w:rPr>
        <w:t>与问题提出</w:t>
      </w:r>
      <w:bookmarkEnd w:id="6"/>
    </w:p>
    <w:p w14:paraId="43AA4354">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bCs/>
          <w:sz w:val="24"/>
        </w:rPr>
      </w:pPr>
      <w:r>
        <w:t>近年来，以 ChatGPT、DeepSeek、Gemini 为代表的大语言模型已广泛用来自然语言理解、代码生成、数学推理、创意写作和人机交互等任务。随着模型从实验室环境进入真实应用场景，如何使其输出更符合人类期望，逐渐成为人工智能研究中的关键议题。无论是 RLHF 还是 DPO，其共同核心都在于把人类偏好当作高质量对齐信号，通过RM或偏好目标函数将“被人类选中”转化为“应该被模型学习”的行为模式[10][11]。</w:t>
      </w:r>
    </w:p>
    <w:p w14:paraId="3EDCFBFA">
      <w:pPr>
        <w:spacing w:line="440" w:lineRule="exact"/>
        <w:ind w:firstLine="420"/>
        <w:rPr>
          <w:rFonts w:hint="eastAsia" w:ascii="宋体" w:hAnsi="宋体"/>
          <w:bCs/>
          <w:sz w:val="24"/>
        </w:rPr>
      </w:pPr>
      <w:r>
        <w:t>既有对齐研究通常假定人类比较选择结果能够较稳定地反映模型输出质量，但真实标注环境并不完全满足这一条件。标注者受到时间、专业知识和任务理解成本的限制，往往会借助容易识别的表面线索作出判断。回答长度、格式组织和重点标记因而可能成为“质量更高”的伪相关证据。</w:t>
      </w:r>
    </w:p>
    <w:p w14:paraId="039EB21A">
      <w:pPr>
        <w:spacing w:line="440" w:lineRule="exact"/>
        <w:ind w:firstLine="420"/>
        <w:rPr>
          <w:rFonts w:hint="eastAsia" w:ascii="宋体" w:hAnsi="宋体"/>
          <w:bCs/>
          <w:sz w:val="24"/>
        </w:rPr>
      </w:pPr>
      <w:r>
        <w:t>人类偏好数据的可靠性问题由此产生。一个回答被偏好，不仅可能是因为它提供了更多准确、相关的信息，也可能是因为它长度更长、排版更整齐或“看起来”更像正式答案。两类路径在经验数据的呈现中可能高度重叠，但对RM的影响效果不同。本文的出发点就是尽量拆分这种重叠，考察形式特征以何种机制显著影响偏好判断。</w:t>
      </w:r>
    </w:p>
    <w:p w14:paraId="18CD90B6">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7" w:name="_Toc18226"/>
      <w:r>
        <w:rPr>
          <w:rFonts w:hint="eastAsia" w:ascii="Times New Roman" w:hAnsi="Times New Roman" w:eastAsia="宋体" w:cs="Times New Roman"/>
          <w:sz w:val="24"/>
          <w:szCs w:val="24"/>
        </w:rPr>
        <w:t>1.2 国内外研究现状</w:t>
      </w:r>
      <w:bookmarkEnd w:id="7"/>
    </w:p>
    <w:p w14:paraId="04ABEFA3">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8" w:name="_Toc17520"/>
      <w:r>
        <w:rPr>
          <w:rFonts w:hint="eastAsia" w:ascii="Times New Roman" w:hAnsi="Times New Roman" w:eastAsia="宋体" w:cs="Times New Roman"/>
          <w:sz w:val="24"/>
          <w:szCs w:val="24"/>
        </w:rPr>
        <w:t>1.2.1 大语言模型偏好对齐与奖励建模研究进展</w:t>
      </w:r>
      <w:bookmarkEnd w:id="8"/>
    </w:p>
    <w:p w14:paraId="232376DA">
      <w:pPr>
        <w:spacing w:line="440" w:lineRule="exact"/>
        <w:ind w:firstLine="420"/>
        <w:rPr>
          <w:rFonts w:hint="eastAsia" w:ascii="宋体" w:hAnsi="宋体"/>
          <w:bCs/>
          <w:sz w:val="24"/>
        </w:rPr>
      </w:pPr>
      <w:r>
        <w:rPr>
          <w:rFonts w:hint="eastAsia" w:ascii="宋体" w:hAnsi="宋体"/>
          <w:bCs/>
          <w:sz w:val="24"/>
        </w:rPr>
        <w:t>现有对齐研究已形成 RLHF</w:t>
      </w:r>
      <w:r>
        <w:rPr>
          <w:rFonts w:hint="eastAsia" w:ascii="宋体" w:hAnsi="宋体"/>
          <w:bCs/>
          <w:sz w:val="24"/>
          <w:vertAlign w:val="superscript"/>
        </w:rPr>
        <w:t>[10]</w:t>
      </w:r>
      <w:r>
        <w:rPr>
          <w:rFonts w:hint="eastAsia" w:ascii="宋体" w:hAnsi="宋体"/>
          <w:bCs/>
          <w:sz w:val="24"/>
        </w:rPr>
        <w:t>、DPO</w:t>
      </w:r>
      <w:r>
        <w:rPr>
          <w:rFonts w:hint="eastAsia" w:ascii="宋体" w:hAnsi="宋体"/>
          <w:bCs/>
          <w:sz w:val="24"/>
          <w:vertAlign w:val="superscript"/>
        </w:rPr>
        <w:t>[11]</w:t>
      </w:r>
      <w:r>
        <w:rPr>
          <w:rFonts w:hint="eastAsia" w:ascii="宋体" w:hAnsi="宋体"/>
          <w:bCs/>
          <w:sz w:val="24"/>
        </w:rPr>
        <w:t>、</w:t>
      </w:r>
      <w:r>
        <w:rPr>
          <w:rFonts w:hint="eastAsia" w:ascii="宋体" w:hAnsi="宋体"/>
          <w:bCs/>
          <w:sz w:val="24"/>
          <w:lang w:val="en-US" w:eastAsia="zh-CN"/>
        </w:rPr>
        <w:t>RM</w:t>
      </w:r>
      <w:r>
        <w:rPr>
          <w:rFonts w:hint="eastAsia" w:ascii="宋体" w:hAnsi="宋体"/>
          <w:bCs/>
          <w:sz w:val="24"/>
        </w:rPr>
        <w:t>校准</w:t>
      </w:r>
      <w:r>
        <w:rPr>
          <w:rFonts w:hint="eastAsia" w:ascii="宋体" w:hAnsi="宋体"/>
          <w:b w:val="0"/>
          <w:bCs/>
          <w:sz w:val="24"/>
          <w:vertAlign w:val="superscript"/>
        </w:rPr>
        <w:t>[12]</w:t>
      </w:r>
      <w:r>
        <w:rPr>
          <w:rFonts w:hint="eastAsia" w:ascii="宋体" w:hAnsi="宋体"/>
          <w:bCs/>
          <w:sz w:val="24"/>
        </w:rPr>
        <w:t>和自我对齐</w:t>
      </w:r>
      <w:r>
        <w:rPr>
          <w:rFonts w:hint="eastAsia" w:ascii="宋体" w:hAnsi="宋体"/>
          <w:bCs/>
          <w:sz w:val="24"/>
          <w:vertAlign w:val="superscript"/>
        </w:rPr>
        <w:t>[14]</w:t>
      </w:r>
      <w:r>
        <w:rPr>
          <w:rFonts w:hint="eastAsia" w:ascii="宋体" w:hAnsi="宋体"/>
          <w:bCs/>
          <w:sz w:val="24"/>
        </w:rPr>
        <w:t>等多条技术路径。它们的共同点在于，都将人类</w:t>
      </w:r>
      <w:r>
        <w:rPr>
          <w:rFonts w:hint="eastAsia" w:ascii="宋体" w:hAnsi="宋体"/>
          <w:bCs/>
          <w:sz w:val="24"/>
          <w:lang w:val="en-US" w:eastAsia="zh-CN"/>
        </w:rPr>
        <w:t>偏好</w:t>
      </w:r>
      <w:r>
        <w:rPr>
          <w:rFonts w:hint="eastAsia" w:ascii="宋体" w:hAnsi="宋体"/>
          <w:bCs/>
          <w:sz w:val="24"/>
        </w:rPr>
        <w:t>数据作为模型优化的重要依据。</w:t>
      </w:r>
      <w:r>
        <w:rPr>
          <w:rFonts w:hint="eastAsia" w:ascii="宋体" w:hAnsi="宋体"/>
          <w:bCs/>
          <w:sz w:val="24"/>
          <w:lang w:val="en-US" w:eastAsia="zh-CN"/>
        </w:rPr>
        <w:t>RM</w:t>
      </w:r>
      <w:r>
        <w:rPr>
          <w:rFonts w:hint="eastAsia" w:ascii="宋体" w:hAnsi="宋体"/>
          <w:bCs/>
          <w:sz w:val="24"/>
        </w:rPr>
        <w:t>将离散的人类选择转化为连续可比较的奖励分数，</w:t>
      </w:r>
      <w:r>
        <w:rPr>
          <w:rFonts w:hint="eastAsia" w:ascii="宋体" w:hAnsi="宋体"/>
          <w:bCs/>
          <w:sz w:val="24"/>
          <w:lang w:val="en-US" w:eastAsia="zh-CN"/>
        </w:rPr>
        <w:t>DPO</w:t>
      </w:r>
      <w:r>
        <w:rPr>
          <w:rFonts w:hint="eastAsia" w:ascii="宋体" w:hAnsi="宋体"/>
          <w:bCs/>
          <w:sz w:val="24"/>
        </w:rPr>
        <w:t>则把偏好差异嵌入策略学习目标。技术路线虽然不同，但偏好数据质量始终是影响对齐效果的关键因素。</w:t>
      </w:r>
    </w:p>
    <w:p w14:paraId="3004B6FF">
      <w:pPr>
        <w:spacing w:line="440" w:lineRule="exact"/>
        <w:ind w:firstLine="420"/>
        <w:rPr>
          <w:rFonts w:hint="eastAsia" w:ascii="宋体" w:hAnsi="宋体"/>
          <w:bCs/>
          <w:sz w:val="24"/>
        </w:rPr>
      </w:pPr>
      <w:r>
        <w:t>已有研究指出，RM可能学习到与真实质量无关的捷径信号，如冗长偏差、格式偏差或谄媚性[23]，该类问题均可以被纳入奖励破解框架：代理变量与真实目标变量之间存在偏移，优化过程会放大这种偏移[19][20]。本文在这一研究脉络下，将表层形式偏好作为可操作化、可统计检验的对象，重点分析偏好数据自身是否包含可量化的表层偏差信号。</w:t>
      </w:r>
    </w:p>
    <w:p w14:paraId="56C40AC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9" w:name="_Toc281"/>
      <w:r>
        <w:rPr>
          <w:rFonts w:hint="eastAsia" w:ascii="Times New Roman" w:hAnsi="Times New Roman" w:eastAsia="宋体" w:cs="Times New Roman"/>
          <w:sz w:val="24"/>
          <w:szCs w:val="24"/>
        </w:rPr>
        <w:t>1.2.2 长度偏差相关研究进展</w:t>
      </w:r>
      <w:bookmarkEnd w:id="9"/>
    </w:p>
    <w:p w14:paraId="3828501B">
      <w:pPr>
        <w:spacing w:line="440" w:lineRule="exact"/>
        <w:ind w:firstLine="420"/>
        <w:rPr>
          <w:rFonts w:hint="eastAsia" w:ascii="宋体" w:hAnsi="宋体"/>
          <w:bCs/>
          <w:sz w:val="24"/>
        </w:rPr>
      </w:pPr>
      <w:r>
        <w:t>长度偏差是偏好对齐研究中较早受到关注的形式偏差。已有经验结果显示，人类评估者和自动评价器都可能倾向于选择更长的回答[2][4]。原因在于，较长文本通常更容易给人以信息充分、回答认真或推理完整的印象，但长度增加并不必然意味着回答更准确，也不必然意味着任务完成度更高。</w:t>
      </w:r>
    </w:p>
    <w:p w14:paraId="3074E31E">
      <w:pPr>
        <w:spacing w:line="440" w:lineRule="exact"/>
        <w:ind w:firstLine="420"/>
        <w:rPr>
          <w:rFonts w:hint="eastAsia" w:ascii="宋体" w:hAnsi="宋体"/>
          <w:bCs/>
          <w:sz w:val="24"/>
        </w:rPr>
      </w:pPr>
      <w:r>
        <w:rPr>
          <w:rFonts w:hint="eastAsia" w:ascii="宋体" w:hAnsi="宋体"/>
          <w:bCs/>
          <w:sz w:val="24"/>
        </w:rPr>
        <w:t>已有研究主要从三个方面处理长度偏差：识别长度与胜率的相关关系；通过长度控制、长度匹配或后验校准降低自动评估器中的长度污染</w:t>
      </w:r>
      <w:r>
        <w:rPr>
          <w:rFonts w:hint="eastAsia" w:ascii="宋体" w:hAnsi="宋体"/>
          <w:bCs/>
          <w:sz w:val="24"/>
          <w:vertAlign w:val="superscript"/>
        </w:rPr>
        <w:t>[5][6]</w:t>
      </w:r>
      <w:r>
        <w:rPr>
          <w:rFonts w:hint="eastAsia" w:ascii="宋体" w:hAnsi="宋体"/>
          <w:bCs/>
          <w:sz w:val="24"/>
        </w:rPr>
        <w:t>；以及构造内容相近但长度不同的对比样本，以区分冗余和质量之间的关系</w:t>
      </w:r>
      <w:r>
        <w:rPr>
          <w:rFonts w:hint="eastAsia" w:ascii="宋体" w:hAnsi="宋体"/>
          <w:bCs/>
          <w:sz w:val="24"/>
          <w:vertAlign w:val="superscript"/>
        </w:rPr>
        <w:t>[15][21][22]</w:t>
      </w:r>
      <w:r>
        <w:rPr>
          <w:rFonts w:hint="eastAsia" w:ascii="宋体" w:hAnsi="宋体"/>
          <w:bCs/>
          <w:sz w:val="24"/>
        </w:rPr>
        <w:t>。与这些研究相比，本文侧重于在真实偏好数据中估计长度净效应，并进一步通过 SEM 讨论长度变量的解释边界。</w:t>
      </w:r>
    </w:p>
    <w:p w14:paraId="47CF530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0" w:name="_Toc25189"/>
      <w:r>
        <w:rPr>
          <w:rFonts w:hint="eastAsia" w:ascii="Times New Roman" w:hAnsi="Times New Roman" w:eastAsia="宋体" w:cs="Times New Roman"/>
          <w:sz w:val="24"/>
          <w:szCs w:val="24"/>
        </w:rPr>
        <w:t>1.2.3 格式偏好相关研究进展</w:t>
      </w:r>
      <w:bookmarkEnd w:id="10"/>
    </w:p>
    <w:p w14:paraId="20E647E7">
      <w:pPr>
        <w:spacing w:line="440" w:lineRule="exact"/>
        <w:ind w:firstLine="420"/>
        <w:rPr>
          <w:rFonts w:hint="eastAsia" w:ascii="宋体" w:hAnsi="宋体"/>
          <w:bCs/>
          <w:sz w:val="24"/>
        </w:rPr>
      </w:pPr>
      <w:r>
        <w:t>和长度偏差，格式偏好更难识别。标题、列表、粗体、链接和表情符号等格式元素都可能改变回答的可读性和感知专业度。已有结果显示，部分评价器和标注者会偏好格式更丰富的回答[3][7][13]，少量格式偏置样本也可能在偏好训练中被放大[8]。</w:t>
      </w:r>
    </w:p>
    <w:p w14:paraId="300261F8">
      <w:pPr>
        <w:spacing w:line="440" w:lineRule="exact"/>
        <w:ind w:firstLine="420"/>
        <w:rPr>
          <w:rFonts w:hint="eastAsia" w:ascii="宋体" w:hAnsi="宋体"/>
          <w:bCs/>
          <w:sz w:val="24"/>
        </w:rPr>
      </w:pPr>
      <w:r>
        <w:t>然而，格式偏好并不能简单理解为“格式越多越好”。格式元素与回答长度、任务类型和模型风格高度耦合。如，列表更多可能只是因为回答更长；粗体更多可能反映模型更倾向使用 Markdown；标题更多则可能对应更强的结构组织能力，这样一来，本文不仅考察格式计数，还构造格式密度指标，并在净效应模型中同时控制长度差和其他格式变量，以区分不同格式元素的独立贡献。</w:t>
      </w:r>
    </w:p>
    <w:p w14:paraId="64A18D12">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1" w:name="_Toc6998"/>
      <w:r>
        <w:rPr>
          <w:rFonts w:hint="eastAsia" w:ascii="Times New Roman" w:hAnsi="Times New Roman" w:eastAsia="宋体" w:cs="Times New Roman"/>
          <w:sz w:val="24"/>
          <w:szCs w:val="24"/>
        </w:rPr>
        <w:t>1.2.4 偏好信号污染与评价偏差研究现状</w:t>
      </w:r>
      <w:bookmarkEnd w:id="11"/>
    </w:p>
    <w:p w14:paraId="78CAF7E7">
      <w:pPr>
        <w:spacing w:line="440" w:lineRule="exact"/>
        <w:ind w:firstLine="420"/>
        <w:rPr>
          <w:rFonts w:hint="eastAsia" w:ascii="宋体" w:hAnsi="宋体"/>
          <w:bCs/>
          <w:sz w:val="24"/>
        </w:rPr>
      </w:pPr>
      <w:r>
        <w:rPr>
          <w:rFonts w:hint="eastAsia" w:ascii="宋体" w:hAnsi="宋体"/>
          <w:bCs/>
          <w:sz w:val="24"/>
        </w:rPr>
        <w:t>偏好信号污染并不限于长度和格式。位置偏差、确认偏误、谄媚性</w:t>
      </w:r>
      <w:r>
        <w:rPr>
          <w:rFonts w:hint="eastAsia" w:ascii="宋体" w:hAnsi="宋体"/>
          <w:bCs/>
          <w:sz w:val="24"/>
          <w:vertAlign w:val="superscript"/>
        </w:rPr>
        <w:t>[17]</w:t>
      </w:r>
      <w:r>
        <w:rPr>
          <w:rFonts w:hint="eastAsia" w:ascii="宋体" w:hAnsi="宋体"/>
          <w:bCs/>
          <w:sz w:val="24"/>
        </w:rPr>
        <w:t>、认知负荷和评价器偏置</w:t>
      </w:r>
      <w:r>
        <w:rPr>
          <w:rFonts w:hint="eastAsia" w:ascii="宋体" w:hAnsi="宋体"/>
          <w:bCs/>
          <w:sz w:val="24"/>
          <w:vertAlign w:val="superscript"/>
        </w:rPr>
        <w:t>[18]</w:t>
      </w:r>
      <w:r>
        <w:rPr>
          <w:rFonts w:hint="eastAsia" w:ascii="宋体" w:hAnsi="宋体"/>
          <w:bCs/>
          <w:sz w:val="24"/>
        </w:rPr>
        <w:t>都可能影响成对比较结果。对齐系统若直接使用此类数据训练，就可能继承并放大这些偏差。尤其在奖励模型或自动评价器中，表层信号往往比深层语义质量更容易学习，因而更容易成为模型优化的捷径。</w:t>
      </w:r>
    </w:p>
    <w:p w14:paraId="24342F34">
      <w:pPr>
        <w:spacing w:line="440" w:lineRule="exact"/>
        <w:ind w:firstLine="420"/>
        <w:rPr>
          <w:rFonts w:hint="eastAsia" w:ascii="宋体" w:hAnsi="宋体"/>
          <w:bCs/>
          <w:sz w:val="24"/>
        </w:rPr>
      </w:pPr>
      <w:r>
        <w:rPr>
          <w:rFonts w:hint="eastAsia" w:ascii="宋体" w:hAnsi="宋体"/>
          <w:bCs/>
          <w:sz w:val="24"/>
        </w:rPr>
        <w:t>这类研究共同说明，偏好比较数据需要被视为待审计的研究对象，而不是天然可信的评价标准。本文的贡献在于将这一宏观判断落到具体数据和统计模型上：通过数据清洗、非参数检验、净效应估计、加权匹配和路径建模，逐层确认形式偏差的存在、强度、稳健性与机制边界。</w:t>
      </w:r>
    </w:p>
    <w:p w14:paraId="2755A69B">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2" w:name="_Toc12789"/>
      <w:r>
        <w:rPr>
          <w:rFonts w:hint="eastAsia" w:ascii="Times New Roman" w:hAnsi="Times New Roman" w:eastAsia="宋体" w:cs="Times New Roman"/>
          <w:sz w:val="24"/>
          <w:szCs w:val="24"/>
        </w:rPr>
        <w:t>1.2.5 现有研究的不足与争议</w:t>
      </w:r>
      <w:bookmarkEnd w:id="12"/>
    </w:p>
    <w:p w14:paraId="77C3BE4B">
      <w:pPr>
        <w:spacing w:line="440" w:lineRule="exact"/>
        <w:ind w:firstLine="420"/>
        <w:rPr>
          <w:rFonts w:hint="eastAsia" w:ascii="宋体" w:hAnsi="宋体"/>
          <w:bCs/>
          <w:sz w:val="24"/>
        </w:rPr>
      </w:pPr>
      <w:r>
        <w:t>现有研究仍存在三方面不足；先看一些工作更关注模型训练或偏差修正，对原始偏好数据的层级结构、字段语义和研究单位界定不够细致，统计口径容易导致偏差；再看长度与格式偏好也常被分开讨论，但真实回答中二者往往共同出现，同时，不少研究仍停留在相关性描述或单一回归估计层面，对混淆控制和机制解释的整合不够[9]。</w:t>
      </w:r>
    </w:p>
    <w:p w14:paraId="02A55C70">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3" w:name="_Toc25077"/>
      <w:r>
        <w:rPr>
          <w:rFonts w:hint="eastAsia" w:ascii="Times New Roman" w:hAnsi="Times New Roman" w:eastAsia="宋体" w:cs="Times New Roman"/>
          <w:sz w:val="24"/>
          <w:szCs w:val="24"/>
        </w:rPr>
        <w:t>1.3 研究问题与研究假设</w:t>
      </w:r>
      <w:bookmarkEnd w:id="13"/>
    </w:p>
    <w:p w14:paraId="1B39328D">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4" w:name="_Toc3529"/>
      <w:r>
        <w:rPr>
          <w:rFonts w:hint="eastAsia" w:ascii="Times New Roman" w:hAnsi="Times New Roman" w:eastAsia="宋体" w:cs="Times New Roman"/>
          <w:sz w:val="24"/>
          <w:szCs w:val="24"/>
        </w:rPr>
        <w:t>1.3.1 核心研究问题</w:t>
      </w:r>
      <w:bookmarkEnd w:id="14"/>
    </w:p>
    <w:p w14:paraId="5294CF39">
      <w:pPr>
        <w:spacing w:line="440" w:lineRule="exact"/>
        <w:ind w:firstLine="420"/>
        <w:rPr>
          <w:rFonts w:hint="eastAsia" w:ascii="宋体" w:hAnsi="宋体"/>
          <w:bCs/>
          <w:sz w:val="24"/>
        </w:rPr>
      </w:pPr>
      <w:r>
        <w:t>本文的主要研究问题可以概括为：在 LMArena 人类偏好数据中，回答长度与格式特征是否会系统性影响人类选择偏好，并且这种影响在控制任务类型、问题维度、模型能力和模型风格后是否仍然存在。围绕这一问题，本研究还进一步关心长度、标题、列表和粗体在机制层面是否有同等地位。</w:t>
      </w:r>
    </w:p>
    <w:p w14:paraId="65B1CB02">
      <w:pPr>
        <w:spacing w:line="440" w:lineRule="exact"/>
        <w:ind w:firstLine="420"/>
        <w:rPr>
          <w:rFonts w:hint="eastAsia" w:ascii="宋体" w:hAnsi="宋体"/>
          <w:bCs/>
          <w:sz w:val="24"/>
        </w:rPr>
      </w:pPr>
      <w:r>
        <w:t>这一研究问题有明确的实践意义，如果偏好标签确实受形式特征影响，RLHF 和 DPO 等方法在训练时就应将长度与格式作为潜在混淆因素，予以控制和约束。</w:t>
      </w:r>
    </w:p>
    <w:p w14:paraId="01EB716C">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5" w:name="_Toc20613"/>
      <w:r>
        <w:rPr>
          <w:rFonts w:hint="eastAsia" w:ascii="Times New Roman" w:hAnsi="Times New Roman" w:eastAsia="宋体" w:cs="Times New Roman"/>
          <w:sz w:val="24"/>
          <w:szCs w:val="24"/>
        </w:rPr>
        <w:t>1.3.2 研究假设的提出</w:t>
      </w:r>
      <w:bookmarkEnd w:id="15"/>
    </w:p>
    <w:p w14:paraId="2313BFA1">
      <w:pPr>
        <w:spacing w:line="440" w:lineRule="exact"/>
        <w:ind w:firstLine="420"/>
        <w:rPr>
          <w:rFonts w:hint="eastAsia" w:ascii="宋体" w:hAnsi="宋体"/>
          <w:bCs/>
          <w:sz w:val="24"/>
        </w:rPr>
      </w:pPr>
      <w:r>
        <w:rPr>
          <w:rFonts w:hint="eastAsia" w:ascii="宋体" w:hAnsi="宋体"/>
          <w:bCs/>
          <w:sz w:val="24"/>
        </w:rPr>
        <w:t>结合已有研究和项目报告结果，本文提出四组假设。</w:t>
      </w:r>
    </w:p>
    <w:p w14:paraId="5BCA1D2D">
      <w:pPr>
        <w:spacing w:line="440" w:lineRule="exact"/>
        <w:ind w:firstLine="420"/>
        <w:rPr>
          <w:rFonts w:hint="eastAsia" w:ascii="宋体" w:hAnsi="宋体"/>
          <w:bCs/>
          <w:sz w:val="24"/>
        </w:rPr>
      </w:pPr>
      <w:r>
        <w:rPr>
          <w:rFonts w:hint="eastAsia" w:ascii="宋体" w:hAnsi="宋体"/>
          <w:bCs/>
          <w:sz w:val="24"/>
        </w:rPr>
        <w:t>H1：胜出回答在长度上显著长于落败回答，且长度偏好在主要任务子集中保持同向。</w:t>
      </w:r>
    </w:p>
    <w:p w14:paraId="134E6552">
      <w:pPr>
        <w:spacing w:line="440" w:lineRule="exact"/>
        <w:ind w:firstLine="420"/>
        <w:rPr>
          <w:rFonts w:hint="eastAsia" w:ascii="宋体" w:hAnsi="宋体"/>
          <w:bCs/>
          <w:sz w:val="24"/>
        </w:rPr>
      </w:pPr>
      <w:r>
        <w:rPr>
          <w:rFonts w:hint="eastAsia" w:ascii="宋体" w:hAnsi="宋体"/>
          <w:bCs/>
          <w:sz w:val="24"/>
        </w:rPr>
        <w:t>H2：标题、列表和粗体等格式特征与偏好结果存在显著关联，但不同格式变量的稳定性不同。</w:t>
      </w:r>
    </w:p>
    <w:p w14:paraId="3E18DE6A">
      <w:pPr>
        <w:spacing w:line="440" w:lineRule="exact"/>
        <w:ind w:firstLine="420"/>
        <w:rPr>
          <w:rFonts w:hint="eastAsia" w:ascii="宋体" w:hAnsi="宋体"/>
          <w:bCs/>
          <w:sz w:val="24"/>
        </w:rPr>
      </w:pPr>
      <w:r>
        <w:rPr>
          <w:rFonts w:hint="eastAsia" w:ascii="宋体" w:hAnsi="宋体"/>
          <w:bCs/>
          <w:sz w:val="24"/>
        </w:rPr>
        <w:t>H3：在控制任务类型、质量维度、模型能力和风格变量后，长度偏好及部分格式偏好仍保留净效应。</w:t>
      </w:r>
    </w:p>
    <w:p w14:paraId="760FBAD5">
      <w:pPr>
        <w:spacing w:line="440" w:lineRule="exact"/>
        <w:ind w:firstLine="420"/>
        <w:rPr>
          <w:rFonts w:hint="eastAsia" w:ascii="宋体" w:hAnsi="宋体"/>
          <w:bCs/>
          <w:sz w:val="24"/>
        </w:rPr>
      </w:pPr>
      <w:r>
        <w:rPr>
          <w:rFonts w:hint="eastAsia" w:ascii="宋体" w:hAnsi="宋体"/>
          <w:bCs/>
          <w:sz w:val="24"/>
        </w:rPr>
        <w:t>H4：长度差与关键格式密度差共同进入偏好形成路径，但长度变量的机制解释比标题和粗体更复杂。</w:t>
      </w:r>
    </w:p>
    <w:p w14:paraId="53556173">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6" w:name="_Toc2200"/>
      <w:r>
        <w:rPr>
          <w:rFonts w:hint="eastAsia" w:ascii="Times New Roman" w:hAnsi="Times New Roman" w:eastAsia="宋体" w:cs="Times New Roman"/>
          <w:sz w:val="24"/>
          <w:szCs w:val="24"/>
        </w:rPr>
        <w:t>1.3.3 研究对象与分析边界</w:t>
      </w:r>
      <w:bookmarkEnd w:id="16"/>
    </w:p>
    <w:p w14:paraId="5CA8F82A">
      <w:pPr>
        <w:spacing w:line="440" w:lineRule="exact"/>
        <w:ind w:firstLine="420"/>
        <w:rPr>
          <w:rFonts w:hint="eastAsia" w:ascii="宋体" w:hAnsi="宋体"/>
          <w:bCs/>
          <w:sz w:val="24"/>
        </w:rPr>
      </w:pPr>
      <w:r>
        <w:rPr>
          <w:rFonts w:hint="eastAsia" w:ascii="宋体" w:hAnsi="宋体"/>
          <w:bCs/>
          <w:sz w:val="24"/>
        </w:rPr>
        <w:t>本文的研究对象是 LMArena 人类偏好数据中的成对回答比较</w:t>
      </w:r>
      <w:r>
        <w:rPr>
          <w:rFonts w:hint="eastAsia" w:ascii="宋体" w:hAnsi="宋体"/>
          <w:bCs/>
          <w:sz w:val="24"/>
          <w:lang w:val="en-US" w:eastAsia="zh-CN"/>
        </w:rPr>
        <w:t>选择</w:t>
      </w:r>
      <w:r>
        <w:rPr>
          <w:rFonts w:hint="eastAsia" w:ascii="宋体" w:hAnsi="宋体"/>
          <w:bCs/>
          <w:sz w:val="24"/>
        </w:rPr>
        <w:t>。研究重点是偏好与</w:t>
      </w:r>
      <w:r>
        <w:rPr>
          <w:rFonts w:hint="eastAsia" w:ascii="宋体" w:hAnsi="宋体"/>
          <w:bCs/>
          <w:sz w:val="24"/>
          <w:lang w:val="en-US" w:eastAsia="zh-CN"/>
        </w:rPr>
        <w:t>表层</w:t>
      </w:r>
      <w:r>
        <w:rPr>
          <w:rFonts w:hint="eastAsia" w:ascii="宋体" w:hAnsi="宋体"/>
          <w:bCs/>
          <w:sz w:val="24"/>
        </w:rPr>
        <w:t>形式特征之间的统计关系，尤其是这种关系在多重控制后是否仍然存在。</w:t>
      </w:r>
    </w:p>
    <w:p w14:paraId="2300AB9C">
      <w:pPr>
        <w:spacing w:line="440" w:lineRule="exact"/>
        <w:ind w:firstLine="420"/>
        <w:rPr>
          <w:rFonts w:hint="eastAsia" w:ascii="宋体" w:hAnsi="宋体"/>
          <w:bCs/>
          <w:sz w:val="24"/>
        </w:rPr>
      </w:pPr>
      <w:r>
        <w:t>分析边界还体现在变量可得性上。本文使用了的长度、格式和控制变量均来自数据集中可审计字段或分析阶段派生特征。由于缺少人工逐条内容质量评分，本研究不能完全剥离信息覆盖率、事实正确性和语义冗余度等深层质量因素，这样一来，关于长度机制的解释保持谨慎。</w:t>
      </w:r>
    </w:p>
    <w:p w14:paraId="30B91E75">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7" w:name="_Toc9912"/>
      <w:r>
        <w:rPr>
          <w:rFonts w:hint="eastAsia" w:ascii="Times New Roman" w:hAnsi="Times New Roman" w:eastAsia="宋体" w:cs="Times New Roman"/>
          <w:sz w:val="24"/>
          <w:szCs w:val="24"/>
        </w:rPr>
        <w:t>1.4 研究思路与技术路线</w:t>
      </w:r>
      <w:bookmarkEnd w:id="17"/>
    </w:p>
    <w:p w14:paraId="0E55E457">
      <w:pPr>
        <w:spacing w:line="440" w:lineRule="exact"/>
        <w:ind w:firstLine="420"/>
        <w:rPr>
          <w:rFonts w:hint="eastAsia" w:ascii="宋体" w:hAnsi="宋体"/>
          <w:bCs/>
          <w:sz w:val="24"/>
        </w:rPr>
      </w:pPr>
      <w:r>
        <w:t>本文按照“数据审计—变量构造—存在性识别—净效应估计—稳健性验证—路径解释”的框架展开。数据审计用来确认研究对象是否成立；变量构造用来明确形式特征如何测量；存在性识别检验偏好是否存在；净效应估计考察控制混淆后偏好是否保留；路径解释进一步讨论偏好可能通过何种机制形成。</w:t>
      </w:r>
    </w:p>
    <w:p w14:paraId="406A3E2B">
      <w:pPr>
        <w:spacing w:line="440" w:lineRule="exact"/>
        <w:ind w:firstLine="420"/>
        <w:rPr>
          <w:rFonts w:hint="eastAsia" w:ascii="宋体" w:hAnsi="宋体"/>
          <w:bCs/>
          <w:sz w:val="24"/>
        </w:rPr>
      </w:pPr>
      <w:r>
        <w:rPr>
          <w:rFonts w:hint="eastAsia" w:ascii="宋体" w:hAnsi="宋体"/>
          <w:bCs/>
          <w:sz w:val="24"/>
        </w:rPr>
        <w:t>在工程流程上，项目先完成原始分片数据整合，再对</w:t>
      </w:r>
      <w:r>
        <w:rPr>
          <w:rFonts w:hint="eastAsia" w:ascii="宋体" w:hAnsi="宋体"/>
          <w:bCs/>
          <w:sz w:val="24"/>
          <w:lang w:val="en-US" w:eastAsia="zh-CN"/>
        </w:rPr>
        <w:t>各</w:t>
      </w:r>
      <w:r>
        <w:rPr>
          <w:rFonts w:hint="eastAsia" w:ascii="宋体" w:hAnsi="宋体"/>
          <w:bCs/>
          <w:sz w:val="24"/>
        </w:rPr>
        <w:t>字段逐一审计。随后，</w:t>
      </w:r>
      <w:r>
        <w:rPr>
          <w:rFonts w:hint="eastAsia" w:ascii="宋体" w:hAnsi="宋体"/>
          <w:bCs/>
          <w:sz w:val="24"/>
          <w:lang w:val="en-US" w:eastAsia="zh-CN"/>
        </w:rPr>
        <w:t>将原始数据重构为</w:t>
      </w:r>
      <w:r>
        <w:rPr>
          <w:rFonts w:hint="eastAsia" w:ascii="宋体" w:hAnsi="宋体"/>
          <w:bCs/>
          <w:sz w:val="24"/>
        </w:rPr>
        <w:t>优化</w:t>
      </w:r>
      <w:r>
        <w:rPr>
          <w:rFonts w:hint="eastAsia" w:ascii="宋体" w:hAnsi="宋体"/>
          <w:bCs/>
          <w:sz w:val="24"/>
          <w:lang w:val="en-US" w:eastAsia="zh-CN"/>
        </w:rPr>
        <w:t>数据</w:t>
      </w:r>
      <w:r>
        <w:rPr>
          <w:rFonts w:hint="eastAsia" w:ascii="宋体" w:hAnsi="宋体"/>
          <w:bCs/>
          <w:sz w:val="24"/>
        </w:rPr>
        <w:t>，</w:t>
      </w:r>
      <w:r>
        <w:rPr>
          <w:rFonts w:hint="eastAsia" w:ascii="宋体" w:hAnsi="宋体"/>
          <w:bCs/>
          <w:sz w:val="24"/>
          <w:lang w:val="en-US" w:eastAsia="zh-CN"/>
        </w:rPr>
        <w:t>并针对任务类型</w:t>
      </w:r>
      <w:r>
        <w:rPr>
          <w:rFonts w:hint="eastAsia" w:ascii="宋体" w:hAnsi="宋体"/>
          <w:bCs/>
          <w:sz w:val="24"/>
        </w:rPr>
        <w:t>完成子集划分</w:t>
      </w:r>
      <w:r>
        <w:rPr>
          <w:rFonts w:hint="eastAsia" w:ascii="宋体" w:hAnsi="宋体"/>
          <w:bCs/>
          <w:sz w:val="24"/>
          <w:lang w:eastAsia="zh-CN"/>
        </w:rPr>
        <w:t>，</w:t>
      </w:r>
      <w:r>
        <w:rPr>
          <w:rFonts w:hint="eastAsia" w:ascii="宋体" w:hAnsi="宋体"/>
          <w:bCs/>
          <w:sz w:val="24"/>
          <w:lang w:val="en-US" w:eastAsia="zh-CN"/>
        </w:rPr>
        <w:t>再分组</w:t>
      </w:r>
      <w:r>
        <w:rPr>
          <w:rFonts w:hint="eastAsia" w:ascii="宋体" w:hAnsi="宋体"/>
          <w:bCs/>
          <w:sz w:val="24"/>
        </w:rPr>
        <w:t>进行描述统计与非参数检验</w:t>
      </w:r>
      <w:r>
        <w:rPr>
          <w:rFonts w:hint="eastAsia" w:ascii="宋体" w:hAnsi="宋体"/>
          <w:bCs/>
          <w:sz w:val="24"/>
          <w:lang w:eastAsia="zh-CN"/>
        </w:rPr>
        <w:t>。</w:t>
      </w:r>
      <w:r>
        <w:rPr>
          <w:rFonts w:hint="eastAsia" w:ascii="宋体" w:hAnsi="宋体"/>
          <w:bCs/>
          <w:sz w:val="24"/>
          <w:lang w:val="en-US" w:eastAsia="zh-CN"/>
        </w:rPr>
        <w:t>确认偏好显著存在后，</w:t>
      </w:r>
      <w:r>
        <w:rPr>
          <w:rFonts w:hint="eastAsia" w:ascii="宋体" w:hAnsi="宋体"/>
          <w:bCs/>
          <w:sz w:val="24"/>
        </w:rPr>
        <w:t>完成净效应和稳健性分析</w:t>
      </w:r>
      <w:r>
        <w:rPr>
          <w:rFonts w:hint="eastAsia" w:ascii="宋体" w:hAnsi="宋体"/>
          <w:bCs/>
          <w:sz w:val="24"/>
          <w:lang w:eastAsia="zh-CN"/>
        </w:rPr>
        <w:t>，</w:t>
      </w:r>
      <w:r>
        <w:rPr>
          <w:rFonts w:hint="eastAsia" w:ascii="宋体" w:hAnsi="宋体"/>
          <w:bCs/>
          <w:sz w:val="24"/>
        </w:rPr>
        <w:t>进一步构建 SEM 机制模型</w:t>
      </w:r>
      <w:r>
        <w:rPr>
          <w:rFonts w:hint="eastAsia" w:ascii="宋体" w:hAnsi="宋体"/>
          <w:bCs/>
          <w:sz w:val="24"/>
          <w:lang w:val="en-US" w:eastAsia="zh-CN"/>
        </w:rPr>
        <w:t>进行解释</w:t>
      </w:r>
      <w:r>
        <w:rPr>
          <w:rFonts w:hint="eastAsia" w:ascii="宋体" w:hAnsi="宋体"/>
          <w:bCs/>
          <w:sz w:val="24"/>
        </w:rPr>
        <w:t>。</w:t>
      </w:r>
    </w:p>
    <w:p w14:paraId="561C051B">
      <w:pPr>
        <w:spacing w:line="440" w:lineRule="exact"/>
        <w:ind w:firstLine="420"/>
        <w:rPr>
          <w:rFonts w:hint="eastAsia" w:ascii="宋体" w:hAnsi="宋体"/>
          <w:bCs/>
          <w:sz w:val="24"/>
        </w:rPr>
      </w:pPr>
      <w:r>
        <w:t>在方法上，本文先通过分箱胜率和格式存在性统计观察现象，再采用 Wilcoxon 符号秩检验检验配对差异，并以 rank-biserial r 表示效应量。随后，使用嵌套逻辑回归考察核心效应在一步步加入控制变量后的衰减路径；使用调整逻辑回归和 IPW 从处理效应角度验证稳健性；使用 PSM 构造更平衡的处理组与对照组；接着看使用 SEM 在同一模型中表达外生控制、路径层变量与偏好结果之间的路径关系。</w:t>
      </w:r>
    </w:p>
    <w:p w14:paraId="2BDD360C">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8" w:name="_Toc25536"/>
      <w:r>
        <w:rPr>
          <w:rFonts w:hint="eastAsia" w:ascii="Times New Roman" w:hAnsi="Times New Roman" w:eastAsia="宋体" w:cs="Times New Roman"/>
          <w:sz w:val="24"/>
          <w:szCs w:val="24"/>
        </w:rPr>
        <w:t>1.5 研究贡献与创新点</w:t>
      </w:r>
      <w:bookmarkEnd w:id="18"/>
    </w:p>
    <w:p w14:paraId="4414F26A">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9" w:name="_Toc26398"/>
      <w:r>
        <w:rPr>
          <w:rFonts w:hint="eastAsia" w:ascii="Times New Roman" w:hAnsi="Times New Roman" w:eastAsia="宋体" w:cs="Times New Roman"/>
          <w:sz w:val="24"/>
          <w:szCs w:val="24"/>
        </w:rPr>
        <w:t>1.5.1 理论贡献</w:t>
      </w:r>
      <w:bookmarkEnd w:id="19"/>
    </w:p>
    <w:p w14:paraId="23D1977E">
      <w:pPr>
        <w:spacing w:line="440" w:lineRule="exact"/>
        <w:ind w:firstLine="420"/>
        <w:rPr>
          <w:rFonts w:hint="eastAsia" w:ascii="宋体" w:hAnsi="宋体"/>
          <w:bCs/>
          <w:sz w:val="24"/>
        </w:rPr>
      </w:pPr>
      <w:r>
        <w:t>在理论层面，本文将偏好数据从单纯的训练资源重新界定为需要解释和审计的研究对象，该视角强调，人类偏好并不是天然透明，其中可能同时包含内容质量判断和表层形式启发式。研究结果显示，长度、标题和粗体在偏好数据中有可量化影响，为理解 RLHF 中人类反馈的实际含义提供了经验依据。</w:t>
      </w:r>
    </w:p>
    <w:p w14:paraId="03BFD6E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0" w:name="_Toc27537"/>
      <w:r>
        <w:rPr>
          <w:rFonts w:hint="eastAsia" w:ascii="Times New Roman" w:hAnsi="Times New Roman" w:eastAsia="宋体" w:cs="Times New Roman"/>
          <w:sz w:val="24"/>
          <w:szCs w:val="24"/>
        </w:rPr>
        <w:t>1.5.2 方法贡献</w:t>
      </w:r>
      <w:bookmarkEnd w:id="20"/>
    </w:p>
    <w:p w14:paraId="79C35DDD">
      <w:pPr>
        <w:spacing w:line="440" w:lineRule="exact"/>
        <w:ind w:firstLine="420"/>
        <w:rPr>
          <w:rFonts w:hint="eastAsia" w:ascii="宋体" w:hAnsi="宋体"/>
          <w:bCs/>
          <w:sz w:val="24"/>
        </w:rPr>
      </w:pPr>
      <w:r>
        <w:t>在方法层面，本文形成了一条较完整的统计实证链条。与仅进行描述性观察或单一回归不同，本研究将数据口径审计、非参数检验、效应量估计、嵌套回归、IPW、PSM 和 SEM 按研究逻辑整合起来。针对格式变量，这项研究同时使用计数和密度两个口径，以区分“格式更多”与“文本更长导致格式自然更多”。</w:t>
      </w:r>
    </w:p>
    <w:p w14:paraId="3181BA0D">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1" w:name="_Toc14533"/>
      <w:r>
        <w:rPr>
          <w:rFonts w:hint="eastAsia" w:ascii="Times New Roman" w:hAnsi="Times New Roman" w:eastAsia="宋体" w:cs="Times New Roman"/>
          <w:sz w:val="24"/>
          <w:szCs w:val="24"/>
        </w:rPr>
        <w:t>1.5.3 应用价值</w:t>
      </w:r>
      <w:bookmarkEnd w:id="21"/>
    </w:p>
    <w:p w14:paraId="28036074">
      <w:pPr>
        <w:spacing w:line="440" w:lineRule="exact"/>
        <w:ind w:firstLine="420"/>
        <w:rPr>
          <w:rFonts w:hint="eastAsia" w:ascii="宋体" w:hAnsi="宋体"/>
          <w:bCs/>
          <w:sz w:val="24"/>
        </w:rPr>
      </w:pPr>
      <w:r>
        <w:t>在应用层面，本文结果可以为偏好数据构建、奖励模型训练和自动评价器校准提供依据，若训练数据中的长度和结构化格式分布失衡，奖励模型可能把“更会展开”或“更会排版”误判为“质量更高”。后续数据采集可考虑长度匹配、格式平衡、样本重加权和对比样本构造，以降低表层形式特征对奖励学习的影响。</w:t>
      </w:r>
    </w:p>
    <w:p w14:paraId="4337975F">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2" w:name="_Toc28401"/>
      <w:r>
        <w:rPr>
          <w:rFonts w:hint="eastAsia" w:ascii="Times New Roman" w:hAnsi="Times New Roman" w:eastAsia="宋体" w:cs="Times New Roman"/>
          <w:sz w:val="24"/>
          <w:szCs w:val="24"/>
        </w:rPr>
        <w:t>1.6 论文结构安排</w:t>
      </w:r>
      <w:bookmarkEnd w:id="22"/>
    </w:p>
    <w:p w14:paraId="341624EE">
      <w:pPr>
        <w:spacing w:line="440" w:lineRule="exact"/>
        <w:ind w:firstLine="420"/>
      </w:pPr>
      <w:r>
        <w:rPr>
          <w:rFonts w:hint="eastAsia" w:ascii="宋体" w:hAnsi="宋体"/>
          <w:bCs/>
          <w:sz w:val="24"/>
        </w:rPr>
        <w:t>全文共分九章。第一章提出研究背景、研究问题和创新点。第二章梳理偏好比较数据、表层形式偏差、长度偏差、格式偏好和混淆控制的相关研究，并提出理论分析框架。第三章说明数据来源、结构审计和样本构建。第四章介绍变量构造、研究假设和估计策略。第五章检验表层形式偏好的存在性。第六章估计控制混淆后的净效应并进行稳健性验证。第七章构建结构方程模型，讨论长度与格式变量的路径关系。第八章提炼理论解释和实践启示。第九章总结全文并提出未来研究方向。</w:t>
      </w:r>
      <w:r>
        <w:rPr>
          <w:rFonts w:ascii="宋体" w:hAnsi="宋体" w:eastAsia="宋体"/>
          <w:sz w:val="21"/>
        </w:rPr>
        <w:t>面。</w:t>
      </w:r>
    </w:p>
    <w:p w14:paraId="3476C6C6">
      <w:pPr>
        <w:rPr>
          <w:rFonts w:hint="eastAsia" w:ascii="宋体" w:hAnsi="宋体"/>
          <w:sz w:val="24"/>
        </w:rPr>
      </w:pPr>
      <w:r>
        <w:rPr>
          <w:rFonts w:hint="eastAsia" w:ascii="宋体" w:hAnsi="宋体"/>
          <w:sz w:val="24"/>
        </w:rPr>
        <w:br w:type="page"/>
      </w:r>
    </w:p>
    <w:p w14:paraId="7FF765C0">
      <w:pPr>
        <w:pStyle w:val="2"/>
        <w:rPr>
          <w:rFonts w:hint="default" w:eastAsia="宋体"/>
          <w:lang w:val="en-US" w:eastAsia="zh-CN"/>
        </w:rPr>
      </w:pPr>
      <w:bookmarkStart w:id="23" w:name="_Toc10943"/>
      <w:r>
        <w:rPr>
          <w:rFonts w:hint="eastAsia"/>
        </w:rPr>
        <w:t>第二章 理论分析框架</w:t>
      </w:r>
      <w:r>
        <w:rPr>
          <w:rFonts w:hint="eastAsia"/>
          <w:lang w:val="en-US" w:eastAsia="zh-CN"/>
        </w:rPr>
        <w:t>与方法基础</w:t>
      </w:r>
      <w:bookmarkEnd w:id="23"/>
    </w:p>
    <w:p w14:paraId="780FA68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24" w:name="_Toc30034"/>
      <w:r>
        <w:rPr>
          <w:rFonts w:hint="eastAsia" w:ascii="Times New Roman" w:hAnsi="Times New Roman" w:eastAsia="宋体" w:cs="Times New Roman"/>
          <w:sz w:val="24"/>
          <w:szCs w:val="24"/>
          <w:lang w:val="en-US" w:eastAsia="zh-CN"/>
        </w:rPr>
        <w:t xml:space="preserve">2.1 </w:t>
      </w:r>
      <w:r>
        <w:rPr>
          <w:rFonts w:hint="eastAsia" w:ascii="宋体" w:hAnsi="宋体" w:eastAsia="宋体" w:cs="宋体"/>
          <w:sz w:val="24"/>
        </w:rPr>
        <w:t>偏好比较数据的功能定位与信号质量假设</w:t>
      </w:r>
      <w:bookmarkEnd w:id="24"/>
    </w:p>
    <w:p w14:paraId="2F8B9E38">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t>在强化学习人类反馈范式的训练流程中，偏好比较数据是连接人类判断与奖励建模的核心媒介。所谓偏好比较数据，是指由人类标注者针对同一问题的两个（或多个）候选回答，以“A 优于 B”或“B 优于 A”形式记录下来的偏序关系集合，这类数据本质上是对“相对质量”的人类判断，而非对“绝对质量”的量化评分。</w:t>
      </w:r>
    </w:p>
    <w:p w14:paraId="1B8C42FA">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rPr>
          <w:rFonts w:hint="eastAsia" w:ascii="宋体" w:hAnsi="宋体"/>
          <w:sz w:val="24"/>
        </w:rPr>
        <w:t>在 RLHF 三阶段流程中，偏好比较数据的首要用途是驱动奖励模型（Reward Model，RM）的参数学习。奖励模型通常被建模为一个序数回归或 Bradley-Terry 排名模型，接收成对回答并学习预测人类偏好概率；此后经 PPO 等策略优化算法，语言模型策略朝奖励期望最大化方向迭代更新</w:t>
      </w:r>
      <w:r>
        <w:rPr>
          <w:rFonts w:hint="eastAsia" w:ascii="宋体" w:hAnsi="宋体"/>
          <w:sz w:val="24"/>
          <w:vertAlign w:val="superscript"/>
        </w:rPr>
        <w:t>[10]</w:t>
      </w:r>
      <w:r>
        <w:rPr>
          <w:rFonts w:hint="eastAsia" w:ascii="宋体" w:hAnsi="宋体"/>
          <w:sz w:val="24"/>
        </w:rPr>
        <w:t>。DPO 等方法虽然省去了显式 RM 阶段，但其核心损失函数仍然将成对偏好数据直接映射为策略参数的差异化调整，人类比较标签的质量同样是对齐效果的决定性约束</w:t>
      </w:r>
      <w:r>
        <w:rPr>
          <w:rFonts w:hint="eastAsia" w:ascii="宋体" w:hAnsi="宋体"/>
          <w:sz w:val="24"/>
          <w:vertAlign w:val="superscript"/>
        </w:rPr>
        <w:t>[11]</w:t>
      </w:r>
      <w:r>
        <w:rPr>
          <w:rFonts w:hint="eastAsia" w:ascii="宋体" w:hAnsi="宋体"/>
          <w:sz w:val="24"/>
        </w:rPr>
        <w:t>。Sun 等人的自对齐工作则从另一个维度说明了这一约束的分量：在仅有不到 300 行人类标注的极度稀缺条件下，只要对齐信号足够纯粹，仍可超越多个规模更大的同期系统；反之，若信号本身受噪声污染，规模扩大反而可能加速偏差积累</w:t>
      </w:r>
      <w:r>
        <w:rPr>
          <w:rFonts w:hint="eastAsia" w:ascii="宋体" w:hAnsi="宋体"/>
          <w:sz w:val="24"/>
          <w:vertAlign w:val="superscript"/>
        </w:rPr>
        <w:t>[14]</w:t>
      </w:r>
      <w:r>
        <w:rPr>
          <w:rFonts w:hint="eastAsia" w:ascii="宋体" w:hAnsi="宋体"/>
          <w:sz w:val="24"/>
        </w:rPr>
        <w:t>。</w:t>
      </w:r>
    </w:p>
    <w:p w14:paraId="263CC0EF">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t>这一机制隐含着一个核心质量假设：人类偏好比较 ≈ 回答质量的单调映射。即标注者选择“A 优于 B”，意味着 A 在实质意义上更符合问题的真实信息需求，若这一假设成立，奖励模型学到的就是真实质量的代理；若这一假设系统性地被违背，奖励模型学到的则可能是“外观像高质量”的表面模式，进而在对齐训练中引导语言模型向形式优化而非实质能力提升方向演化[1][4]。</w:t>
      </w:r>
    </w:p>
    <w:p w14:paraId="58A2F000">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t>理解偏好数据质量假设的脆弱性，需要注意两点背景约束；先看标注者在实际评价时面临时间压力与认知负荷的双重制约，缺乏专业背景时快速可识别的表面特征（如文本更长、排版更规整）容易作为质量代理被优先采用；再看奖励模型在训练过程中有“放大偏差”的风险：即使偏好标签只在小比例上受到形式偏差影响，经由迭代训练，模型也可能倾向于把形式特征优化强度持续推高[7]。正是在这两个机制共同作用下，偏好比较数据中是否存在系统性形式偏差，以及这种偏差的量级与路径，成为了 RLHF 研究中不可回避的基础性问题。</w:t>
      </w:r>
    </w:p>
    <w:p w14:paraId="1416F1F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25" w:name="_Toc4309"/>
      <w:r>
        <w:rPr>
          <w:rFonts w:hint="eastAsia" w:ascii="Times New Roman" w:hAnsi="Times New Roman" w:eastAsia="宋体" w:cs="Times New Roman"/>
          <w:sz w:val="24"/>
          <w:szCs w:val="24"/>
          <w:lang w:val="en-US" w:eastAsia="zh-CN"/>
        </w:rPr>
        <w:t>2.2 表层形式偏差的概念界定与认知成因</w:t>
      </w:r>
      <w:bookmarkEnd w:id="25"/>
    </w:p>
    <w:p w14:paraId="3DC426CF">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r>
        <w:rPr>
          <w:rFonts w:hint="eastAsia" w:ascii="Times New Roman" w:hAnsi="Times New Roman" w:eastAsia="宋体" w:cs="Times New Roman"/>
          <w:sz w:val="24"/>
          <w:szCs w:val="24"/>
        </w:rPr>
        <w:t xml:space="preserve"> </w:t>
      </w:r>
      <w:bookmarkStart w:id="26" w:name="_Toc11525"/>
      <w:r>
        <w:rPr>
          <w:rFonts w:hint="eastAsia" w:ascii="Times New Roman" w:hAnsi="Times New Roman" w:eastAsia="宋体" w:cs="Times New Roman"/>
          <w:sz w:val="24"/>
          <w:szCs w:val="24"/>
        </w:rPr>
        <w:t>2.2.1 操作性定义</w:t>
      </w:r>
      <w:bookmarkEnd w:id="26"/>
    </w:p>
    <w:p w14:paraId="05E06B82">
      <w:pPr>
        <w:spacing w:line="440" w:lineRule="exact"/>
        <w:ind w:firstLine="420"/>
        <w:rPr>
          <w:rFonts w:hint="eastAsia" w:ascii="宋体" w:hAnsi="宋体"/>
          <w:sz w:val="24"/>
        </w:rPr>
      </w:pPr>
      <w:r>
        <w:t>“偏差”（Bias）在统计学语境中泛指估计量与真实值之间的系统性偏移。将其引入偏好数据研究语境，需要给出明确的操作性界定：所谓偏好数据中的表层形式偏差，指当回答在形式特征（长度、标题、列表、粗体、emoji 等）上存在差异时，这种差异系统性地影响标注结果，且这种影响并不完全通过提升回答的实质内容质量来实现，其核心特征有三：第一，该偏差是系统性的，而非随机的个人品味差异；再看其作用路径独立于真实内容质量，即形式特征本身构成独立的偏好驱动因素；接着看它会在奖励建模与策略优化中产生下游影响，使训练出的模型优化目标偏离真实质量[5][7]。</w:t>
      </w:r>
    </w:p>
    <w:p w14:paraId="00E71449">
      <w:pPr>
        <w:spacing w:line="440" w:lineRule="exact"/>
        <w:ind w:firstLine="420"/>
        <w:rPr>
          <w:rFonts w:hint="eastAsia" w:ascii="宋体" w:hAnsi="宋体"/>
          <w:sz w:val="24"/>
        </w:rPr>
      </w:pPr>
      <w:r>
        <w:t>需要特别指出的是，“存在形式偏差”并不等于“形式特征完全无关”。更长的回答可能确实提供了更充分的信息，更规整的格式可能确实降低了用户理解成本。本文所要区分的，是“形式改善伴随的实质质量提升”与“形式特征本身独立贡献的偏好增量”这两个不同的因果路径——正是这一区分，构成了本研究从现象识别推进到净效应估计和机制探索的核心方法论逻辑。</w:t>
      </w:r>
    </w:p>
    <w:p w14:paraId="7605E330">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r>
        <w:rPr>
          <w:rFonts w:hint="eastAsia" w:ascii="Times New Roman" w:hAnsi="Times New Roman" w:eastAsia="宋体" w:cs="Times New Roman"/>
          <w:sz w:val="24"/>
          <w:szCs w:val="24"/>
        </w:rPr>
        <w:t xml:space="preserve"> </w:t>
      </w:r>
      <w:bookmarkStart w:id="27" w:name="_Toc11005"/>
      <w:r>
        <w:rPr>
          <w:rFonts w:hint="eastAsia" w:ascii="Times New Roman" w:hAnsi="Times New Roman" w:eastAsia="宋体" w:cs="Times New Roman"/>
          <w:sz w:val="24"/>
          <w:szCs w:val="24"/>
        </w:rPr>
        <w:t>2.2.2 比较场景中的启发式判断</w:t>
      </w:r>
      <w:bookmarkEnd w:id="27"/>
    </w:p>
    <w:p w14:paraId="11F61F28">
      <w:pPr>
        <w:spacing w:line="440" w:lineRule="exact"/>
        <w:ind w:firstLine="420"/>
        <w:rPr>
          <w:rFonts w:hint="eastAsia" w:ascii="宋体" w:hAnsi="宋体"/>
          <w:sz w:val="24"/>
        </w:rPr>
      </w:pPr>
      <w:r>
        <w:t>从认知机制角度，表层形式偏差的产生有其深刻的心理学根源。在面对复杂比较任务时，人类会自动化地启用快速认知启发式（Heuristic）以降低决策成本：更长的回答更容易被直觉归类为“更完整”“更认真”；有条理的列表更容易被解读为“更有组织”“更值得信赖”；标题和粗体则通过降低认知摩擦，间接提高了内容被积极评价的可能性，这些启发式判断在日常阅读场景中往往是有效的，但在“两个回答谁更好”的强制比较任务中，当标注者无法深度校验内容准确性时，这些表面信号就可能作为质量的主要代理被系统性采用[4][8]。</w:t>
      </w:r>
    </w:p>
    <w:p w14:paraId="5B5EDB5B">
      <w:pPr>
        <w:spacing w:line="440" w:lineRule="exact"/>
        <w:ind w:firstLine="420"/>
        <w:rPr>
          <w:rFonts w:hint="eastAsia" w:ascii="宋体" w:hAnsi="宋体"/>
          <w:sz w:val="24"/>
        </w:rPr>
      </w:pPr>
      <w:r>
        <w:t>Sharma 等人的研究将这一机制推进到了“谄媚性（Sycophancy）”层面——RLHF 训练中形式信号被奖励的效应，不只体现在格式与长度上，更会诱导模型学会迎合用户的既有信念和情感期待，使模型倾向于“看起来正确”而非“实际正确”[17]。Wang 等人的综述则将这类多维度偏差统一纳入“奖励黑客（reward hacking）”的理论框架，指出其本质是代理奖励在高压优化下与人类真实目标之间的结构性脆弱性[20]，这些研究共同说明，形式偏差不是偶发噪声，而是与奖励信号的设计机制深度耦合的系统性问题。</w:t>
      </w:r>
    </w:p>
    <w:p w14:paraId="4C7DF859">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r>
        <w:rPr>
          <w:rFonts w:hint="eastAsia" w:ascii="Times New Roman" w:hAnsi="Times New Roman" w:eastAsia="宋体" w:cs="Times New Roman"/>
          <w:sz w:val="24"/>
          <w:szCs w:val="24"/>
        </w:rPr>
        <w:t xml:space="preserve"> </w:t>
      </w:r>
      <w:bookmarkStart w:id="28" w:name="_Toc7533"/>
      <w:r>
        <w:rPr>
          <w:rFonts w:hint="eastAsia" w:ascii="Times New Roman" w:hAnsi="Times New Roman" w:eastAsia="宋体" w:cs="Times New Roman"/>
          <w:sz w:val="24"/>
          <w:szCs w:val="24"/>
        </w:rPr>
        <w:t>2.2.3 偏差的分类学</w:t>
      </w:r>
      <w:bookmarkEnd w:id="28"/>
    </w:p>
    <w:p w14:paraId="5B151EBF">
      <w:pPr>
        <w:spacing w:line="440" w:lineRule="exact"/>
        <w:ind w:firstLine="420"/>
        <w:rPr>
          <w:rFonts w:hint="eastAsia" w:ascii="宋体" w:hAnsi="宋体"/>
          <w:sz w:val="24"/>
        </w:rPr>
      </w:pPr>
      <w:r>
        <w:t>在学术分类上，偏好数据中的偏差呈现出多维结构，主要包括以下几类：长度偏差（Length Bias）——标注者对更长回答的系统性偏好；格式偏差（Format Bias）——对列表、标题、粗体等 Markdown 元素的系统性偏好；谄媚性偏差（Sycophancy）——对契合用户既有信念的回答倾向于更高评价；位置偏差（Position Bias）——对成对呈现中某一固定位置的系统性偏向；以及认知偏误（Cognitive Bias）——包括确认偏误、权威效应等个体认知层面的扭曲[18]，这些偏差类型在真实标注场景中往往共现叠加，相互强化。本文聚焦长度偏差与格式偏差，原因在于二者与文本的可量化形式特征直接挂钩，从方法论上更易于操作化测量与系统控制。</w:t>
      </w:r>
    </w:p>
    <w:p w14:paraId="142D577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29" w:name="_Toc5447"/>
      <w:r>
        <w:rPr>
          <w:rFonts w:hint="eastAsia" w:ascii="Times New Roman" w:hAnsi="Times New Roman" w:eastAsia="宋体" w:cs="Times New Roman"/>
          <w:sz w:val="24"/>
          <w:szCs w:val="24"/>
          <w:lang w:val="en-US" w:eastAsia="zh-CN"/>
        </w:rPr>
        <w:t>2.3 长度偏差的研究发展脉络与方法演进</w:t>
      </w:r>
      <w:bookmarkEnd w:id="29"/>
    </w:p>
    <w:p w14:paraId="0439B4B1">
      <w:pPr>
        <w:spacing w:line="440" w:lineRule="exact"/>
        <w:ind w:firstLine="420"/>
        <w:rPr>
          <w:rFonts w:hint="eastAsia" w:ascii="宋体" w:hAnsi="宋体"/>
          <w:sz w:val="24"/>
        </w:rPr>
      </w:pPr>
      <w:r>
        <w:rPr>
          <w:rFonts w:hint="eastAsia" w:ascii="宋体" w:hAnsi="宋体"/>
          <w:sz w:val="24"/>
        </w:rPr>
        <w:t>长度偏差是 RLHF 偏好数据研究中最早受到系统关注的问题之一。本节按研究演进的内在逻辑，梳理相关工作如何从早期的经验观察推进到方法化的识别、分解与矫正框架。</w:t>
      </w:r>
    </w:p>
    <w:p w14:paraId="7FC548B4">
      <w:pPr>
        <w:spacing w:line="440" w:lineRule="exact"/>
        <w:ind w:firstLine="420"/>
        <w:rPr>
          <w:rFonts w:hint="eastAsia" w:ascii="宋体" w:hAnsi="宋体"/>
          <w:sz w:val="24"/>
        </w:rPr>
      </w:pPr>
      <w:r>
        <w:t>早期识别阶段：在 RLHF 大规模推广之初，部分研究者已经注意到自动评价器（如 AlpacaEval 使用的 GPT-4 评价）对更长回答存在系统性偏好，但这一现象最初被视为自动评价器的具体缺陷，而非偏好数据的本质特征。Li 等人通过对人类与 32 种 LLM 偏好结构的细粒度拆解，首次将“lengthy（篇幅更长）”作为一个可量化的偏好属性独立提取，发现它在人类偏好中权重极高，而在先进 LLM 的偏好结构中权重明显偏低[4]，这一人机偏好结构的对比，将长度偏差从“有可能存在的直觉”推进为“可统计验证的系统性现象”，确立了长度偏差研究的基本文对象定义。Dubois 等人从自动评价基准设计角度提供了独立佐证，证明在控制长度后，AlpacaEval 与 LMSYS Chatbot Arena 之间的 Spearman 相关系数从 0.94 提升至 0.98，说明即使在基准层面，长度对评价结果的污染也构成了实质性干扰[6]。</w:t>
      </w:r>
    </w:p>
    <w:p w14:paraId="4BB32F0A">
      <w:pPr>
        <w:spacing w:line="440" w:lineRule="exact"/>
        <w:ind w:firstLine="420"/>
        <w:rPr>
          <w:rFonts w:hint="eastAsia" w:ascii="宋体" w:hAnsi="宋体"/>
          <w:sz w:val="24"/>
        </w:rPr>
      </w:pPr>
      <w:r>
        <w:rPr>
          <w:rFonts w:hint="eastAsia" w:ascii="宋体" w:hAnsi="宋体"/>
          <w:sz w:val="24"/>
        </w:rPr>
        <w:t>机制溯源阶段：在确认现象后，研究的重点转向机制溯源——长度偏差究竟从哪里进入奖励建模链条，又如何在训练中被放大？Shen 等人的研究直接在 RLHF 训练流程内部追踪这一问题，发现奖励模型在训练过程中会习得“更长 = 更好”作为预测捷径，本质原因是训练数据中长度与偏好标签之间存在统计相关，而奖励模型无法自动区分这种相关是因果的还是虚假的；为此他们提出 Product-of-Experts（PoE）框架，将主奖励专家与长度偏差专家显式解耦[5]。Wang 等人在反事实因果推断框架下，进一步将长度偏差归结为奖励建模中的虚假相关，指出其根本原因是代理奖励信号在高压优化下与人类真实目标的系统性偏离[19]。Li 等人则将视角延伸至模型生成端，发现语言模型对明确长度约束指令的遵循能力本身就存在系统性不足，说明长度偏好问题同时受人类评估端启发式与模型生成端内在倾向的双重驱动[15]。</w:t>
      </w:r>
    </w:p>
    <w:p w14:paraId="06862CF2">
      <w:pPr>
        <w:spacing w:line="440" w:lineRule="exact"/>
        <w:ind w:firstLine="420"/>
        <w:rPr>
          <w:rFonts w:hint="eastAsia" w:ascii="宋体" w:hAnsi="宋体"/>
          <w:sz w:val="24"/>
        </w:rPr>
      </w:pPr>
      <w:r>
        <w:rPr>
          <w:rFonts w:hint="eastAsia" w:ascii="宋体" w:hAnsi="宋体"/>
          <w:sz w:val="24"/>
        </w:rPr>
        <w:t>效应分解阶段：如何区分长度效应的不同来源成为了深化阶段的核心问题。Hu 等人提出将胜率分解为“可信度（desirability）”与“信息量（information mass）”两个维度的理论框架，系统阐释了长度主要通过影响信息量感知而非可信度判断来干扰评估，为区分“有效长度”与“冗余长度”提供了概念基础[2]。在此框架下，“有效长度”增加了实质信息覆盖，理应带来偏好提升；“冗余长度”只是填充了更多词汇，其对偏好的贡献则属于形式偏差的范畴。</w:t>
      </w:r>
    </w:p>
    <w:p w14:paraId="1C4DA6A5">
      <w:pPr>
        <w:spacing w:line="440" w:lineRule="exact"/>
        <w:ind w:firstLine="420"/>
        <w:rPr>
          <w:rFonts w:hint="eastAsia" w:ascii="宋体" w:hAnsi="宋体"/>
          <w:sz w:val="24"/>
        </w:rPr>
      </w:pPr>
      <w:r>
        <w:rPr>
          <w:rFonts w:hint="eastAsia" w:ascii="宋体" w:hAnsi="宋体"/>
          <w:sz w:val="24"/>
        </w:rPr>
        <w:t>矫正方法阶段：在识别与分解的基础上，一系列矫正方法陆续被提出，大致可分为三类。第一类是后验校准：在奖励模型训练完成后，通过估计并剥离奖励函数中的长度偏差项进行修正，代表工作是 Huang 等人的局部加权回归校准方法，在 33 个奖励模型的 RewardBench 测试中平均提升 3.11 点[12]。第二类是训练数据去偏：在构造偏好数据时，主动通过反事实数据增强构造“内容相近、长度差异大”与“长度相近、内容差异大”两类对比对，以破坏长度与质量标签之间的虚假相关，Kim 等人的工作属于这一类型[21]。第三类是模型级解耦：在奖励建模架构或目标函数层面显式引入长度不变性约束，Cai 等人提出的响应条件化 Bradley-Terry 模型（Rc-BT）在同一框架内同时缓解长度偏差与提升长度指令遵循能力[22]。</w:t>
      </w:r>
    </w:p>
    <w:p w14:paraId="19F8CC56">
      <w:pPr>
        <w:spacing w:line="440" w:lineRule="exact"/>
        <w:ind w:firstLine="420"/>
        <w:rPr>
          <w:rFonts w:hint="eastAsia" w:ascii="宋体" w:hAnsi="宋体"/>
          <w:sz w:val="24"/>
        </w:rPr>
      </w:pPr>
      <w:r>
        <w:rPr>
          <w:rFonts w:hint="eastAsia" w:ascii="宋体" w:hAnsi="宋体"/>
          <w:sz w:val="24"/>
        </w:rPr>
        <w:t>综合来看，长度偏差研究已经从“现象是否存在”推进到了“机制是什么”“如何矫正”的深化阶段，但对长度效应在控制任务属性与模型能力差异后的独立净效应，以及长度变量在偏好形成路径结构中所扮演角色（直接效应 vs. 间接中介 vs. 混淆代理）的系统分析，仍属研究前沿。</w:t>
      </w:r>
    </w:p>
    <w:p w14:paraId="2D3D6AF1">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30" w:name="_Toc17323"/>
      <w:r>
        <w:rPr>
          <w:rFonts w:hint="eastAsia" w:ascii="Times New Roman" w:hAnsi="Times New Roman" w:eastAsia="宋体" w:cs="Times New Roman"/>
          <w:sz w:val="24"/>
          <w:szCs w:val="24"/>
          <w:lang w:val="en-US" w:eastAsia="zh-CN"/>
        </w:rPr>
        <w:t>2.4 格式偏差的研究演进与格式特征分类</w:t>
      </w:r>
      <w:bookmarkEnd w:id="30"/>
    </w:p>
    <w:p w14:paraId="13DDB110">
      <w:pPr>
        <w:spacing w:line="440" w:lineRule="exact"/>
        <w:ind w:firstLine="420"/>
        <w:rPr>
          <w:rFonts w:hint="eastAsia" w:ascii="宋体" w:hAnsi="宋体"/>
          <w:sz w:val="24"/>
        </w:rPr>
      </w:pPr>
      <w:r>
        <w:rPr>
          <w:rFonts w:hint="eastAsia" w:ascii="宋体" w:hAnsi="宋体"/>
          <w:sz w:val="24"/>
        </w:rPr>
        <w:t>格式偏差的研究发展与长度偏差有相似的演进逻辑，但面临更为复杂的测量挑战：格式特征本身与长度、任务类型和模型风格高度耦合，若不加以区分，格式偏差研究很容易退化为长度偏差研究的另一种表述形式。</w:t>
      </w:r>
    </w:p>
    <w:p w14:paraId="34B86EC0">
      <w:pPr>
        <w:spacing w:line="440" w:lineRule="exact"/>
        <w:ind w:firstLine="420"/>
        <w:rPr>
          <w:rFonts w:hint="eastAsia" w:ascii="宋体" w:hAnsi="宋体"/>
          <w:sz w:val="24"/>
        </w:rPr>
      </w:pPr>
      <w:r>
        <w:t>核心概念：响应格式的分类学：所谓“响应格式”，在大语言模型输出语境下通常指 Markdown 语法元素，包括多级标题（、）、有序与无序列表（-、1.）、粗体、斜体、代码块以及 emoji 等视觉元素，这些元素的共同特征是在不直接改变文本信息内容的情况下，影响文本的视觉呈现与可读性组织。Do 等人的系统研究从操作层面对格式类型进行了规模化梳理，测试了多选、列表、映射等 15 种常用格式，在 8 类生成任务上均发现了显著的格式敏感性，ChatGPT 在不同格式间的性能方差最高达 235.33，经格式微调后可降至 0.71 以下[13]，说明格式不只是偏好偏差的来源，也是影响模型实际能力表现的系统性变量。</w:t>
      </w:r>
    </w:p>
    <w:p w14:paraId="3006ADA1">
      <w:pPr>
        <w:spacing w:line="440" w:lineRule="exact"/>
        <w:ind w:firstLine="420"/>
        <w:rPr>
          <w:rFonts w:hint="eastAsia" w:ascii="宋体" w:hAnsi="宋体"/>
          <w:sz w:val="24"/>
        </w:rPr>
      </w:pPr>
      <w:r>
        <w:t>偏差来源与传播路径：格式偏差的核心来源在于，格式化元素可以通过降低认知摩擦（如标题快速定向）和提升可信感（如分点作为“理性整理”的信号）来影响评价者判断，而不论其背后的内容质量如何。Zhang 等人的研究是这一领域的奠基性工作之一，他们通过数据注入实验证明，在去偏的偏好数据集中混入不足 1% 的格式偏置样本，即可通过迭代 DPO 和 PPO 训练在模型行为层面放大为显著的格式偏差[7]，这也说明偏好数据中的格式污染对下游训练有高度非线性放大效应，不能以“污染比例低”为由轻视。Park 等人则进一步揭示，当低质量回答采用更具修辞吸引力的格式时，评判模型的判断准确率会显著下降；在风格相似条件下则相对准确[8]——表明格式偏差的触发有条件性，在不同回答格式差异悬殊时才会系统性干扰判断，这为识别格式效应的边界提供了重要参照</w:t>
      </w:r>
    </w:p>
    <w:p w14:paraId="08FF20C5">
      <w:pPr>
        <w:spacing w:line="440" w:lineRule="exact"/>
        <w:ind w:firstLine="420"/>
        <w:rPr>
          <w:rFonts w:hint="eastAsia" w:ascii="宋体" w:hAnsi="宋体"/>
          <w:sz w:val="24"/>
        </w:rPr>
      </w:pPr>
      <w:r>
        <w:t>耦合问题与密度指标：格式偏差研究的核心方法论挑战，在于格式特征计数与文本长度之间的内在耦合。一篇更长的回答自然有更多空间容纳标题、列表和粗体标记，如果直接以绝对计数作为格式变量，那么“更多格式”几乎等价于“更长文本”，格式效应就会被长度效应完全混淆。为此，研究者普遍转向格式密度（Format Density）指标，即单位 token 数内的格式元素出现频率，将格式的“浓度”与“总量”加以区分，这一操作化转变是格式偏差从描述性研究推进到控制混淆后的稳健性分析的关键方法论步骤，也揭示了一个重要的研究预期：不同类型格式元素在密度分析下可能表现出截然不同的结论，部分格式的“优势”可能仅是长度扩张的伴生现象，而非独立偏好信号。从 NLP 模型对虚假相关性依赖的认知机制看，格式特征与偏好标签的耦合正是这类虚假相关性的典型体现[9]。</w:t>
      </w:r>
    </w:p>
    <w:p w14:paraId="4AA62009">
      <w:pPr>
        <w:spacing w:line="440" w:lineRule="exact"/>
        <w:ind w:firstLine="420"/>
        <w:rPr>
          <w:rFonts w:hint="eastAsia" w:ascii="宋体" w:hAnsi="宋体"/>
          <w:sz w:val="24"/>
        </w:rPr>
      </w:pPr>
      <w:r>
        <w:rPr>
          <w:rFonts w:hint="eastAsia" w:ascii="宋体" w:hAnsi="宋体"/>
          <w:sz w:val="24"/>
        </w:rPr>
        <w:t>多层结构问题：Gan 等人提出的 BiAxisAudit 框架揭示了格式偏差更深层的复杂性：偏差不仅存在于对两个回答的选择层面（即哪个被选中），也存在于对单一回答的展开层面（即如何组织语言来描述内容）；这两个层面的偏差方向甚至常常不一致，仅在选择层面测量的 RLHF 偏好数据可能系统性地遗漏只在展开层浮现的格式效应[16]。Koo 等人则从 LLM-as-a-Judge 角度系统测量了模型评价器的认知偏误，发现平均 40% 的比较判断存在偏误，人机偏好秩相关度均值仅为 44%[18]，说明格式偏差的感染范围不局限于人类标注，也延伸至模型评价链条。Ye 等人将格式冗余、谄媚性与顺从语气统一视为偏好奖励学习中的“捷径行为（shortcut behaviors）”，提出 PRISM 方法通过群不变核学习加以矫正[23]，为格式偏差的概念化提供了新的理论坐标——它不只是一个评测层面的技术问题，而是模型在偏好学习中对表层捷径的系统性依赖。</w:t>
      </w:r>
    </w:p>
    <w:p w14:paraId="3F366CE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31" w:name="_Toc11352"/>
      <w:r>
        <w:rPr>
          <w:rFonts w:hint="eastAsia" w:ascii="Times New Roman" w:hAnsi="Times New Roman" w:eastAsia="宋体" w:cs="Times New Roman"/>
          <w:sz w:val="24"/>
          <w:szCs w:val="24"/>
          <w:lang w:val="en-US" w:eastAsia="zh-CN"/>
        </w:rPr>
        <w:t>2.5 混淆控制与识别框架</w:t>
      </w:r>
      <w:bookmarkEnd w:id="31"/>
    </w:p>
    <w:p w14:paraId="499A0748">
      <w:pPr>
        <w:spacing w:line="440" w:lineRule="exact"/>
        <w:ind w:firstLine="420"/>
        <w:rPr>
          <w:rFonts w:hint="eastAsia" w:ascii="宋体" w:hAnsi="宋体"/>
          <w:sz w:val="24"/>
        </w:rPr>
      </w:pPr>
      <w:r>
        <w:t>长度偏差与格式偏差的研究面临一个共同的方法论障碍：原始相关性无法直接用来净效应推断。在真实偏好数据中，长度、格式与偏好结果之间的原始相关，往往被模型能力差异、任务类型分布和风格倾向等混淆变量所放大或扭曲，这样一来，识别形式特征的独立净效应，需要系统性的混淆控制策略与多框架验证逻辑。</w:t>
      </w:r>
    </w:p>
    <w:p w14:paraId="637D955C">
      <w:pPr>
        <w:spacing w:line="440" w:lineRule="exact"/>
        <w:ind w:firstLine="420"/>
        <w:rPr>
          <w:rFonts w:hint="eastAsia" w:ascii="宋体" w:hAnsi="宋体"/>
          <w:sz w:val="24"/>
        </w:rPr>
      </w:pPr>
      <w:r>
        <w:t>混淆问题的结构：在本文的研究语境中，混淆路径主要来源于三个维度，其一，模型能力差异（ability_diff）：能力更强的模型往往同时在内容质量和输出风格上占优，这使得“能力→回答更长或格式更好→更受偏好”构成了一条额外传导路径，混淆了长度与格式的独立效应，其二，冗长度风格（verbosity_diff）：不同模型有内在不同的输出长度倾向，这种训练先验会系统性影响长度差的分布，如不加控制，长度净效应估计就会偏高，其三，任务类型（category tags）：代码、数学、创意写作等不同任务对回答长度的客观需求存在显著差异，如果任务类型分布不均衡，粗长度效应就会受到任务结构的额外影响。</w:t>
      </w:r>
    </w:p>
    <w:p w14:paraId="6BB53AE2">
      <w:pPr>
        <w:spacing w:line="440" w:lineRule="exact"/>
        <w:ind w:firstLine="420"/>
        <w:rPr>
          <w:rFonts w:hint="eastAsia" w:ascii="宋体" w:hAnsi="宋体"/>
          <w:sz w:val="24"/>
        </w:rPr>
      </w:pPr>
      <w:r>
        <w:t>嵌套回归：分层衰减设计：逻辑回归（logistic regression）是控制混淆、识别净效应的基础工具。在本文中，嵌套逻辑回归的核心设计思路是“分层推进而非一次性控制”：先建立仅含核心解释变量的粗模型（M0/F0），再分层加入任务类型（M1/F1）、质量维度（M2/F2）、模型能力与风格代理变量（M3/F3），观察核心系数（OR）在层层控制中如何变化，这一设计的意义不只在于给出最终净效应数字，更在于记录混淆去除的过程——某个偏好效应被控制变量解释掉多少，直接提供了“原始相关中有多少是虚假的混淆贡献”的测量依据。</w:t>
      </w:r>
    </w:p>
    <w:p w14:paraId="4FDC2947">
      <w:pPr>
        <w:spacing w:line="440" w:lineRule="exact"/>
        <w:ind w:firstLine="420"/>
        <w:rPr>
          <w:rFonts w:hint="eastAsia" w:ascii="宋体" w:hAnsi="宋体"/>
          <w:sz w:val="24"/>
        </w:rPr>
      </w:pPr>
      <w:r>
        <w:rPr>
          <w:rFonts w:hint="eastAsia" w:ascii="宋体" w:hAnsi="宋体"/>
          <w:sz w:val="24"/>
        </w:rPr>
        <w:t>逆概率加权（IPW）：伪总体构造：倾向得分（Propensity Score）方法是观测研究中模拟随机化的核心手段之一。逆概率加权（Inverse Probability Weighting，IPW）通过为每个观测单元分配与其倾向得分成反比的权重，构造一个对观测协变量分布更均衡的“伪总体”，从而在无法进行实验随机分配的条件下，获得更接近准因果视角的平均处理效应估计（Average Treatment Effect，ATE）。稳定化权重（stabilized weights）可防止少数极端倾向得分个体主导结果；有效样本量（ESS）则作为权重分布是否合理的诊断指标。</w:t>
      </w:r>
    </w:p>
    <w:p w14:paraId="2A63E41C">
      <w:pPr>
        <w:spacing w:line="440" w:lineRule="exact"/>
        <w:ind w:firstLine="420"/>
        <w:rPr>
          <w:rFonts w:hint="eastAsia" w:ascii="宋体" w:hAnsi="宋体"/>
          <w:sz w:val="24"/>
        </w:rPr>
      </w:pPr>
      <w:r>
        <w:rPr>
          <w:rFonts w:hint="eastAsia" w:ascii="宋体" w:hAnsi="宋体"/>
          <w:sz w:val="24"/>
        </w:rPr>
        <w:t>倾向得分匹配（PSM）：可比样本构造：与 IPW 不同，倾向得分匹配（Propensity Score Matching，PSM）通过为每个处理组样本找到倾向得分相近的对照组样本，直接构造可比样本对，再在这些更可比的样本上估计处理效应。1:1 最近邻匹配结合 caliper 约束（即限制最大匹配距离），既保留样本规模，也提高每对匹配的可比性。标准化均值差（Standardized Mean Difference，SMD）是判断匹配质量的核心指标——它衡量处理组与对照组在每个控制变量上的分布差异，不依赖样本量，能直接反映协变量均衡程度。本文把“匹配前后 mean|SMD| 显著下降”与“匹配后效应仍成立”视为联合稳健性证据。</w:t>
      </w:r>
    </w:p>
    <w:p w14:paraId="29CFB284">
      <w:pPr>
        <w:spacing w:line="440" w:lineRule="exact"/>
        <w:ind w:firstLine="420"/>
        <w:rPr>
          <w:rFonts w:hint="eastAsia" w:ascii="宋体" w:hAnsi="宋体"/>
          <w:sz w:val="24"/>
        </w:rPr>
      </w:pPr>
      <w:r>
        <w:t>结构方程模型（SEM）：路径机制分解：上述方法主要解决“偏好效应是否真实存在”的问题，而结构方程模型（Structural Equation Modeling，SEM）的引入，是为了进一步回答“这些效应如何进入偏好判断”。SEM 允许同时建模多条直接效应路径与通过路径层变量的间接传导关系，并在统一框架下分解总效应的来源。本文使用的是观测变量路径模型，而非潜变量测量模型，即所有变量均为可直接测量的观测量，不假设存在隐含因子。路径方向的设定基于前序分析的理论预期：能力差与风格差作为外生变量影响长度与格式特征，长度差与格式密度差作为路径层变量影响最终偏好。Bootstrap 区间用来对间接效应乘积的非对称分布进行鲁棒推断。需要特别指出的是，SEM 路径解释的边界是“理论一致、统计上可支持的传导结构”，而非严格实验意义上的因果定论。</w:t>
      </w:r>
    </w:p>
    <w:p w14:paraId="26B0CEA8">
      <w:pPr>
        <w:spacing w:line="440" w:lineRule="exact"/>
        <w:ind w:firstLine="420"/>
        <w:rPr>
          <w:rFonts w:hint="eastAsia" w:ascii="宋体" w:hAnsi="宋体"/>
          <w:sz w:val="24"/>
        </w:rPr>
      </w:pPr>
      <w:r>
        <w:t>多框架稳健性逻辑：本文将嵌套逻辑回归、IPW、PSM 和 SEM 置于同一分析链而非孤立使用，背后是一种“多框架交叉验证”的稳健性逻辑：若某一偏好效应在多种方法论假设下（参数回归 vs. 重加权 vs. 匹配 vs. 路径分析）均保持一致，则可认为该效应对单一方法的设定假设不敏感，有更强的结论可信度。反之，若某效应仅在特定方法框架下显现，则需要对其可靠性保持审慎。</w:t>
      </w:r>
    </w:p>
    <w:p w14:paraId="69ACA63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2" w:name="_Toc13746"/>
      <w:r>
        <w:rPr>
          <w:rFonts w:hint="eastAsia" w:ascii="Times New Roman" w:hAnsi="Times New Roman" w:eastAsia="宋体" w:cs="Times New Roman"/>
          <w:sz w:val="24"/>
          <w:szCs w:val="24"/>
          <w:lang w:val="en-US" w:eastAsia="zh-CN"/>
        </w:rPr>
        <w:t>2.6 理论分析框架与研究假设</w:t>
      </w:r>
      <w:bookmarkEnd w:id="32"/>
    </w:p>
    <w:p w14:paraId="7332F119">
      <w:pPr>
        <w:ind w:firstLine="420" w:firstLineChars="0"/>
      </w:pPr>
      <w:r>
        <w:t>综合前述文献脉络与方法论讨论，本文将偏好形成过程概括为“任务与模型差异—表层形式特征—偏好结果”的三层结构。外生层包括任务类型、质量维度、模型能力差与风格差；路径层包括长度差、标题密度差、粗体密度差，并将列表密度保留为敏感性变量；结果层为 winner_a，该框架既承认任务 需求与模型差异会影响回答形式，也检验形式特征在控制前者之后是否仍保留独立贡献。</w:t>
      </w:r>
    </w:p>
    <w:p w14:paraId="25514A9C">
      <w:r>
        <w:t>在这一框架下，H1 对应长度偏好的存在性，H2 对应格式效应内部的分化，H3 对应控制混淆后的净效应保留，H4 对应路径层面的机制解释。本文后续章节将按“先确认现象，再识别净效应，再讨论路径”的顺序依次展开。</w:t>
      </w:r>
    </w:p>
    <w:p w14:paraId="6A0FC3B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3" w:name="_Toc12983"/>
      <w:r>
        <w:rPr>
          <w:rFonts w:hint="eastAsia" w:ascii="Times New Roman" w:hAnsi="Times New Roman" w:eastAsia="宋体" w:cs="Times New Roman"/>
          <w:sz w:val="24"/>
          <w:szCs w:val="24"/>
          <w:lang w:val="en-US" w:eastAsia="zh-CN"/>
        </w:rPr>
        <w:t>2.7 本章小结</w:t>
      </w:r>
      <w:bookmarkEnd w:id="33"/>
    </w:p>
    <w:p w14:paraId="6737F332">
      <w:pPr>
        <w:spacing w:line="440" w:lineRule="exact"/>
        <w:ind w:firstLine="420" w:firstLineChars="0"/>
        <w:rPr>
          <w:rFonts w:hint="eastAsia" w:ascii="宋体" w:hAnsi="宋体"/>
          <w:sz w:val="24"/>
        </w:rPr>
      </w:pPr>
      <w:r>
        <w:t>本章从偏好比较数据的功能定位出发，界定了表层形式偏差的概念内涵与认知成因，按研究发展脉络分别梳理了长度偏差与格式偏差的现象发现、机制溯源、效应分解和矫正方法演进历程，并系统介绍了本文分析链所依托的混淆控制与净效应识别方法论原理，在这个基础上，本研究在理论分析框架下提出了四个递进研究假设，分别对应偏好存在性、格式分化性、净效应保留性和路径机制性四个研究维度。本章所构建的概念框架与方法论基础，构成了后续各章数据处理、变量构造、统计检验与机制探索的共同理论起点。</w:t>
      </w:r>
    </w:p>
    <w:p w14:paraId="096B0DC6">
      <w:pPr>
        <w:rPr>
          <w:rFonts w:hint="eastAsia"/>
        </w:rPr>
      </w:pPr>
      <w:bookmarkStart w:id="34" w:name="_Toc230016176"/>
      <w:r>
        <w:rPr>
          <w:rFonts w:hint="eastAsia"/>
        </w:rPr>
        <w:br w:type="page"/>
      </w:r>
    </w:p>
    <w:p w14:paraId="3138A68B">
      <w:pPr>
        <w:pStyle w:val="2"/>
      </w:pPr>
      <w:bookmarkStart w:id="35" w:name="_Toc1760"/>
      <w:r>
        <w:rPr>
          <w:rFonts w:hint="eastAsia"/>
        </w:rPr>
        <w:t>第三章 数据来源与预处理</w:t>
      </w:r>
      <w:bookmarkEnd w:id="34"/>
      <w:bookmarkEnd w:id="35"/>
    </w:p>
    <w:p w14:paraId="2AB35EA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default" w:ascii="Times New Roman" w:hAnsi="Times New Roman" w:eastAsia="宋体" w:cs="Times New Roman"/>
          <w:sz w:val="24"/>
          <w:szCs w:val="24"/>
          <w:lang w:val="en-US" w:eastAsia="zh-CN"/>
        </w:rPr>
      </w:pPr>
      <w:bookmarkStart w:id="36" w:name="_Toc9581"/>
      <w:r>
        <w:rPr>
          <w:rFonts w:hint="eastAsia" w:ascii="Times New Roman" w:hAnsi="Times New Roman" w:eastAsia="宋体" w:cs="Times New Roman"/>
          <w:sz w:val="24"/>
          <w:szCs w:val="24"/>
          <w:lang w:val="en-US" w:eastAsia="zh-CN"/>
        </w:rPr>
        <w:t>3.1 数据来源与原始结构</w:t>
      </w:r>
      <w:bookmarkEnd w:id="36"/>
    </w:p>
    <w:p w14:paraId="7C191BBD">
      <w:pPr>
        <w:spacing w:line="440" w:lineRule="exact"/>
        <w:ind w:firstLine="420"/>
        <w:rPr>
          <w:rFonts w:hint="eastAsia"/>
        </w:rPr>
      </w:pPr>
      <w:r>
        <w:t>本文使用了的数据来自 LMArena 人类偏好数据，呈现为成对比较记录。</w:t>
      </w:r>
    </w:p>
    <w:p w14:paraId="2528C2FF">
      <w:pPr>
        <w:spacing w:line="440" w:lineRule="exact"/>
        <w:ind w:firstLine="420" w:firstLineChars="0"/>
        <w:rPr>
          <w:rFonts w:hint="eastAsia" w:eastAsia="宋体"/>
          <w:lang w:eastAsia="zh-CN"/>
        </w:rPr>
      </w:pPr>
      <w:r>
        <w:t>原始数据以 7 个 parquet 分片形式存储，文件名为 train-00000-of-00007 至 train-00006-of-00007。将 7 个分片统一整合后，共得到 135,634 条记录、14 个顶层字段，覆盖 53 个参与比较的模型。项目早期就对分片完整性进行审计，结果发现同一 evaluation_session_id 会跨文件重复出现，这也说明原始分片只是存储切分，而不是会话边界上的自然切分；这样一来，若不先整合成统一总表，就无法正确识别同一会话内部的评价次序与上下文关系。</w:t>
      </w:r>
    </w:p>
    <w:p w14:paraId="0F5988A3">
      <w:pPr>
        <w:spacing w:line="440" w:lineRule="exact"/>
        <w:ind w:firstLine="420" w:firstLineChars="0"/>
        <w:rPr>
          <w:rFonts w:hint="eastAsia" w:eastAsia="宋体"/>
          <w:lang w:eastAsia="zh-CN"/>
        </w:rPr>
      </w:pPr>
      <w:r>
        <w:t>从字段构成看，原始数据的 14 个顶层字段分别为 id、model_a、model_b、winner、evaluation_session_id、evaluation_order、conversation_a、conversation_b、full_conversation、conv_metadata、category_tag、language、is_code 和 timestamp。它们大体可以分为四类：第一类是比较识别字段，包括样本 id、模型 A/B 名称以及 winner，用来指明一条偏好比较记录的基本对象和胜负结果；第二类是会话定位字段，包括 evaluation_session_id 与 evaluation_order，用来表征该条比较位于哪一个用户会话及该会话中的第几轮评价；第三类是对话主体字段，即 conversation_a、conversation_b 与 full_conversation，用来保存用户与两个候选回答之间的实际对话内容；第四类是辅助元数据字段，包括 conv_metadata、category_tag、language、is_code 与 timestamp，用来提供 token 汇总、任务标签、语言标记、代码任务标记和时间信息，这种结构说明，原始数据并不是一个只包含“提示词 + 两个回答 + 胜者”的极简成对样本表，而是把比较行为嵌入在更完整的交互上下文中。</w:t>
      </w:r>
    </w:p>
    <w:p w14:paraId="58E296F3">
      <w:pPr>
        <w:spacing w:line="440" w:lineRule="exact"/>
        <w:ind w:firstLine="420" w:firstLineChars="0"/>
        <w:rPr>
          <w:rFonts w:hint="eastAsia" w:eastAsia="宋体"/>
          <w:lang w:eastAsia="zh-CN"/>
        </w:rPr>
      </w:pPr>
      <w:r>
        <w:t>进一步看对话结构，conversation_a 与 conversation_b 均不是单个字符串，而是列表形式的消息序列。审计结果显示，两侧 role 都只有 user 与 assistant 两种取值，且各自都累计出现 171,054 次，合计形成 342,108 个 segment。每个 segment 内部又包含 content 子结构；从实际分布看，绝大多数 content 长度均为 1，次级字段几乎统一表现为 type="text" 与 text，这也说明原始数据本质上是文本对话记录，而非图文混合或多模态数据。conversation_a 中仅有 109 个 segment 的 content 为空，conversation_b 中为空的 segment 为 91 个，总体占比很低，但这些异常值若不清理，仍会影响后续文本长度和格式统计的稳定性。更重要的是，conversation_a 与 conversation_b 各自保留了同一轮比较下的完整对话链，这也说明模型 A 与模型 B 并不是只提供一个独立回答，而是在共享用户输入轨迹的基础上，分别形成了各自的回答路径。</w:t>
      </w:r>
    </w:p>
    <w:p w14:paraId="5835BDBF">
      <w:pPr>
        <w:spacing w:line="440" w:lineRule="exact"/>
        <w:ind w:firstLine="420" w:firstLineChars="0"/>
        <w:rPr>
          <w:rFonts w:hint="eastAsia" w:eastAsia="宋体"/>
          <w:lang w:eastAsia="zh-CN"/>
        </w:rPr>
      </w:pPr>
      <w:r>
        <w:t>从层级关系上看，原始数据呈现出明显的 Session、Order、Turn 三级嵌套结构。evaluation_session_id 的唯一值总数为 115,372，其中有 13,206 个 session 出现了不止一次，涉及 33,468 行记录，占总样本的 24.68%，说明相当一部分用户会话包含多轮评价。进一步看 evaluation_order，该字段共有 28 个不同取值，其中 order=1 的记录为 108,315 行，order=2 为 15,972 行，之后随轮次升高快速递减，最高达到 28，也就是说，一行数据并不等于“一个独立问题的一次性比较”，而更接近于“某个会话中某一轮 order 上的一次双回答偏好判断”；在每个 order 内部，conversation_a 与 conversation_b 又继续按 turn 展开为 user/assistant 交替消息。正因为原始研究对象有这种分层嵌套特征，后续分析如果直接把整表视为平铺样本，就会把会话级历史、order 级比较与 turn 级文本混杂在一起，导致变量口径失真。</w:t>
      </w:r>
    </w:p>
    <w:p w14:paraId="78CE0E44">
      <w:pPr>
        <w:spacing w:line="440" w:lineRule="exact"/>
        <w:ind w:firstLine="420" w:firstLineChars="0"/>
        <w:rPr>
          <w:rFonts w:hint="eastAsia" w:eastAsia="宋体"/>
          <w:lang w:eastAsia="zh-CN"/>
        </w:rPr>
      </w:pPr>
      <w:r>
        <w:t>除对话字段外，conv_metadata 与 category_tag 是原始数据最关键的两个结构化辅助字段。conv_metadata 在 135,634 行中无一缺失，至少稳定包含 sum_assistant_a_tokens、sum_assistant_b_tokens、sum_user_tokens、context_a_tokens 与 context_b_tokens 五类 token 汇总信息，为后续长度变量构造提供了原始来源。category_tag 同样在整表中保持稳定字典结构，内部包含 creative_writing_v0.1、if_v0.1、math_v0.1 以及 criteria_v0.1 等子模块，可同时提供任务标签与七个质量维度标签；同时，顶层 language 字段共有 126 种取值，is_code=True 的记录有 39,363 行，说明该数据集在语言和任务类型上都有较强异质性。总体而言，原始数据并不是一个已经“天然适合回归分析”的整洁表，而是一个保留了真实平台交互痕迹的层级化比较数据对象。第三章后续所有清洗、重组与变量派生工作，正是为了把这一复杂结构转换为口径一致、可统计建模的研究样本。</w:t>
      </w:r>
    </w:p>
    <w:p w14:paraId="3FBF4F63">
      <w:pPr>
        <w:spacing w:line="240" w:lineRule="auto"/>
        <w:rPr>
          <w:rFonts w:hint="eastAsia" w:eastAsia="宋体"/>
          <w:lang w:eastAsia="zh-CN"/>
        </w:rPr>
      </w:pPr>
      <w:r>
        <w:rPr>
          <w:rFonts w:hint="eastAsia" w:eastAsia="宋体"/>
          <w:lang w:eastAsia="zh-CN"/>
        </w:rPr>
        <w:drawing>
          <wp:inline distT="0" distB="0" distL="114300" distR="114300">
            <wp:extent cx="5923280" cy="5335905"/>
            <wp:effectExtent l="0" t="0" r="5080" b="13335"/>
            <wp:docPr id="7" name="图片 7" descr="P01_original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01_original_structure"/>
                    <pic:cNvPicPr>
                      <a:picLocks noChangeAspect="1"/>
                    </pic:cNvPicPr>
                  </pic:nvPicPr>
                  <pic:blipFill>
                    <a:blip r:embed="rId11"/>
                    <a:stretch>
                      <a:fillRect/>
                    </a:stretch>
                  </pic:blipFill>
                  <pic:spPr>
                    <a:xfrm>
                      <a:off x="0" y="0"/>
                      <a:ext cx="5923280" cy="5335905"/>
                    </a:xfrm>
                    <a:prstGeom prst="rect">
                      <a:avLst/>
                    </a:prstGeom>
                  </pic:spPr>
                </pic:pic>
              </a:graphicData>
            </a:graphic>
          </wp:inline>
        </w:drawing>
      </w:r>
    </w:p>
    <w:p w14:paraId="2508EB12">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 xml:space="preserve">图 </w:t>
      </w:r>
      <w:r>
        <w:rPr>
          <w:rFonts w:hint="eastAsia" w:ascii="黑体" w:hAnsi="黑体" w:cs="黑体"/>
          <w:sz w:val="16"/>
          <w:szCs w:val="16"/>
          <w:lang w:val="en-US" w:eastAsia="zh-CN"/>
        </w:rPr>
        <w:t>3</w:t>
      </w:r>
      <w:r>
        <w:rPr>
          <w:rFonts w:hint="eastAsia" w:ascii="黑体" w:hAnsi="黑体" w:eastAsia="黑体" w:cs="黑体"/>
          <w:sz w:val="16"/>
          <w:szCs w:val="16"/>
          <w:lang w:eastAsia="zh-CN"/>
        </w:rPr>
        <w:t>-1 原始数据结构图</w:t>
      </w:r>
    </w:p>
    <w:p w14:paraId="107BF661">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7" w:name="_Toc17047"/>
      <w:r>
        <w:rPr>
          <w:rFonts w:hint="eastAsia" w:ascii="Times New Roman" w:hAnsi="Times New Roman" w:eastAsia="宋体" w:cs="Times New Roman"/>
          <w:sz w:val="24"/>
          <w:szCs w:val="24"/>
          <w:lang w:val="en-US" w:eastAsia="zh-CN"/>
        </w:rPr>
        <w:t>3.2 数据审计与清洗规则</w:t>
      </w:r>
      <w:bookmarkEnd w:id="37"/>
    </w:p>
    <w:p w14:paraId="27CEF5E0">
      <w:pPr>
        <w:spacing w:line="440" w:lineRule="exact"/>
        <w:ind w:firstLine="420"/>
        <w:rPr>
          <w:rFonts w:hint="eastAsia"/>
        </w:rPr>
      </w:pPr>
      <w:r>
        <w:t>在字段摸底阶段，本文重点检查了评价轮次与 token 汇总字段之间的对应关系。审计结果显示，conv_metadata 中的 sum_user_tokens 在首轮评价时能够准确对应当前轮次 user 消息的 token 总和，但在高阶 order 中开始累计此前会话历史，从而不再表示当前比较单元的真实输入长度。由于长度变量是本研究的核心解释变量之一，这种口径漂移会直接破坏测量一致性。</w:t>
      </w:r>
    </w:p>
    <w:p w14:paraId="1937FCF3">
      <w:pPr>
        <w:spacing w:line="440" w:lineRule="exact"/>
        <w:ind w:firstLine="420"/>
        <w:rPr>
          <w:rFonts w:hint="eastAsia"/>
        </w:rPr>
      </w:pPr>
      <w:r>
        <w:t>这样一来，仅保留 evaluation_order = 1 并不是经验性删样，而是基于测量效度作出的方法学决策；先看一致性审计表明，order = 1 的 108,315 条记录中，sum_user_tokens 与当前轮次 user 消息 token 总和完全一致；而 order &gt; 1 的 27,319 条记录全部发生失配，说明高阶轮次的汇总字段已经掺入会话历史。</w:t>
      </w:r>
    </w:p>
    <w:p w14:paraId="2E9843F3">
      <w:r>
        <w:t>二是，污染有明确的量级扩张特征。sum_user_tokens 的均值从 order = 1 的 138.68 tokens 上升到 order = 2 的 210.18 和 order = 3 的 300.31；但对应当前轮次 user token 的均值仅为 138.68、84.29 和 90.88，意味着高阶 order 的汇总字段相对当前轮次分别膨胀至 2.49 倍和 3.30 倍。全样本中，evaluation_order 与 sum_user_tokens 的 Pearson 相关为 0.1391（p &lt; 0.001）；接着看这种污染并不是零星异常，而是与轮次口径系统绑定：order &gt; 1 记录的失配率为 100%，order = 1 记录的失配率为 0%。</w:t>
      </w:r>
    </w:p>
    <w:p w14:paraId="152B98B8">
      <w:pPr>
        <w:pStyle w:val="3"/>
      </w:pPr>
      <w:bookmarkStart w:id="38" w:name="_Toc25297"/>
      <w:r>
        <w:t>3.3 优化主表构建与样本筛选</w:t>
      </w:r>
      <w:bookmarkEnd w:id="38"/>
    </w:p>
    <w:p w14:paraId="4F228C1A">
      <w:pPr>
        <w:spacing w:line="440" w:lineRule="exact"/>
        <w:ind w:firstLine="420"/>
        <w:rPr>
          <w:rFonts w:hint="eastAsia"/>
        </w:rPr>
      </w:pPr>
      <w:r>
        <w:t>在前面的基础上审计，本文在整合后的 135,634 条记录中最终保留 108,171 条，过滤 27,463 条，保留率为 79.75%，其中，evaluation_order &gt; 1 的污染样本为 27,319 条，是最主要的过滤来源；其余过滤原因包括空内容、语言异常和关键标签缺失。清洗后的主表采用 nested schema，而非早期扁平化的宽表组织方式。具体而言，对话文本被整理为 conv_a、conv_b、conv_user，token 与格式统计被整理为 metadata_a、metadata_b、metadata_user，任务标签和质量维度则分别整理为 category_tag 与 criteria。</w:t>
      </w:r>
    </w:p>
    <w:p w14:paraId="1548848F">
      <w:pPr>
        <w:spacing w:line="240" w:lineRule="auto"/>
        <w:rPr>
          <w:rFonts w:hint="eastAsia" w:eastAsia="宋体"/>
          <w:lang w:eastAsia="zh-CN"/>
        </w:rPr>
      </w:pPr>
      <w:r>
        <w:rPr>
          <w:rFonts w:hint="eastAsia" w:eastAsia="宋体"/>
          <w:lang w:eastAsia="zh-CN"/>
        </w:rPr>
        <w:drawing>
          <wp:inline distT="0" distB="0" distL="114300" distR="114300">
            <wp:extent cx="5932805" cy="5206365"/>
            <wp:effectExtent l="0" t="0" r="10795" b="5715"/>
            <wp:docPr id="4" name="图片 4" descr="P03_optimized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03_optimized_structure"/>
                    <pic:cNvPicPr>
                      <a:picLocks noChangeAspect="1"/>
                    </pic:cNvPicPr>
                  </pic:nvPicPr>
                  <pic:blipFill>
                    <a:blip r:embed="rId12"/>
                    <a:stretch>
                      <a:fillRect/>
                    </a:stretch>
                  </pic:blipFill>
                  <pic:spPr>
                    <a:xfrm>
                      <a:off x="0" y="0"/>
                      <a:ext cx="5932805" cy="5206365"/>
                    </a:xfrm>
                    <a:prstGeom prst="rect">
                      <a:avLst/>
                    </a:prstGeom>
                  </pic:spPr>
                </pic:pic>
              </a:graphicData>
            </a:graphic>
          </wp:inline>
        </w:drawing>
      </w:r>
    </w:p>
    <w:p w14:paraId="0D1EEC41">
      <w:pPr>
        <w:pStyle w:val="5"/>
        <w:spacing w:line="240" w:lineRule="auto"/>
        <w:jc w:val="center"/>
        <w:rPr>
          <w:rFonts w:hint="default" w:ascii="黑体" w:hAnsi="黑体" w:eastAsia="黑体" w:cs="黑体"/>
          <w:sz w:val="16"/>
          <w:szCs w:val="16"/>
          <w:lang w:val="en-US" w:eastAsia="zh-CN"/>
        </w:rPr>
      </w:pPr>
      <w:r>
        <w:rPr>
          <w:rFonts w:hint="eastAsia" w:ascii="黑体" w:hAnsi="黑体" w:eastAsia="黑体" w:cs="黑体"/>
          <w:sz w:val="16"/>
          <w:szCs w:val="16"/>
        </w:rPr>
        <w:t xml:space="preserve">图 </w:t>
      </w:r>
      <w:r>
        <w:rPr>
          <w:rFonts w:hint="eastAsia" w:ascii="黑体" w:hAnsi="黑体" w:cs="黑体"/>
          <w:sz w:val="16"/>
          <w:szCs w:val="16"/>
          <w:lang w:val="en-US" w:eastAsia="zh-CN"/>
        </w:rPr>
        <w:t>3</w:t>
      </w:r>
      <w:r>
        <w:rPr>
          <w:rFonts w:hint="eastAsia" w:ascii="黑体" w:hAnsi="黑体" w:eastAsia="黑体" w:cs="黑体"/>
          <w:sz w:val="16"/>
          <w:szCs w:val="16"/>
        </w:rPr>
        <w:t>-</w:t>
      </w:r>
      <w:r>
        <w:rPr>
          <w:rFonts w:hint="eastAsia" w:ascii="黑体" w:hAnsi="黑体" w:cs="黑体"/>
          <w:sz w:val="16"/>
          <w:szCs w:val="16"/>
          <w:lang w:val="en-US" w:eastAsia="zh-CN"/>
        </w:rPr>
        <w:t>2 优化数据结构图</w:t>
      </w:r>
    </w:p>
    <w:p w14:paraId="0205CF8A">
      <w:pPr>
        <w:pStyle w:val="5"/>
      </w:pPr>
      <w:r>
        <w:t>表 3-1 样本筛选流程汇总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5"/>
        <w:gridCol w:w="3187"/>
        <w:gridCol w:w="3188"/>
      </w:tblGrid>
      <w:tr w14:paraId="3E50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BCF979F">
            <w:r>
              <w:rPr>
                <w:b/>
              </w:rPr>
              <w:t>阶段</w:t>
            </w:r>
          </w:p>
        </w:tc>
        <w:tc>
          <w:tcPr>
            <w:tcW w:w="3213" w:type="dxa"/>
          </w:tcPr>
          <w:p w14:paraId="5F116E95">
            <w:r>
              <w:rPr>
                <w:b/>
              </w:rPr>
              <w:t>样本量</w:t>
            </w:r>
          </w:p>
        </w:tc>
        <w:tc>
          <w:tcPr>
            <w:tcW w:w="3213" w:type="dxa"/>
          </w:tcPr>
          <w:p w14:paraId="5ED36F89">
            <w:r>
              <w:rPr>
                <w:b/>
              </w:rPr>
              <w:t>说明</w:t>
            </w:r>
          </w:p>
        </w:tc>
      </w:tr>
      <w:tr w14:paraId="407B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8AB99DD">
            <w:r>
              <w:t>原始整合记录</w:t>
            </w:r>
          </w:p>
        </w:tc>
        <w:tc>
          <w:tcPr>
            <w:tcW w:w="3213" w:type="dxa"/>
          </w:tcPr>
          <w:p w14:paraId="0F26E657">
            <w:r>
              <w:t>135,634</w:t>
            </w:r>
          </w:p>
        </w:tc>
        <w:tc>
          <w:tcPr>
            <w:tcW w:w="3213" w:type="dxa"/>
          </w:tcPr>
          <w:p w14:paraId="47FD4490">
            <w:r>
              <w:t>七个 parquet 分片合并后的总样本</w:t>
            </w:r>
          </w:p>
        </w:tc>
      </w:tr>
      <w:tr w14:paraId="321B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087B04">
            <w:r>
              <w:t>保留 evaluation_order = 1</w:t>
            </w:r>
          </w:p>
        </w:tc>
        <w:tc>
          <w:tcPr>
            <w:tcW w:w="3213" w:type="dxa"/>
          </w:tcPr>
          <w:p w14:paraId="50EA2DE8">
            <w:r>
              <w:t>108,315</w:t>
            </w:r>
          </w:p>
        </w:tc>
        <w:tc>
          <w:tcPr>
            <w:tcW w:w="3213" w:type="dxa"/>
          </w:tcPr>
          <w:p w14:paraId="244E4C21">
            <w:r>
              <w:t>剔除高阶轮次造成的长度口径污染</w:t>
            </w:r>
          </w:p>
        </w:tc>
      </w:tr>
      <w:tr w14:paraId="5A0C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D22D2E3">
            <w:r>
              <w:t>清洗后优化主表</w:t>
            </w:r>
          </w:p>
        </w:tc>
        <w:tc>
          <w:tcPr>
            <w:tcW w:w="3213" w:type="dxa"/>
          </w:tcPr>
          <w:p w14:paraId="7B50BD8D">
            <w:r>
              <w:t>108,171</w:t>
            </w:r>
          </w:p>
        </w:tc>
        <w:tc>
          <w:tcPr>
            <w:tcW w:w="3213" w:type="dxa"/>
          </w:tcPr>
          <w:p w14:paraId="5CB231D0">
            <w:r>
              <w:t>进一步剔除空内容、语言异常和关键标签缺失</w:t>
            </w:r>
          </w:p>
        </w:tc>
      </w:tr>
      <w:tr w14:paraId="33EB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17B9C0F">
            <w:r>
              <w:t>偏好方向分析样本</w:t>
            </w:r>
          </w:p>
        </w:tc>
        <w:tc>
          <w:tcPr>
            <w:tcW w:w="3213" w:type="dxa"/>
          </w:tcPr>
          <w:p w14:paraId="45B0C9FF">
            <w:r>
              <w:t>78,970</w:t>
            </w:r>
          </w:p>
        </w:tc>
        <w:tc>
          <w:tcPr>
            <w:tcW w:w="3213" w:type="dxa"/>
          </w:tcPr>
          <w:p w14:paraId="64B765BD">
            <w:r>
              <w:t>排除 tie 与 both_bad 后的有效配对</w:t>
            </w:r>
          </w:p>
        </w:tc>
      </w:tr>
    </w:tbl>
    <w:p w14:paraId="195C4324">
      <w:r>
        <w:t>注：表 3-1 中的样本筛选顺序依次为轮次过滤、内容清洗与胜负标签过滤。最关键的口径判断是：27,319 条 evaluation_order &gt; 1 记录全部存在 sum_user_tokens 与当前轮次 user token 总和不一致的问题，因而不宜继续作为长度分析样本使用。</w:t>
      </w:r>
    </w:p>
    <w:p w14:paraId="505A6D43">
      <w:pPr>
        <w:spacing w:line="440" w:lineRule="exact"/>
        <w:ind w:firstLine="420"/>
        <w:rPr>
          <w:rFonts w:hint="eastAsia"/>
        </w:rPr>
      </w:pPr>
      <w:r>
        <w:t>这种结构调整有两个好处；先看主表只保留稳定的顶层字段，把长度差、格式密度差等分析列留到下游按需派生，避免主表被脚本级临时变量不断污染；再看nested schema 使会话对象、回答对象和标签对象之间的边界更清晰，便于后续脚本共享同一套访问口径。</w:t>
      </w:r>
    </w:p>
    <w:p w14:paraId="7F80359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9" w:name="_Toc13421"/>
      <w:r>
        <w:rPr>
          <w:rFonts w:hint="eastAsia" w:ascii="Times New Roman" w:hAnsi="Times New Roman" w:eastAsia="宋体" w:cs="Times New Roman"/>
          <w:sz w:val="24"/>
          <w:szCs w:val="24"/>
          <w:lang w:val="en-US" w:eastAsia="zh-CN"/>
        </w:rPr>
        <w:t>3.4 任务子集划分</w:t>
      </w:r>
      <w:bookmarkEnd w:id="39"/>
    </w:p>
    <w:p w14:paraId="23852C6F">
      <w:pPr>
        <w:spacing w:line="440" w:lineRule="exact"/>
        <w:ind w:firstLine="420"/>
        <w:rPr>
          <w:rFonts w:hint="eastAsia"/>
        </w:rPr>
      </w:pPr>
      <w:r>
        <w:t>在优化主表基础上，本文还进一步划分出 20 个任务子集，包括 4 个可重叠的单类子集和 16 个互斥纯净分区。四类布尔任务标签分别为 creative_writing、if、math、code，这样的设计允许本研究同时从两个层面观察偏好差异：一方面，通过单类子集观察某一任务属性出现时的总体模式；另一方面，通过纯净分区更严格地比较不同任务组合下的异质性表现。</w:t>
      </w:r>
    </w:p>
    <w:p w14:paraId="117089D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0" w:name="_Toc7278"/>
      <w:r>
        <w:rPr>
          <w:rFonts w:hint="eastAsia" w:ascii="Times New Roman" w:hAnsi="Times New Roman" w:eastAsia="宋体" w:cs="Times New Roman"/>
          <w:sz w:val="24"/>
          <w:szCs w:val="24"/>
          <w:lang w:val="en-US" w:eastAsia="zh-CN"/>
        </w:rPr>
        <w:t>3.5 本章小结</w:t>
      </w:r>
      <w:bookmarkEnd w:id="40"/>
    </w:p>
    <w:p w14:paraId="1455ABE4">
      <w:r>
        <w:t>本章说明了数据来源、层级结构、清洗规则与样本构建过程。最关键的发现是，evaluation_order 大于 1 的记录会造成长度口径污染，因而只有在完成层级审计并剔除污染样本之后，长度与格式的分析结论才具备可信基础。通过这一处理，本文建立了口径统一的优化主表与任务子集体系，为后续变量构造与实证分析奠定了基础。</w:t>
      </w:r>
    </w:p>
    <w:p w14:paraId="5DAD508D">
      <w:r>
        <w:br w:type="page"/>
      </w:r>
    </w:p>
    <w:p w14:paraId="125D7E3A"/>
    <w:p w14:paraId="2E92F9C5">
      <w:pPr>
        <w:pStyle w:val="2"/>
        <w:rPr>
          <w:rFonts w:hint="eastAsia"/>
        </w:rPr>
      </w:pPr>
      <w:bookmarkStart w:id="41" w:name="_Toc13022"/>
      <w:r>
        <w:rPr>
          <w:rFonts w:hint="eastAsia"/>
        </w:rPr>
        <w:t>第四章 变量构造与研究设计</w:t>
      </w:r>
      <w:bookmarkEnd w:id="41"/>
    </w:p>
    <w:p w14:paraId="6F1D7A5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2" w:name="_Toc5479"/>
      <w:r>
        <w:rPr>
          <w:rFonts w:hint="eastAsia" w:ascii="Times New Roman" w:hAnsi="Times New Roman" w:eastAsia="宋体" w:cs="Times New Roman"/>
          <w:sz w:val="24"/>
          <w:szCs w:val="24"/>
          <w:lang w:val="en-US" w:eastAsia="zh-CN"/>
        </w:rPr>
        <w:t>4.1 结果变量与长度相关变量</w:t>
      </w:r>
      <w:bookmarkEnd w:id="42"/>
    </w:p>
    <w:p w14:paraId="58C4BF00">
      <w:pPr>
        <w:spacing w:line="440" w:lineRule="exact"/>
        <w:ind w:firstLine="420"/>
        <w:rPr>
          <w:rFonts w:hint="eastAsia"/>
        </w:rPr>
      </w:pPr>
      <w:r>
        <w:t>本文的核心结果变量为 winner_a，即在每一对比较中 A 侧回答是否获胜。长度相关变量包括 a_tokens、b_tokens 及其差值 token_diff_ab。在部分稳健性分析中，还进一步构造了二元处理变量 longer_a，表示 A 是否比 B 更长，这样设计后长度既可以作为连续差值进入净效应模型，也可以作为处理变量进入调整逻辑回归、IPW 和匹配分析。</w:t>
      </w:r>
    </w:p>
    <w:p w14:paraId="0B78827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3" w:name="_Toc2225"/>
      <w:r>
        <w:rPr>
          <w:rFonts w:hint="eastAsia" w:ascii="Times New Roman" w:hAnsi="Times New Roman" w:eastAsia="宋体" w:cs="Times New Roman"/>
          <w:sz w:val="24"/>
          <w:szCs w:val="24"/>
          <w:lang w:val="en-US" w:eastAsia="zh-CN"/>
        </w:rPr>
        <w:t>4.2 格式变量与密度指标构造</w:t>
      </w:r>
      <w:bookmarkEnd w:id="43"/>
    </w:p>
    <w:p w14:paraId="1419B4B1">
      <w:pPr>
        <w:spacing w:line="440" w:lineRule="exact"/>
        <w:ind w:firstLine="420"/>
        <w:rPr>
          <w:rFonts w:hint="eastAsia"/>
        </w:rPr>
      </w:pPr>
      <w:r>
        <w:t>格式变量主要包括标题、列表和粗体三类计数特征，分别记录两侧回答中的出现情况及差值。考虑到格式绝对计数与文本长度高度耦合，本文还进一步构造格式密度变量。实现上，密度定义为 count_f / max(tokens, 1)，在代码中通过 clip(lower=1) 实现，用来防止极端情况下出现零分母。需要指出的是，在 108,171 条优化样本中，A、B 两侧均未出现 0 token 回答，因而该处理属于防御式实现，不会实质改变结论。采用密度而非绝对计数的目的，是将“格式更多”与“因为更长所以自然更容易出现格式”区分开来，从而使格式偏好分析不至于退化为长度偏好的重复表达。</w:t>
      </w:r>
    </w:p>
    <w:p w14:paraId="672F1A5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4" w:name="_Toc30928"/>
      <w:r>
        <w:rPr>
          <w:rFonts w:hint="eastAsia" w:ascii="Times New Roman" w:hAnsi="Times New Roman" w:eastAsia="宋体" w:cs="Times New Roman"/>
          <w:sz w:val="24"/>
          <w:szCs w:val="24"/>
          <w:lang w:val="en-US" w:eastAsia="zh-CN"/>
        </w:rPr>
        <w:t>4.3 任务类型、质量维度与模型代理变量</w:t>
      </w:r>
      <w:bookmarkEnd w:id="44"/>
    </w:p>
    <w:p w14:paraId="5804D9E9">
      <w:pPr>
        <w:spacing w:line="440" w:lineRule="exact"/>
        <w:ind w:firstLine="420"/>
        <w:rPr>
          <w:rFonts w:hint="eastAsia"/>
        </w:rPr>
      </w:pPr>
      <w:r>
        <w:t>为控制问题层面的差异，本文使用了 creative_writing_bool、if_bool、math_bool、code_bool 四个任务类型变量，以及从 category_tag 中抽取出的 7 个质量维度，如 complexity、creativity、domain_knowledge、problem_solving、real_world、specificity、technical_accuracy 等。为控制模型层混淆，本研究构造了 ability_diff、verbosity_diff、format_tendency_diff 三个代理变量，其实际口径分别为 win_rate_a − win_rate_b、mean_tokens_a − mean_tokens_b 和 mean_format_a − mean_format_b；其中 win_rate、mean_tokens 和 mean_format 均由全量 optimized_data 计算的模型历史统计量映射而来，mean_format 表示标题、列表与粗体总格式元素数的平均值。</w:t>
      </w:r>
    </w:p>
    <w:p w14:paraId="0434BF36">
      <w:pPr>
        <w:spacing w:line="440" w:lineRule="exact"/>
        <w:ind w:firstLine="420"/>
        <w:rPr>
          <w:rFonts w:hint="eastAsia"/>
        </w:rPr>
      </w:pPr>
      <w:r>
        <w:t>这些变量的重要性在于，模型能力、风格和任务属性本身都可能同时影响“回答更长”与“回答更容易获胜”，若不把它们纳入控制项，长度和格式的粗效应就可能被系统性高估。本文为避免子集样本量过小导致代理量剧烈波动，采用全量样本一次性估计后再映射到配对层，不在各子集内重估。与此同时，本研究并未对这些模型统计量采用留一法或交叉验证，因而它们应被理解为全局描述性代理变量，而非外部验证的预测特征。</w:t>
      </w:r>
    </w:p>
    <w:p w14:paraId="4688A049">
      <w:pPr>
        <w:pStyle w:val="5"/>
      </w:pPr>
      <w:r>
        <w:t>表 4-1 核心变量定义</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8"/>
        <w:gridCol w:w="3188"/>
        <w:gridCol w:w="3184"/>
      </w:tblGrid>
      <w:tr w14:paraId="7C0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09FAAF1">
            <w:r>
              <w:rPr>
                <w:b/>
              </w:rPr>
              <w:t>变量名</w:t>
            </w:r>
          </w:p>
        </w:tc>
        <w:tc>
          <w:tcPr>
            <w:tcW w:w="3213" w:type="dxa"/>
          </w:tcPr>
          <w:p w14:paraId="665469DD">
            <w:r>
              <w:rPr>
                <w:b/>
              </w:rPr>
              <w:t>定义</w:t>
            </w:r>
          </w:p>
        </w:tc>
        <w:tc>
          <w:tcPr>
            <w:tcW w:w="3213" w:type="dxa"/>
          </w:tcPr>
          <w:p w14:paraId="65F479BE">
            <w:r>
              <w:rPr>
                <w:b/>
              </w:rPr>
              <w:t>角色</w:t>
            </w:r>
          </w:p>
        </w:tc>
      </w:tr>
      <w:tr w14:paraId="3A20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B603FB9">
            <w:r>
              <w:t>winner_a</w:t>
            </w:r>
          </w:p>
        </w:tc>
        <w:tc>
          <w:tcPr>
            <w:tcW w:w="3213" w:type="dxa"/>
          </w:tcPr>
          <w:p w14:paraId="374FFE7B">
            <w:r>
              <w:t>A 侧是否在配对中获胜</w:t>
            </w:r>
          </w:p>
        </w:tc>
        <w:tc>
          <w:tcPr>
            <w:tcW w:w="3213" w:type="dxa"/>
          </w:tcPr>
          <w:p w14:paraId="4565875D">
            <w:r>
              <w:t>结果变量</w:t>
            </w:r>
          </w:p>
        </w:tc>
      </w:tr>
      <w:tr w14:paraId="1622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524917">
            <w:r>
              <w:t>token_diff_ab</w:t>
            </w:r>
          </w:p>
        </w:tc>
        <w:tc>
          <w:tcPr>
            <w:tcW w:w="3213" w:type="dxa"/>
          </w:tcPr>
          <w:p w14:paraId="56C739F5">
            <w:r>
              <w:t>A、B 回答 token 数之差</w:t>
            </w:r>
          </w:p>
        </w:tc>
        <w:tc>
          <w:tcPr>
            <w:tcW w:w="3213" w:type="dxa"/>
          </w:tcPr>
          <w:p w14:paraId="158D018F">
            <w:r>
              <w:t>长度净效应 / SEM</w:t>
            </w:r>
          </w:p>
        </w:tc>
      </w:tr>
      <w:tr w14:paraId="2D23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F20F586">
            <w:r>
              <w:t>longer_a</w:t>
            </w:r>
          </w:p>
        </w:tc>
        <w:tc>
          <w:tcPr>
            <w:tcW w:w="3213" w:type="dxa"/>
          </w:tcPr>
          <w:p w14:paraId="218FBBFD">
            <w:r>
              <w:t>A 侧是否比 B 侧更长</w:t>
            </w:r>
          </w:p>
        </w:tc>
        <w:tc>
          <w:tcPr>
            <w:tcW w:w="3213" w:type="dxa"/>
          </w:tcPr>
          <w:p w14:paraId="28CC2FAF">
            <w:r>
              <w:t>处理变量（IPW / PSM）</w:t>
            </w:r>
          </w:p>
        </w:tc>
      </w:tr>
      <w:tr w14:paraId="4282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5632FB">
            <w:r>
              <w:t>header_density_diff</w:t>
            </w:r>
          </w:p>
        </w:tc>
        <w:tc>
          <w:tcPr>
            <w:tcW w:w="3213" w:type="dxa"/>
          </w:tcPr>
          <w:p w14:paraId="1EC6AB99">
            <w:r>
              <w:t>标题密度差</w:t>
            </w:r>
          </w:p>
        </w:tc>
        <w:tc>
          <w:tcPr>
            <w:tcW w:w="3213" w:type="dxa"/>
          </w:tcPr>
          <w:p w14:paraId="4FEAF739">
            <w:r>
              <w:t>格式主分析 / SEM</w:t>
            </w:r>
          </w:p>
        </w:tc>
      </w:tr>
      <w:tr w14:paraId="7ABD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7F9AB22">
            <w:r>
              <w:t>bold_density_diff</w:t>
            </w:r>
          </w:p>
        </w:tc>
        <w:tc>
          <w:tcPr>
            <w:tcW w:w="3213" w:type="dxa"/>
          </w:tcPr>
          <w:p w14:paraId="6EC936C5">
            <w:r>
              <w:t>粗体密度差</w:t>
            </w:r>
          </w:p>
        </w:tc>
        <w:tc>
          <w:tcPr>
            <w:tcW w:w="3213" w:type="dxa"/>
          </w:tcPr>
          <w:p w14:paraId="18348867">
            <w:r>
              <w:t>格式主分析 / SEM</w:t>
            </w:r>
          </w:p>
        </w:tc>
      </w:tr>
      <w:tr w14:paraId="70DC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BCD161B">
            <w:r>
              <w:t>list_density_diff</w:t>
            </w:r>
          </w:p>
        </w:tc>
        <w:tc>
          <w:tcPr>
            <w:tcW w:w="3213" w:type="dxa"/>
          </w:tcPr>
          <w:p w14:paraId="1C6D6BBE">
            <w:r>
              <w:t>列表密度差</w:t>
            </w:r>
          </w:p>
        </w:tc>
        <w:tc>
          <w:tcPr>
            <w:tcW w:w="3213" w:type="dxa"/>
          </w:tcPr>
          <w:p w14:paraId="054C1AED">
            <w:r>
              <w:t>敏感性分析</w:t>
            </w:r>
          </w:p>
        </w:tc>
      </w:tr>
      <w:tr w14:paraId="4FF9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5325E5E">
            <w:r>
              <w:t>ability_diff</w:t>
            </w:r>
          </w:p>
        </w:tc>
        <w:tc>
          <w:tcPr>
            <w:tcW w:w="3213" w:type="dxa"/>
          </w:tcPr>
          <w:p w14:paraId="28D1492E">
            <w:r>
              <w:t>模型整体胜率差</w:t>
            </w:r>
          </w:p>
        </w:tc>
        <w:tc>
          <w:tcPr>
            <w:tcW w:w="3213" w:type="dxa"/>
          </w:tcPr>
          <w:p w14:paraId="0CA4B3CA">
            <w:r>
              <w:t>模型层控制</w:t>
            </w:r>
          </w:p>
        </w:tc>
      </w:tr>
      <w:tr w14:paraId="1FA3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5618A38">
            <w:r>
              <w:t>verbosity_diff</w:t>
            </w:r>
          </w:p>
        </w:tc>
        <w:tc>
          <w:tcPr>
            <w:tcW w:w="3213" w:type="dxa"/>
          </w:tcPr>
          <w:p w14:paraId="09D1D43C">
            <w:r>
              <w:t>模型平均长度倾向差</w:t>
            </w:r>
          </w:p>
        </w:tc>
        <w:tc>
          <w:tcPr>
            <w:tcW w:w="3213" w:type="dxa"/>
          </w:tcPr>
          <w:p w14:paraId="47321935">
            <w:r>
              <w:t>模型层控制</w:t>
            </w:r>
          </w:p>
        </w:tc>
      </w:tr>
      <w:tr w14:paraId="78F8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6AEE9E4">
            <w:r>
              <w:t>format_tendency_diff</w:t>
            </w:r>
          </w:p>
        </w:tc>
        <w:tc>
          <w:tcPr>
            <w:tcW w:w="3213" w:type="dxa"/>
          </w:tcPr>
          <w:p w14:paraId="559B6BFC">
            <w:r>
              <w:t>模型平均格式倾向差</w:t>
            </w:r>
          </w:p>
        </w:tc>
        <w:tc>
          <w:tcPr>
            <w:tcW w:w="3213" w:type="dxa"/>
          </w:tcPr>
          <w:p w14:paraId="04D256D5">
            <w:r>
              <w:t>模型层控制</w:t>
            </w:r>
          </w:p>
        </w:tc>
      </w:tr>
      <w:tr w14:paraId="0232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3F1936F">
            <w:r>
              <w:t>criteria 七维</w:t>
            </w:r>
          </w:p>
        </w:tc>
        <w:tc>
          <w:tcPr>
            <w:tcW w:w="3213" w:type="dxa"/>
          </w:tcPr>
          <w:p w14:paraId="02304FDB">
            <w:r>
              <w:t>complexity 等 7 个质量维度</w:t>
            </w:r>
          </w:p>
        </w:tc>
        <w:tc>
          <w:tcPr>
            <w:tcW w:w="3213" w:type="dxa"/>
          </w:tcPr>
          <w:p w14:paraId="414DA987">
            <w:r>
              <w:t>题目层控制</w:t>
            </w:r>
          </w:p>
        </w:tc>
      </w:tr>
    </w:tbl>
    <w:p w14:paraId="463475FE">
      <w:r>
        <w:t>注：表 4-1 中三个模型层代理变量均由全量 optimized_data 一次性估计后映射到配对层，不在子集内重估；它们用于控制模型能力与风格差异，而不是构造独立的外部评分。</w:t>
      </w:r>
    </w:p>
    <w:p w14:paraId="4D93B6A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5" w:name="_Toc14961"/>
      <w:r>
        <w:rPr>
          <w:rFonts w:hint="eastAsia" w:ascii="Times New Roman" w:hAnsi="Times New Roman" w:eastAsia="宋体" w:cs="Times New Roman"/>
          <w:sz w:val="24"/>
          <w:szCs w:val="24"/>
          <w:lang w:val="en-US" w:eastAsia="zh-CN"/>
        </w:rPr>
        <w:t>4.4 分析方法链设计</w:t>
      </w:r>
      <w:bookmarkEnd w:id="45"/>
    </w:p>
    <w:p w14:paraId="34C17D88">
      <w:pPr>
        <w:spacing w:line="440" w:lineRule="exact"/>
        <w:ind w:firstLine="420"/>
        <w:rPr>
          <w:rFonts w:hint="eastAsia"/>
        </w:rPr>
      </w:pPr>
      <w:r>
        <w:t>本文整体采用四层递进方法链。第一层是描述统计与趋势分析，用来确认偏好现象是否存在。第二层是 Wilcoxon 检验、Bootstrap 区间和效应量分析，用来把可视化趋势推进为正式统计结论。第三层是嵌套逻辑回归、调整逻辑回归、逆概率加权和倾向得分匹配，用来控制混淆并检验稳健性。第四层是结构方程模型，用来讨论变量之间的直接路径和间接路径。</w:t>
      </w:r>
    </w:p>
    <w:p w14:paraId="67243BBD">
      <w:pPr>
        <w:spacing w:line="440" w:lineRule="exact"/>
        <w:ind w:firstLine="420"/>
        <w:rPr>
          <w:rFonts w:hint="eastAsia"/>
        </w:rPr>
      </w:pPr>
      <w:r>
        <w:t>这一设计的基本逻辑在于：先证明现象真实存在，再证明它不只是显著性假象，接着证明它不依赖单一估计框架，再尝试解释偏好形成机制。</w:t>
      </w:r>
    </w:p>
    <w:p w14:paraId="5FDDAC0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6" w:name="_Toc12226"/>
      <w:r>
        <w:rPr>
          <w:rFonts w:hint="eastAsia" w:ascii="Times New Roman" w:hAnsi="Times New Roman" w:eastAsia="宋体" w:cs="Times New Roman"/>
          <w:sz w:val="24"/>
          <w:szCs w:val="24"/>
          <w:lang w:val="en-US" w:eastAsia="zh-CN"/>
        </w:rPr>
        <w:t>4.5 核心统计方法的适用性说明</w:t>
      </w:r>
      <w:bookmarkEnd w:id="46"/>
    </w:p>
    <w:p w14:paraId="28EE41C5">
      <w:pPr>
        <w:spacing w:line="440" w:lineRule="exact"/>
        <w:ind w:firstLine="420"/>
        <w:rPr>
          <w:rFonts w:hint="eastAsia"/>
        </w:rPr>
      </w:pPr>
      <w:r>
        <w:t>为了避免方法部分只剩下“报结果”，本节进一步说明各统计工具在本文中的识别任务。描述统计与趋势分箱主要回答“现象是否肉眼也能看出”，如长度差值分箱后的胜率曲线，能够先确认偏好是否有稳定方向。Wilcoxon 符号秩检验则回答“配对差值的中位数是否系统性大于 0”。由于本研究的核心数据天然是成对比较，且 token 差、格式计数差和密度差都存在明显偏态和长尾特征，因而使用基于秩的非参数检验比配对 t 检验更稳健，也更符合本数据的分布形态。</w:t>
      </w:r>
    </w:p>
    <w:p w14:paraId="0D3CFCA2">
      <w:pPr>
        <w:spacing w:line="440" w:lineRule="exact"/>
        <w:ind w:firstLine="420"/>
        <w:rPr>
          <w:rFonts w:hint="eastAsia"/>
        </w:rPr>
      </w:pPr>
      <w:r>
        <w:t>Bootstrap 区间在本文中的作用，不是替代主检验，而是补充“差值大概落在什么范围内”。显著性只说明是否偏离 0，不能说明偏差的量级与不确定性，因而本研究对中位长度差、处理效应和路径效应都配套报告 Bootstrap 95% 置信区间。效应量方面，Wilcoxon 主检验主要配套 rank-biserial r，用来描述秩差异的强弱；Cohen's d 和 Hedges' g 仅作为参数化近似参考，不承担主结论功能。</w:t>
      </w:r>
    </w:p>
    <w:p w14:paraId="3AF3E9A4">
      <w:pPr>
        <w:spacing w:line="440" w:lineRule="exact"/>
        <w:ind w:firstLine="420"/>
        <w:rPr>
          <w:rFonts w:hint="eastAsia"/>
        </w:rPr>
      </w:pPr>
      <w:r>
        <w:t>逻辑回归部分的任务是把“偏好现象存在”推进为“控制混淆后是否仍存在”。由于 winner_a 是二值结果变量，线性回归既不适合概率边界，也不便于解释胜出概率与多组控制变量之间的非线性关系，因而本文采用了 logit 链接函数建模。嵌套逻辑回归中的 M0 到 M3、F0 到 F3 并不是重复估计，而是通过分层加入控制变量，观察核心系数从粗效应到净效应如何衰减，这里的 OR 反映赔率比，OR 大于 1 表示相应变量增加会提高 A 侧获胜赔率；AME 反映平均概率变化，便于把赔率语言翻译成更直观的概率语言；Wald r 则用来给出局部效应强度的标准化近似。</w:t>
      </w:r>
    </w:p>
    <w:p w14:paraId="14A3F449">
      <w:pPr>
        <w:spacing w:line="440" w:lineRule="exact"/>
        <w:ind w:firstLine="420"/>
        <w:rPr>
          <w:rFonts w:hint="eastAsia"/>
        </w:rPr>
      </w:pPr>
      <w:r>
        <w:t>IPW 和 PSM 负责回答“如果把处理组和对照组在观测协变量上尽量变得可比，结论是否仍成立”。IPW 通过倾向得分为样本重新赋权，构造一个更接近随机分配的伪总体，并以 ATE 作为平均处理效应指标。本文使用了稳定化权重，并配套报告 ESS，以检查是否存在少数极端权重主导结果。PSM 则用 1:1 最近邻匹配直接构造可比样本对，再通过 SMD 诊断匹配前后平衡性是否改善。本研究把 mean|SMD| 是否显著下降，以及匹配后配对 Wilcoxon 是否仍显著，作为匹配诊断是否成立的联合标准。</w:t>
      </w:r>
    </w:p>
    <w:p w14:paraId="172B336C">
      <w:pPr>
        <w:spacing w:line="440" w:lineRule="exact"/>
        <w:ind w:firstLine="420"/>
        <w:rPr>
          <w:rFonts w:hint="eastAsia"/>
        </w:rPr>
      </w:pPr>
      <w:r>
        <w:t>SEM 的角色与前述方法不同。它不是再做一轮“显著性复核”，而是把能力差、风格差、长度差和格式密度差放进同一个路径框架中，考察它们是直接作用于偏好，还是先通过中介层传递到偏好。本文采用的是观测变量路径模型，而非潜变量测量模型，因而关注重点不在量表信度，而在路径结构是否合理、路径方向是否与前序分析一致，以及直接效应、间接效应和总效应如何共同构成偏好形成机制。</w:t>
      </w:r>
    </w:p>
    <w:p w14:paraId="779573F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7" w:name="_Toc4256"/>
      <w:r>
        <w:rPr>
          <w:rFonts w:hint="eastAsia" w:ascii="Times New Roman" w:hAnsi="Times New Roman" w:eastAsia="宋体" w:cs="Times New Roman"/>
          <w:sz w:val="24"/>
          <w:szCs w:val="24"/>
          <w:lang w:val="en-US" w:eastAsia="zh-CN"/>
        </w:rPr>
        <w:t>4.6 本章小结</w:t>
      </w:r>
      <w:bookmarkEnd w:id="47"/>
    </w:p>
    <w:p w14:paraId="3ADFD6A6">
      <w:r>
        <w:t>本章说明了本文的变量构造逻辑、控制变量设计与统计识别策略。通过将长度差、格式密度差、任务类型、质量维度和模型能力风格差纳入同一分析框架，本研究为后续存在性检验、净效应估计、稳健性验证和路径分析提供了统一口径，也为区分“粗相关”与“独立效应”奠定了方法基础。</w:t>
      </w:r>
    </w:p>
    <w:p w14:paraId="1FD981C9">
      <w:r>
        <w:br w:type="page"/>
      </w:r>
    </w:p>
    <w:p w14:paraId="64F46C42">
      <w:pPr>
        <w:pStyle w:val="2"/>
        <w:rPr>
          <w:rFonts w:hint="eastAsia"/>
        </w:rPr>
      </w:pPr>
      <w:bookmarkStart w:id="48" w:name="_Toc7491"/>
      <w:r>
        <w:rPr>
          <w:rFonts w:hint="eastAsia"/>
        </w:rPr>
        <w:t>第五章 偏好存在性分析与检验</w:t>
      </w:r>
      <w:bookmarkEnd w:id="48"/>
    </w:p>
    <w:p w14:paraId="285CE67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9" w:name="_Toc21649"/>
      <w:r>
        <w:rPr>
          <w:rFonts w:hint="eastAsia" w:ascii="Times New Roman" w:hAnsi="Times New Roman" w:eastAsia="宋体" w:cs="Times New Roman"/>
          <w:sz w:val="24"/>
          <w:szCs w:val="24"/>
          <w:lang w:val="en-US" w:eastAsia="zh-CN"/>
        </w:rPr>
        <w:t>5.1 长度偏好的描述性特征</w:t>
      </w:r>
      <w:bookmarkEnd w:id="49"/>
    </w:p>
    <w:p w14:paraId="58057E5F">
      <w:pPr>
        <w:spacing w:line="440" w:lineRule="exact"/>
        <w:ind w:firstLine="420"/>
        <w:rPr>
          <w:rFonts w:hint="eastAsia"/>
        </w:rPr>
      </w:pPr>
      <w:r>
        <w:t>长度偏好的最直观现象是，胜出回答往往更长。全量样本的 Wilcoxon 检验基于 78,970 个有效配对，其中胜者更长的对数为 49,129，对应比例为 62.21%；中位长度差为 +125 tokens，Bootstrap 95% 置信区间为 +121 至 +130 tokens。无类别样本和代码样本中，这一趋势同样明显，其中仅代码子集的中位长度差达到 +203 tokens，指令加代码子集甚至达到 +256 tokens，对照来看，仅数学子集（+56 tokens）和仅创意写作子集（+60 tokens）的中位长度差相对较小，反映出不同任务类型对回答长度的需求差异显著。无类别子集的胜者更长比例为 63.72%，中位长度差为 +121 tokens，与全量走势基本吻合。</w:t>
      </w:r>
    </w:p>
    <w:p w14:paraId="76D36F6A">
      <w:pPr>
        <w:spacing w:line="440" w:lineRule="exact"/>
        <w:ind w:firstLine="420"/>
        <w:rPr>
          <w:rFonts w:hint="eastAsia"/>
        </w:rPr>
      </w:pPr>
      <w:r>
        <w:t>从这些结果能看出，长度偏好不是少数极端样本带来的局部现象，而是在多个任务配置下都重复出现的总体模式。这至少说明，更长的表达在比较场景中确实有稳定优势，但此时还不能直接解释为“长度本身就是质量”。</w:t>
      </w:r>
    </w:p>
    <w:p w14:paraId="5F028F52">
      <w:pPr>
        <w:spacing w:line="240" w:lineRule="auto"/>
        <w:rPr>
          <w:rFonts w:hint="eastAsia" w:eastAsia="宋体"/>
          <w:lang w:eastAsia="zh-CN"/>
        </w:rPr>
      </w:pPr>
      <w:r>
        <w:rPr>
          <w:rFonts w:hint="eastAsia" w:eastAsia="宋体"/>
          <w:lang w:eastAsia="zh-CN"/>
        </w:rPr>
        <w:drawing>
          <wp:inline distT="0" distB="0" distL="114300" distR="114300">
            <wp:extent cx="5932805" cy="3370580"/>
            <wp:effectExtent l="0" t="0" r="10795" b="12700"/>
            <wp:docPr id="9" name="图片 9" descr="P04_01_full_length_diff_lin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04_01_full_length_diff_line_chart"/>
                    <pic:cNvPicPr>
                      <a:picLocks noChangeAspect="1"/>
                    </pic:cNvPicPr>
                  </pic:nvPicPr>
                  <pic:blipFill>
                    <a:blip r:embed="rId13"/>
                    <a:stretch>
                      <a:fillRect/>
                    </a:stretch>
                  </pic:blipFill>
                  <pic:spPr>
                    <a:xfrm>
                      <a:off x="0" y="0"/>
                      <a:ext cx="5932805" cy="3370580"/>
                    </a:xfrm>
                    <a:prstGeom prst="rect">
                      <a:avLst/>
                    </a:prstGeom>
                  </pic:spPr>
                </pic:pic>
              </a:graphicData>
            </a:graphic>
          </wp:inline>
        </w:drawing>
      </w:r>
    </w:p>
    <w:p w14:paraId="5B75FE14">
      <w:pPr>
        <w:pStyle w:val="5"/>
        <w:spacing w:line="240" w:lineRule="auto"/>
        <w:ind w:firstLine="420"/>
        <w:jc w:val="center"/>
        <w:rPr>
          <w:rFonts w:hint="eastAsia" w:ascii="黑体" w:hAnsi="黑体" w:eastAsia="黑体" w:cs="黑体"/>
          <w:sz w:val="16"/>
          <w:szCs w:val="16"/>
          <w:lang w:eastAsia="zh-CN"/>
        </w:rPr>
      </w:pPr>
      <w:r>
        <w:rPr>
          <w:rFonts w:hint="eastAsia" w:ascii="黑体" w:hAnsi="黑体" w:eastAsia="黑体" w:cs="黑体"/>
          <w:sz w:val="16"/>
          <w:szCs w:val="16"/>
        </w:rPr>
        <w:t>图 5-1 长度差异与胜率的关系</w:t>
      </w:r>
    </w:p>
    <w:p w14:paraId="71715ABA">
      <w:r>
        <w:t>注：横轴为 A 侧与 B 侧的 token 数差异，纵轴为 A 侧获胜概率。该图用于展示长度差扩大时胜率如何变化，主要承担趋势识别功能，而非因果解释。</w:t>
      </w:r>
    </w:p>
    <w:p w14:paraId="5DBA4DFE">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0" w:name="_Toc5686"/>
      <w:r>
        <w:rPr>
          <w:rFonts w:hint="eastAsia" w:ascii="Times New Roman" w:hAnsi="Times New Roman" w:eastAsia="宋体" w:cs="Times New Roman"/>
          <w:sz w:val="24"/>
          <w:szCs w:val="24"/>
          <w:lang w:val="en-US" w:eastAsia="zh-CN"/>
        </w:rPr>
        <w:t>5.2 格式偏好的描述性特征</w:t>
      </w:r>
      <w:bookmarkEnd w:id="50"/>
    </w:p>
    <w:p w14:paraId="5C1858D5">
      <w:pPr>
        <w:spacing w:line="440" w:lineRule="exact"/>
        <w:ind w:firstLine="420"/>
        <w:rPr>
          <w:rFonts w:hint="eastAsia"/>
        </w:rPr>
      </w:pPr>
      <w:r>
        <w:rPr>
          <w:rFonts w:hint="eastAsia"/>
        </w:rPr>
        <w:t>格式偏好的描述性结果显示，胜者在标题、列表和粗体计数上都更可能占优。以全量样本为例，胜者标题更多的比例为 35.02%，列表更多的比例为 50.14%，粗体更多的比例为 52.16%。单看计数差，这三类格式变量都与胜率存在正向关联。</w:t>
      </w:r>
    </w:p>
    <w:p w14:paraId="4D8D9BD0">
      <w:pPr>
        <w:spacing w:line="440" w:lineRule="exact"/>
        <w:ind w:firstLine="420"/>
        <w:rPr>
          <w:rFonts w:hint="eastAsia"/>
        </w:rPr>
      </w:pPr>
      <w:r>
        <w:t>但把分析从绝对计数推进到密度层面后，不同格式变量开始分化。全量样本中，标题密度差的辅助 Wilcoxon 检验 p 值为 6.9e-111，粗体密度差的 p 值为 2.1579e-277，均显示出稳定差异；而列表密度差的 p 值为 0.11961，不再显著，这也说明“胜者更常使用列表”这一现象，很可能更多来自回答更长、更展开时自然携带的列表，而不是列表本身带来的独立优势。</w:t>
      </w:r>
    </w:p>
    <w:p w14:paraId="02DDA9DB">
      <w:pPr>
        <w:spacing w:line="240" w:lineRule="auto"/>
        <w:rPr>
          <w:rFonts w:hint="eastAsia" w:eastAsia="宋体"/>
          <w:lang w:eastAsia="zh-CN"/>
        </w:rPr>
      </w:pPr>
      <w:r>
        <w:rPr>
          <w:rFonts w:hint="eastAsia" w:eastAsia="宋体"/>
          <w:lang w:eastAsia="zh-CN"/>
        </w:rPr>
        <w:drawing>
          <wp:inline distT="0" distB="0" distL="114300" distR="114300">
            <wp:extent cx="5934075" cy="2949575"/>
            <wp:effectExtent l="0" t="0" r="9525" b="6985"/>
            <wp:docPr id="10" name="图片 10" descr="P05_01_format_presence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05_01_format_presence_bar_chart"/>
                    <pic:cNvPicPr>
                      <a:picLocks noChangeAspect="1"/>
                    </pic:cNvPicPr>
                  </pic:nvPicPr>
                  <pic:blipFill>
                    <a:blip r:embed="rId14"/>
                    <a:stretch>
                      <a:fillRect/>
                    </a:stretch>
                  </pic:blipFill>
                  <pic:spPr>
                    <a:xfrm>
                      <a:off x="0" y="0"/>
                      <a:ext cx="5934075" cy="2949575"/>
                    </a:xfrm>
                    <a:prstGeom prst="rect">
                      <a:avLst/>
                    </a:prstGeom>
                  </pic:spPr>
                </pic:pic>
              </a:graphicData>
            </a:graphic>
          </wp:inline>
        </w:drawing>
      </w:r>
    </w:p>
    <w:p w14:paraId="497178B6">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5-2 格式存在性与胜率的关联</w:t>
      </w:r>
    </w:p>
    <w:p w14:paraId="173F3C02">
      <w:r>
        <w:t>注：该图比较包含对应格式元素与不包含对应格式元素的回答胜率差异，用于展示标题、列表和粗体在存在性层面的总体关联。</w:t>
      </w:r>
    </w:p>
    <w:p w14:paraId="06242232">
      <w:pPr>
        <w:rPr>
          <w:rFonts w:hint="eastAsia"/>
          <w:lang w:eastAsia="zh-CN"/>
        </w:rPr>
      </w:pPr>
    </w:p>
    <w:p w14:paraId="65A47F12">
      <w:pPr>
        <w:rPr>
          <w:rFonts w:hint="eastAsia"/>
          <w:lang w:eastAsia="zh-CN"/>
        </w:rPr>
      </w:pPr>
      <w:r>
        <w:rPr>
          <w:rFonts w:hint="eastAsia"/>
          <w:lang w:eastAsia="zh-CN"/>
        </w:rPr>
        <w:drawing>
          <wp:inline distT="0" distB="0" distL="114300" distR="114300">
            <wp:extent cx="5935345" cy="2515235"/>
            <wp:effectExtent l="0" t="0" r="8255" b="14605"/>
            <wp:docPr id="11" name="图片 11" descr="P05_05_format_combination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05_05_format_combination_bar_chart"/>
                    <pic:cNvPicPr>
                      <a:picLocks noChangeAspect="1"/>
                    </pic:cNvPicPr>
                  </pic:nvPicPr>
                  <pic:blipFill>
                    <a:blip r:embed="rId15"/>
                    <a:stretch>
                      <a:fillRect/>
                    </a:stretch>
                  </pic:blipFill>
                  <pic:spPr>
                    <a:xfrm>
                      <a:off x="0" y="0"/>
                      <a:ext cx="5935345" cy="2515235"/>
                    </a:xfrm>
                    <a:prstGeom prst="rect">
                      <a:avLst/>
                    </a:prstGeom>
                  </pic:spPr>
                </pic:pic>
              </a:graphicData>
            </a:graphic>
          </wp:inline>
        </w:drawing>
      </w:r>
    </w:p>
    <w:p w14:paraId="6978D56B">
      <w:pPr>
        <w:pStyle w:val="5"/>
        <w:jc w:val="center"/>
        <w:rPr>
          <w:rFonts w:hint="eastAsia" w:ascii="黑体" w:hAnsi="黑体" w:eastAsia="黑体" w:cs="黑体"/>
          <w:sz w:val="16"/>
          <w:szCs w:val="16"/>
          <w:lang w:eastAsia="zh-CN"/>
        </w:rPr>
      </w:pPr>
      <w:r>
        <w:rPr>
          <w:rFonts w:hint="eastAsia" w:ascii="黑体" w:hAnsi="黑体" w:eastAsia="黑体" w:cs="黑体"/>
          <w:sz w:val="16"/>
          <w:szCs w:val="16"/>
        </w:rPr>
        <w:t>图 5-3 格式组合与胜率的关联</w:t>
      </w:r>
    </w:p>
    <w:p w14:paraId="5F158A29">
      <w:r>
        <w:t>注：该图用于展示多种格式特征共同出现时的胜率差异，其解释重点在于组合模式的描述，而不是对单一格式变量作独立效应判断。</w:t>
      </w:r>
    </w:p>
    <w:p w14:paraId="04825DE7">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1" w:name="_Toc23820"/>
      <w:r>
        <w:rPr>
          <w:rFonts w:hint="eastAsia" w:ascii="Times New Roman" w:hAnsi="Times New Roman" w:eastAsia="宋体" w:cs="Times New Roman"/>
          <w:sz w:val="24"/>
          <w:szCs w:val="24"/>
          <w:lang w:val="en-US" w:eastAsia="zh-CN"/>
        </w:rPr>
        <w:t>5.3 长度偏好的正式统计检验</w:t>
      </w:r>
      <w:bookmarkEnd w:id="51"/>
    </w:p>
    <w:p w14:paraId="52432FE3">
      <w:pPr>
        <w:spacing w:line="440" w:lineRule="exact"/>
        <w:ind w:firstLine="420"/>
        <w:rPr>
          <w:rFonts w:hint="eastAsia"/>
        </w:rPr>
      </w:pPr>
      <w:r>
        <w:t>在正式检验层面，本文对满足最小样本要求的 13 个子集进行了单侧 Wilcoxon 符号秩检验，并采用 Bonferroni 校正控制多重比较。对应的校正阈值为 α′ = 0.05 / 13 = 0.0038。结果显示，13 个有效子集中有 12 个在校正后仍显著，仅“创意+指令+代码”子集不显著。全量样本的 rank-biserial r 为 0.3362，属于中等效应区间；无类别子集效应量相对较低（r = 0.3155），而数学子集（r = 0.3837）、代码子集（r = 0.3529）和仅指令遵循子集（r = 0.3458）的效应量高于全量，其中数学加代码复合子集的效应量最高（r = 0.4101），这一模式说明，不同任务场景对长度偏好的强化程度存在明显异质性；在无任务标签的通用对话中，效应相对偏弱，而在代码、数学等对回答完整度有较高要求的场景中，效应更为突出。</w:t>
      </w:r>
    </w:p>
    <w:p w14:paraId="5A89F64F">
      <w:pPr>
        <w:spacing w:line="440" w:lineRule="exact"/>
        <w:ind w:firstLine="420"/>
        <w:rPr>
          <w:rFonts w:hint="eastAsia"/>
        </w:rPr>
      </w:pPr>
      <w:r>
        <w:t>这一结果表明，长度偏好并不是只体现在平均值差异上，而是在配对比较与秩统计意义下都有稳定方向性，这样一来，H1 在存在性检验层面获得了明确支持。</w:t>
      </w:r>
    </w:p>
    <w:p w14:paraId="79B584D6">
      <w:pPr>
        <w:spacing w:line="440" w:lineRule="exact"/>
        <w:ind w:firstLine="420"/>
        <w:rPr>
          <w:rFonts w:hint="eastAsia"/>
        </w:rPr>
      </w:pPr>
      <w:r>
        <w:t>本文采用了单侧 Wilcoxon 的理论依据在于，研究问题本身有明确方向性，即检验“胜者是否系统性更长”，而不是仅检验“长度差是否不为 0”。Bonferroni 校正用来避免多子集并行检验时过度报告显著性；rank-biserial r 则负责把“显著”转化为“差异量级”。在本研究采用了的常用阈值下，0.1 &lt; r &lt; 0.3 可以视为小效应，0.3 &lt; r &lt; 0.5 可以视为中等效应，r &gt; 0.5 可以视为大效应；这样一来，全量样本 r = 0.3362 可归入中等效应。中位长度差的 Bootstrap 区间基于 1000 次重采样计算，进一步说明长度优势并不是由少量极端长回答拉动，而是在配对层面呈现出稳定的整体偏移。</w:t>
      </w:r>
    </w:p>
    <w:p w14:paraId="25910428">
      <w:pPr>
        <w:spacing w:line="440" w:lineRule="exact"/>
        <w:ind w:firstLine="420"/>
        <w:rPr>
          <w:rFonts w:hint="eastAsia"/>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1"/>
        <w:gridCol w:w="749"/>
        <w:gridCol w:w="1122"/>
        <w:gridCol w:w="1282"/>
        <w:gridCol w:w="1069"/>
        <w:gridCol w:w="802"/>
        <w:gridCol w:w="1015"/>
        <w:gridCol w:w="696"/>
        <w:gridCol w:w="696"/>
        <w:gridCol w:w="642"/>
        <w:gridCol w:w="536"/>
      </w:tblGrid>
      <w:tr w14:paraId="41AFE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9B3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子集</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7C6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有效配对数</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5B5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胜者更长比例（%）</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F003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中位长度差（tokens）</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A82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AA12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校正后 p 值</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B4A3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rank-biserial r</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151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Cohen's d</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80F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Hedges' g</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56B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效应分级</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07B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显著性</w:t>
            </w:r>
          </w:p>
        </w:tc>
      </w:tr>
      <w:tr w14:paraId="52BE7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D9D4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F27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CE2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57</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31A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97.5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F60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[+52.5, +148.0]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3DB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2CD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1FD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7027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0.144</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FEDA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B75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0CD6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69E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343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AA6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47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3E7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[+60.0, +229.0]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4A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D29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60B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C11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7D2D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F2F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1CDA5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FCE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837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A58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F8EC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9B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[-64.0, +209.0]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EB4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0.517</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918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35C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05B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0.184</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A91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F04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197E7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356F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ADD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06B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58.3</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8EC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56</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5C4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 +72.0]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63D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4B71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963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F37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010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D64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6C7C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524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48A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36C9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8DDB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129</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084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[+79.0, +186.0]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596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F9C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706E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0.104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241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0.103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53B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3B1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5B39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ED7E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51A2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E82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55.6</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F94C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74.5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F5A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 +140.5]</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5D96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1EE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324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1215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5A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45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62E4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7B4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22E0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51A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FE3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203</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190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[+189.0, +218.0]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A9F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AC21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0.353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2C7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D3E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DF9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489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0D2E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4D1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2B42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BC14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FDF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77.5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9E4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[+44.5, +116.0]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E87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C42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F1E7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699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0.189</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F69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A0B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5892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606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BF9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8D01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0AD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050A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[+99.0, +140.5]</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3B1B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786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631A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A92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77C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02E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560C2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823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E559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EC4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61.5</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A71B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402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 +69.0]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FBE1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38D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CF2B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0.223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567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0.223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741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892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AE91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6727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B2FB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4AD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515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256</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F192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[+217.0, +285.0]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208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7921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A608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3CA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DFC4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D8C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2085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037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9B4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CC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E7A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8CE6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[+121.0, +130.0]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4D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E6F9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494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E7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0.181</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2A4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809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B29E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CDA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902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CBC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63.7</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5D1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E42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[+115.0, +126.0]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769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517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0.316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673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0.218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B9C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0.218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0EF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BA9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bl>
    <w:p w14:paraId="44F5C03F">
      <w:pPr>
        <w:spacing w:line="240" w:lineRule="auto"/>
        <w:rPr>
          <w:rFonts w:hint="eastAsia" w:eastAsia="宋体"/>
          <w:lang w:eastAsia="zh-CN"/>
        </w:rPr>
      </w:pPr>
    </w:p>
    <w:p w14:paraId="09DB7A1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2" w:name="_Toc24039"/>
      <w:r>
        <w:rPr>
          <w:rFonts w:hint="eastAsia" w:ascii="Times New Roman" w:hAnsi="Times New Roman" w:eastAsia="宋体" w:cs="Times New Roman"/>
          <w:sz w:val="24"/>
          <w:szCs w:val="24"/>
          <w:lang w:val="en-US" w:eastAsia="zh-CN"/>
        </w:rPr>
        <w:t>5.4 格式偏好的正式统计检验</w:t>
      </w:r>
      <w:bookmarkEnd w:id="52"/>
    </w:p>
    <w:p w14:paraId="04468502">
      <w:pPr>
        <w:spacing w:line="440" w:lineRule="exact"/>
        <w:ind w:firstLine="420"/>
        <w:rPr>
          <w:rFonts w:hint="eastAsia"/>
        </w:rPr>
      </w:pPr>
      <w:r>
        <w:t>格式偏好的正式检验同样采用 Wilcoxon 框架，但对每个子集同时比较标题、列表和粗体三类格式特征，并在子集内进行 Bonferroni 校正。结果显示，若只看格式计数差，绝大多数主要子集中的三类格式都能达到显著；全量样本中，标题的 rank-biserial r 为 0.3960，列表为 0.3833，粗体为 0.3696，三类效应量均处于中等水平，说明偏好差异并不是仅靠大样本量放大的微弱信号，但引入密度辅助检验后，标题和粗体的信号更稳定，而列表的密度信号在全量样本中不显著，在多个子集中也不稳定。</w:t>
      </w:r>
    </w:p>
    <w:p w14:paraId="7D962B9A">
      <w:pPr>
        <w:spacing w:line="440" w:lineRule="exact"/>
        <w:ind w:firstLine="420"/>
        <w:rPr>
          <w:rFonts w:hint="eastAsia"/>
        </w:rPr>
      </w:pPr>
      <w:r>
        <w:t>这样一来，格式偏好不能被理解为“所有格式都同样有利”。更精确的表述为：结构化格式作为整体与偏好存在关联，但真正较稳定的独立格式信号主要集中在标题和粗体两类变量上，而列表更接近长度扩张或文本组织方式的伴生结果。H2 因而得到部分支持，并为后续稳健性分析提供了方向。</w:t>
      </w:r>
    </w:p>
    <w:p w14:paraId="2EFB3052">
      <w:pPr>
        <w:spacing w:line="440" w:lineRule="exact"/>
        <w:ind w:firstLine="420"/>
        <w:rPr>
          <w:rFonts w:hint="eastAsia"/>
        </w:rPr>
      </w:pPr>
      <w:r>
        <w:t>本文将“格式计数差检验”作为主检验，将“格式密度差检验”作为辅助检验。前者回答的是“胜者是否使用了更多格式元素”，后者回答的是“在控制文本长度规模之后，这种格式优势是否仍然也能看出”。正因为这两个问题并不完全同构，列表在计数层面显著、但在密度层面不显著这一结果才有解释价值：它说明部分格式差异并不构成独立偏好，而只是更长文本和更复杂组织方式自然带来的副产物。</w:t>
      </w:r>
    </w:p>
    <w:p w14:paraId="458F5E97">
      <w:pPr>
        <w:spacing w:line="440" w:lineRule="exact"/>
        <w:ind w:firstLine="420"/>
        <w:rPr>
          <w:rFonts w:hint="eastAsia"/>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3"/>
        <w:gridCol w:w="569"/>
        <w:gridCol w:w="658"/>
        <w:gridCol w:w="1144"/>
        <w:gridCol w:w="658"/>
        <w:gridCol w:w="746"/>
        <w:gridCol w:w="702"/>
        <w:gridCol w:w="880"/>
        <w:gridCol w:w="658"/>
        <w:gridCol w:w="792"/>
        <w:gridCol w:w="569"/>
        <w:gridCol w:w="481"/>
        <w:gridCol w:w="880"/>
      </w:tblGrid>
      <w:tr w14:paraId="3C76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243F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子集</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C34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格式特征</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39E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有效配对数</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829F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胜者格式更多比例（%）</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D62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中位计数差</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3C4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7F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校正后 p 值</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F8B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rank-biserial r</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18C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中位密度差</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C8E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密度检验 p 值</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D85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效应分级</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048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显著性</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C85B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存在性卡方 p 值</w:t>
            </w:r>
          </w:p>
        </w:tc>
      </w:tr>
      <w:tr w14:paraId="638F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0F0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72F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601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908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43.4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ACB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12D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1B0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0.973</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E03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7EBD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F6A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0.548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E4E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CCC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80B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0.054</w:t>
            </w:r>
          </w:p>
        </w:tc>
      </w:tr>
      <w:tr w14:paraId="18346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8639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A40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ED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AF97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E9A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000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A6BD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6F3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0.469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28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8E2D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CD1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15D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E02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0.468</w:t>
            </w:r>
          </w:p>
        </w:tc>
      </w:tr>
      <w:tr w14:paraId="23C0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DD4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4FF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D76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3BE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5E51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2AC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B76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DCC1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0.498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90F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C500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0.836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431E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9948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EB0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r>
      <w:tr w14:paraId="34C73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C5C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43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308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4399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5D6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2771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2C3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0.008</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F3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71E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ED8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2AC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90A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DE8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0.448</w:t>
            </w:r>
          </w:p>
        </w:tc>
      </w:tr>
      <w:tr w14:paraId="79DB5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BCF5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94A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690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8DC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DA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DF2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A5B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0.079</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E236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1B2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B9E6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B04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F79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500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0.04</w:t>
            </w:r>
          </w:p>
        </w:tc>
      </w:tr>
      <w:tr w14:paraId="2DA39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5E0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DCE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938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94F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848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2E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+3.0]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3B78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0.073</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BD5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0.452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DAC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2C6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185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65C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AA18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r>
      <w:tr w14:paraId="3B771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DA1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588B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2DD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973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130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2BC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EFA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290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03A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72C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5B42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355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751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7C5F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1D6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25CC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1D8B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BC3D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DC3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1164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9D9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7AA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0.453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F1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3FB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0.945</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33C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624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01F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33E7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2FD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E39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3BD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F6F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FBD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79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F94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369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8C5F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F51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53D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52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4023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8C33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F46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9DD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33F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23F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5EC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47B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+4.0]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5906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72E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F7E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0.0007</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EDA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20D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B3B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2CF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B1E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F9B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80D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599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47B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9090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23B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457A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0.439</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E3C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771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635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6CA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FC1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002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8049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600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1C2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35D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D44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2AD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758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+3.0]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1E6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004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B2F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12E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0.873</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562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9C4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26C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5AC3D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86B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C8E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07C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4BA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E1C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220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814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F20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C776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DB4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0.324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518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CF4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05B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5F565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826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846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8274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8814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A52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D55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20FC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724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941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A43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0.335</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996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12E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9FB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F731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1926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7FF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D91D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DD6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770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A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936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BAB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54B1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FBD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0.786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F63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76A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41CA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DAEB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AF9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EC8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344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364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27F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888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+1.5]</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DB8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24BB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B95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318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A70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677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AC6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5C1C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947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BFF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F88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F49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4B3B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AD1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B18A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9E4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46A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133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0.063</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361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76F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1F6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0.178</w:t>
            </w:r>
          </w:p>
        </w:tc>
      </w:tr>
      <w:tr w14:paraId="23711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0E20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8B1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F31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F4B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1B7C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E0C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CA2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F96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2D4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-0.0001</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24A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0.867</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B66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11F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E60E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E7D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5A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537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3DF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8BA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C01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DC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3EA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0.088</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4A4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D2F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98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B21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4B1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00D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r>
      <w:tr w14:paraId="1F128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FA2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6F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F6C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A2A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D2FB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5C4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235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0.397</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769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C28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2CA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0.61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4C3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0A9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600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0.203</w:t>
            </w:r>
          </w:p>
        </w:tc>
      </w:tr>
      <w:tr w14:paraId="0FAC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AF7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6EB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5B8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C96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02F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005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+0.5]</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9E63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D5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2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BCA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F0D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28A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ABD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10ED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B8D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10E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5F1D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1B08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3A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E5B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4FB9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3D1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E23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BFFD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5BA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17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58F7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03AD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43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CDE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272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76D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20F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081B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0A7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4EF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1EF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347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EE1B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C9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F89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EB23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C4F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B76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C2E3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5AD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48.1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BCD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994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FF3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EC2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19C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519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E5BE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CFA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7E7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7F14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00F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81BE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DB9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77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6F3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9B3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D3AD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E11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57E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0.0003</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F78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9DB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EB60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0F2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CA74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C34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434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040B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AB0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52E2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0A8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84A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973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265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DB5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A9B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89A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452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944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509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5EC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E21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6020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3BF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E96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0C9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3BE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C53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510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0AF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A68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239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403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5978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29B5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444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2A2F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BBE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73F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1EB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E0A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0.368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2A4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0.0007</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98F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64C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D0C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9F5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D643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E17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4C1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C71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27AF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003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0435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5C7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06C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3A4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8C2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041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E3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78E5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D34A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763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67A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4FD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106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6E5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1E5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D3B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B60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8F6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E69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540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81A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62B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7D50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CD7C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698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43C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D5B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96A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382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BDB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F52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CEAC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7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F83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3AF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23E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D409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2A8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74C71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06F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95F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778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929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AC0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32BA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25A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FCD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BC9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27F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991C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FD64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8D7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61E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612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D12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FA8E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A58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D9B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2789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E8F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E09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AD0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8A0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83D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2A3D7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C3F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34DA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AB1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EFF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C44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C763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FE0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485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666B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1D9A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CE5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816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E8C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6F6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1164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0AD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F9F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BD8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DBD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242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D82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CD1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0A1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6E9E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DC4D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E62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6BF9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A38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234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D85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CAC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679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4C2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530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958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DC3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B007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BEA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6F8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3F3D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654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0D67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BFC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01D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6D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A945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B3D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5F4D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B5A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223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0C5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0.0005</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BFE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F69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723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A4F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CE84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148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33A9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1CE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462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F4D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273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899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F15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E16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390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C688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F21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2BE7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600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80D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3A7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0A1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E8D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A56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616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E37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1DF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0.354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502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C68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9E9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B2E3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5AF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bl>
    <w:p w14:paraId="0D61E13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3" w:name="_Toc12591"/>
      <w:r>
        <w:rPr>
          <w:rFonts w:hint="eastAsia" w:ascii="Times New Roman" w:hAnsi="Times New Roman" w:eastAsia="宋体" w:cs="Times New Roman"/>
          <w:sz w:val="24"/>
          <w:szCs w:val="24"/>
          <w:lang w:val="en-US" w:eastAsia="zh-CN"/>
        </w:rPr>
        <w:t>5.5 本章小结</w:t>
      </w:r>
      <w:bookmarkEnd w:id="53"/>
    </w:p>
    <w:p w14:paraId="33D00734">
      <w:pPr>
        <w:ind w:firstLine="420" w:firstLineChars="0"/>
      </w:pPr>
      <w:r>
        <w:t>本章通过描述统计、趋势比较与非参数检验确认了表层形式偏好的存在性。长度偏好在全量样本及多数子集中表现出稳定的中等效应，支持了 H1；格式偏好在绝对计数层面同样存在，但标题和粗体比列表更具稳定性，支持了 H2 的“格式分化”预期，由此来看，本文还进一步转向控制混淆后的净效应识别。</w:t>
      </w:r>
    </w:p>
    <w:p w14:paraId="5A172962">
      <w:r>
        <w:br w:type="page"/>
      </w:r>
    </w:p>
    <w:p w14:paraId="71D0D9C1">
      <w:pPr>
        <w:pStyle w:val="2"/>
        <w:rPr>
          <w:rFonts w:hint="eastAsia"/>
        </w:rPr>
      </w:pPr>
      <w:bookmarkStart w:id="54" w:name="_Toc29689"/>
      <w:r>
        <w:rPr>
          <w:rFonts w:hint="eastAsia"/>
        </w:rPr>
        <w:t>第六章 净效应估计与稳健性验证</w:t>
      </w:r>
      <w:bookmarkEnd w:id="54"/>
    </w:p>
    <w:p w14:paraId="3EFF3B5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5" w:name="_Toc31524"/>
      <w:r>
        <w:rPr>
          <w:rFonts w:hint="eastAsia" w:ascii="Times New Roman" w:hAnsi="Times New Roman" w:eastAsia="宋体" w:cs="Times New Roman"/>
          <w:sz w:val="24"/>
          <w:szCs w:val="24"/>
          <w:lang w:val="en-US" w:eastAsia="zh-CN"/>
        </w:rPr>
        <w:t>6.1 嵌套逻辑回归下的净效应分解</w:t>
      </w:r>
      <w:bookmarkEnd w:id="55"/>
    </w:p>
    <w:p w14:paraId="7E6AFA1B">
      <w:pPr>
        <w:spacing w:line="440" w:lineRule="exact"/>
        <w:ind w:firstLine="420"/>
        <w:rPr>
          <w:rFonts w:hint="eastAsia"/>
        </w:rPr>
      </w:pPr>
      <w:r>
        <w:t>为了识别长度和格式偏好中有多少属于控制混淆后仍保留的净效应，本文采用了嵌套逻辑回归。先看前置验证结果，模型胜率与平均 token 数的 Spearman 相关为 0.7171，与平均格式数的相关为 0.5318，这也说明模型能力与长度、格式风格之间存在明显共线性，这样一来，将 ability_diff、verbosity_diff 和 format_tendency_diff 纳入控制，是识别净效应的必要前提。</w:t>
      </w:r>
    </w:p>
    <w:p w14:paraId="483AD7F8">
      <w:pPr>
        <w:spacing w:line="440" w:lineRule="exact"/>
        <w:ind w:firstLine="420"/>
        <w:rPr>
          <w:rFonts w:hint="eastAsia"/>
        </w:rPr>
      </w:pPr>
      <w:r>
        <w:t>本文采用分层推进的嵌套设计，而非一次性投入全部变量。长度模型的 M0 只估计粗长度效应，M1 加入问题特征，M2 进一步加入 quality criteria，M3 再加入模型能力与风格代理变量；格式模型的 F0 到 F3 采用同样思路，并始终把 token_diff_ab 作为固定协变量纳入，这样设计的价值在于，可以直接观察核心 OR 如何随控制项扩展而变化，如果某个效应在加入控制后快速衰减，就说明它更可能受到混淆放大；如果控制后仍保持稳定，则更接近独立净效应。</w:t>
      </w:r>
    </w:p>
    <w:p w14:paraId="15690A87">
      <w:pPr>
        <w:spacing w:line="440" w:lineRule="exact"/>
        <w:ind w:firstLine="420"/>
        <w:rPr>
          <w:rFonts w:hint="eastAsia"/>
        </w:rPr>
      </w:pPr>
      <w:r>
        <w:t>在长度模型中，全量样本的 z_token_diff_ab 粗效应 OR 为 1.9045；加入问题特征与质量维度后变化很小；加入模型能力和风格后，M3 的净效应 OR 下降为 1.3551。按照本文的定义，混淆比例按 1 - (OR_M3 - 1) / (OR_M0 - 1) 计算，即 1 - (1.3551 - 1) / (1.9045 - 1) = 60.74%，这也说明原始长度粗效应中，约 61% 可由任务类型、质量维度以及模型能力与风格差异解释，剩余约 39% 为长度的独立净效应，这样也能看出，长度优势确实被模型层因素显著放大，但并没有在控制后消失。</w:t>
      </w:r>
    </w:p>
    <w:p w14:paraId="616CE549">
      <w:pPr>
        <w:spacing w:line="440" w:lineRule="exact"/>
        <w:ind w:firstLine="420"/>
        <w:rPr>
          <w:rFonts w:hint="eastAsia"/>
        </w:rPr>
      </w:pPr>
      <w:r>
        <w:t>进一步看全量样本 M3 的附加指标，AME 为 0.0760，Wald r 为 0.0817，这也说明在控制一系列问题层和模型层因素后，长度差每提高一个标准化单位，A 侧获胜概率平均仍会出现正向变化，但其强度已经明显低于粗模型阶段。长度效应并未消失，而是从“偏强的粗关联”收缩为“仍可检测到的净关联”；这也是本文强调“长度优势存在，但不能简单等同于长度本身因果作用”的原因。</w:t>
      </w:r>
    </w:p>
    <w:p w14:paraId="1D8528DD">
      <w:pPr>
        <w:spacing w:line="440" w:lineRule="exact"/>
        <w:ind w:firstLine="420"/>
        <w:rPr>
          <w:rFonts w:hint="eastAsia"/>
        </w:rPr>
      </w:pPr>
      <w:r>
        <w:t>在格式模型中，全量样本控制长度后，标题密度差、列表密度差和粗体密度差的粗格式效应 OR 分别为 1.1133、0.9398 和 1.1570。进一步控制问题特征、质量维度及模型能力和风格后，F3 中标题密度差净 OR 为 1.0606，粗体密度差净 OR 为 1.0855，列表密度差净 OR 仅为 1.0249，且其混淆比例高达 141.31%，对照来看，标题和粗体的混淆比例分别为 46.47% 和 45.55%，说明控制混淆后约一半粗效应仍然保留，这也说明标题和粗体存在较弱但稳定的独立作用，而列表主要呈现混淆驱动特征。</w:t>
      </w:r>
    </w:p>
    <w:p w14:paraId="5F1173F2">
      <w:pPr>
        <w:spacing w:line="440" w:lineRule="exact"/>
        <w:ind w:firstLine="420"/>
        <w:rPr>
          <w:rFonts w:hint="eastAsia"/>
        </w:rPr>
      </w:pPr>
      <w:r>
        <w:t>混淆比例表示粗效应被控制变量解释掉的程度。当混淆比例接近 0% 时，说明控制变量对原始结论影响较小；当混淆比例接近或超过 100% 时，则说明粗效应几乎完全由控制项解释，甚至方向都可能发生反转。列表密度的结果正体现了这一点，因而它不适合与标题、粗体并列写入主结论。</w:t>
      </w:r>
    </w:p>
    <w:p w14:paraId="23358EF7">
      <w:pPr>
        <w:spacing w:line="240" w:lineRule="auto"/>
        <w:rPr>
          <w:rFonts w:hint="eastAsia" w:eastAsia="宋体"/>
          <w:lang w:eastAsia="zh-CN"/>
        </w:rPr>
      </w:pPr>
      <w:r>
        <w:rPr>
          <w:rFonts w:hint="eastAsia" w:eastAsia="宋体"/>
          <w:lang w:eastAsia="zh-CN"/>
        </w:rPr>
        <w:drawing>
          <wp:inline distT="0" distB="0" distL="114300" distR="114300">
            <wp:extent cx="5935345" cy="3463290"/>
            <wp:effectExtent l="0" t="0" r="8255" b="11430"/>
            <wp:docPr id="15" name="图片 15" descr="P08_length_confounding_atte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08_length_confounding_attenuation"/>
                    <pic:cNvPicPr>
                      <a:picLocks noChangeAspect="1"/>
                    </pic:cNvPicPr>
                  </pic:nvPicPr>
                  <pic:blipFill>
                    <a:blip r:embed="rId16"/>
                    <a:stretch>
                      <a:fillRect/>
                    </a:stretch>
                  </pic:blipFill>
                  <pic:spPr>
                    <a:xfrm>
                      <a:off x="0" y="0"/>
                      <a:ext cx="5935345" cy="3463290"/>
                    </a:xfrm>
                    <a:prstGeom prst="rect">
                      <a:avLst/>
                    </a:prstGeom>
                  </pic:spPr>
                </pic:pic>
              </a:graphicData>
            </a:graphic>
          </wp:inline>
        </w:drawing>
      </w:r>
    </w:p>
    <w:p w14:paraId="7A9FDD1D">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6-1 格式偏好检验汇总图</w:t>
      </w:r>
    </w:p>
    <w:p w14:paraId="6D873B4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6" w:name="_Toc9917"/>
      <w:r>
        <w:rPr>
          <w:rFonts w:hint="eastAsia" w:ascii="Times New Roman" w:hAnsi="Times New Roman" w:eastAsia="宋体" w:cs="Times New Roman"/>
          <w:sz w:val="24"/>
          <w:szCs w:val="24"/>
          <w:lang w:val="en-US" w:eastAsia="zh-CN"/>
        </w:rPr>
        <w:t>6.2 调整逻辑回归与 IPW 稳健性验证</w:t>
      </w:r>
      <w:bookmarkEnd w:id="56"/>
    </w:p>
    <w:p w14:paraId="633ECC52">
      <w:pPr>
        <w:spacing w:line="440" w:lineRule="exact"/>
        <w:ind w:firstLine="420"/>
        <w:rPr>
          <w:rFonts w:hint="eastAsia"/>
        </w:rPr>
      </w:pPr>
      <w:r>
        <w:t>为避免结论依赖单一建模框架，本文还进一步采用调整逻辑回归和稳定化 IPW。对于长度效应，全量样本在剔除长度平局后保留 78,783 条记录，更长一侧获胜比例为 0.6236。粗模型 OR 为 2.7446，调整模型 OR 为 1.9103，IPW ATE 为 0.1489，95% 置信区间为 [0.1351, 0.1614]，这也说明了，在处理效应视角下，长度优势仍然显著存在。</w:t>
      </w:r>
    </w:p>
    <w:p w14:paraId="4B0D4989">
      <w:pPr>
        <w:spacing w:line="440" w:lineRule="exact"/>
        <w:ind w:firstLine="420"/>
        <w:rPr>
          <w:rFonts w:hint="eastAsia"/>
        </w:rPr>
      </w:pPr>
      <w:r>
        <w:t>这一部分与前面的净效应模型在识别语义上并不完全相同。调整逻辑回归回答的是“在控制观测协变量后，处理变量与结果之间是否仍呈稳定关联”；IPW 则尝试在观测协变量平衡后的伪总体中估计“如果把处理组和对照组放在同一背景分布下，处理平均会让结果增加多少”，这样一来，OR 和 ATE 不能简单互相替代。OR 描述的是赔率变化，ATE 描述的是概率层面的平均变化。两者方向一致、且 IPW 区间不跨 0，才构成更强的稳健性证据。</w:t>
      </w:r>
    </w:p>
    <w:p w14:paraId="2C8CD211">
      <w:pPr>
        <w:spacing w:line="440" w:lineRule="exact"/>
        <w:ind w:firstLine="420"/>
        <w:rPr>
          <w:rFonts w:hint="eastAsia"/>
        </w:rPr>
      </w:pPr>
      <w:r>
        <w:t>对于格式效应，标题密度主分析的全量样本中，调整模型 OR 为 1.1317，IPW ATE 为 0.0277，95% 置信区间为 [0.0221, 0.0358]；粗体密度的全量调整模型 OR 为 1.1060，IPW ATE 为 0.0246，95% 置信区间为 [0.0165, 0.0379]，对照来看，列表密度在全量样本中的辅助密度检验已不显著，在稳健性分析中也未被纳入主结论，只保留为敏感性变量。</w:t>
      </w:r>
    </w:p>
    <w:p w14:paraId="1B669673">
      <w:pPr>
        <w:spacing w:line="440" w:lineRule="exact"/>
        <w:ind w:firstLine="420"/>
        <w:rPr>
          <w:rFonts w:hint="eastAsia"/>
        </w:rPr>
      </w:pPr>
      <w:r>
        <w:t>本文在 IPW 中还同时关注倾向得分范围和 ESS。前者用来避免极端权重，后者用来判断加权后是否只剩少量样本在“支撑结论”。就全量长度分析而言，倾向得分被截断在 [0.0100, 0.9900]，ESS 为 20592.0，说明虽然加权会降低有效样本量，但结果并不是由极少数异常样本支撑起来的。格式分析中同样保留这一检查逻辑，从而避免仅凭显著结果做出过度解释。</w:t>
      </w:r>
    </w:p>
    <w:p w14:paraId="27A12EC3">
      <w:pPr>
        <w:spacing w:line="440" w:lineRule="exact"/>
        <w:ind w:firstLine="420"/>
        <w:rPr>
          <w:rFonts w:hint="eastAsia"/>
        </w:rPr>
      </w:pPr>
      <w:r>
        <w:t>稳健性结果说明，H3 在全量样本层面得到了明确支持，但不同任务子集存在明显异质性。如，仅创意写作子集调整 OR 为 1.9939、IPW ATE 为 0.1755；仅代码子集调整 OR 为 1.7755、IPW ATE 为 0.1562；而仅数学子集调整 OR 仅为 1.3403、IPW ATE 为 0.0717，数学场景的长度净效应明显偏弱，与嵌套回归中数学子集混淆比例高达 71.19% 的发现相互印证。格式效应同样受任务语境影响，在部分创意写作、代码子集中的标题或粗体稳健性差异更为有限。</w:t>
      </w:r>
    </w:p>
    <w:p w14:paraId="21D1E0B8">
      <w:pPr>
        <w:pStyle w:val="5"/>
        <w:spacing w:line="440" w:lineRule="exact"/>
        <w:ind w:firstLine="420"/>
        <w:rPr>
          <w:rFonts w:hint="eastAsia"/>
        </w:rPr>
      </w:pPr>
      <w:r>
        <w:rPr>
          <w:rFonts w:hint="eastAsia"/>
        </w:rPr>
        <w:t>表 6-1 长度与格式稳健性结果汇总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591"/>
        <w:gridCol w:w="1596"/>
        <w:gridCol w:w="1596"/>
        <w:gridCol w:w="1597"/>
        <w:gridCol w:w="1592"/>
      </w:tblGrid>
      <w:tr w14:paraId="2EBC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3DDC639">
            <w:r>
              <w:rPr>
                <w:b/>
              </w:rPr>
              <w:t>特征</w:t>
            </w:r>
          </w:p>
        </w:tc>
        <w:tc>
          <w:tcPr>
            <w:tcW w:w="1606" w:type="dxa"/>
          </w:tcPr>
          <w:p w14:paraId="3B945147">
            <w:r>
              <w:rPr>
                <w:b/>
              </w:rPr>
              <w:t>分析角色</w:t>
            </w:r>
          </w:p>
        </w:tc>
        <w:tc>
          <w:tcPr>
            <w:tcW w:w="1606" w:type="dxa"/>
          </w:tcPr>
          <w:p w14:paraId="01224A11">
            <w:r>
              <w:rPr>
                <w:b/>
              </w:rPr>
              <w:t>样本量</w:t>
            </w:r>
          </w:p>
        </w:tc>
        <w:tc>
          <w:tcPr>
            <w:tcW w:w="1606" w:type="dxa"/>
          </w:tcPr>
          <w:p w14:paraId="36562EBB">
            <w:r>
              <w:rPr>
                <w:b/>
              </w:rPr>
              <w:t>调整 OR [95% CI]</w:t>
            </w:r>
          </w:p>
        </w:tc>
        <w:tc>
          <w:tcPr>
            <w:tcW w:w="1606" w:type="dxa"/>
          </w:tcPr>
          <w:p w14:paraId="03609DDF">
            <w:r>
              <w:rPr>
                <w:b/>
              </w:rPr>
              <w:t>IPW ATE [95% CI]</w:t>
            </w:r>
          </w:p>
        </w:tc>
        <w:tc>
          <w:tcPr>
            <w:tcW w:w="1606" w:type="dxa"/>
          </w:tcPr>
          <w:p w14:paraId="1E80C03E">
            <w:r>
              <w:rPr>
                <w:b/>
              </w:rPr>
              <w:t>结论</w:t>
            </w:r>
          </w:p>
        </w:tc>
      </w:tr>
      <w:tr w14:paraId="7727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4096F1D">
            <w:r>
              <w:t>长度差 / longer_a</w:t>
            </w:r>
          </w:p>
        </w:tc>
        <w:tc>
          <w:tcPr>
            <w:tcW w:w="1606" w:type="dxa"/>
          </w:tcPr>
          <w:p w14:paraId="055B21D4">
            <w:r>
              <w:t>主分析</w:t>
            </w:r>
          </w:p>
        </w:tc>
        <w:tc>
          <w:tcPr>
            <w:tcW w:w="1606" w:type="dxa"/>
          </w:tcPr>
          <w:p w14:paraId="0F1B3B90">
            <w:r>
              <w:t>78,783</w:t>
            </w:r>
          </w:p>
        </w:tc>
        <w:tc>
          <w:tcPr>
            <w:tcW w:w="1606" w:type="dxa"/>
          </w:tcPr>
          <w:p w14:paraId="4D95615B">
            <w:r>
              <w:t>1.910 [1.842, 1.982]</w:t>
            </w:r>
          </w:p>
        </w:tc>
        <w:tc>
          <w:tcPr>
            <w:tcW w:w="1606" w:type="dxa"/>
          </w:tcPr>
          <w:p w14:paraId="36472F6D">
            <w:r>
              <w:t>0.149 [0.135, 0.161]</w:t>
            </w:r>
          </w:p>
        </w:tc>
        <w:tc>
          <w:tcPr>
            <w:tcW w:w="1606" w:type="dxa"/>
          </w:tcPr>
          <w:p w14:paraId="4F002A1C">
            <w:r>
              <w:t>稳健保留</w:t>
            </w:r>
          </w:p>
        </w:tc>
      </w:tr>
      <w:tr w14:paraId="3F48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77F8439D">
            <w:r>
              <w:t>标题密度</w:t>
            </w:r>
          </w:p>
        </w:tc>
        <w:tc>
          <w:tcPr>
            <w:tcW w:w="1606" w:type="dxa"/>
          </w:tcPr>
          <w:p w14:paraId="3CCBC72A">
            <w:r>
              <w:t>主分析</w:t>
            </w:r>
          </w:p>
        </w:tc>
        <w:tc>
          <w:tcPr>
            <w:tcW w:w="1606" w:type="dxa"/>
          </w:tcPr>
          <w:p w14:paraId="69312EDB">
            <w:r>
              <w:t>49,092</w:t>
            </w:r>
          </w:p>
        </w:tc>
        <w:tc>
          <w:tcPr>
            <w:tcW w:w="1606" w:type="dxa"/>
          </w:tcPr>
          <w:p w14:paraId="6C521206">
            <w:r>
              <w:t>1.132 [1.083, 1.182]</w:t>
            </w:r>
          </w:p>
        </w:tc>
        <w:tc>
          <w:tcPr>
            <w:tcW w:w="1606" w:type="dxa"/>
          </w:tcPr>
          <w:p w14:paraId="06E1389A">
            <w:r>
              <w:t>0.028 [0.022, 0.036]</w:t>
            </w:r>
          </w:p>
        </w:tc>
        <w:tc>
          <w:tcPr>
            <w:tcW w:w="1606" w:type="dxa"/>
          </w:tcPr>
          <w:p w14:paraId="36221845">
            <w:r>
              <w:t>独立正向</w:t>
            </w:r>
          </w:p>
        </w:tc>
      </w:tr>
      <w:tr w14:paraId="1001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21304AC">
            <w:r>
              <w:t>粗体密度</w:t>
            </w:r>
          </w:p>
        </w:tc>
        <w:tc>
          <w:tcPr>
            <w:tcW w:w="1606" w:type="dxa"/>
          </w:tcPr>
          <w:p w14:paraId="744C0679">
            <w:r>
              <w:t>主分析</w:t>
            </w:r>
          </w:p>
        </w:tc>
        <w:tc>
          <w:tcPr>
            <w:tcW w:w="1606" w:type="dxa"/>
          </w:tcPr>
          <w:p w14:paraId="45CD5AEA">
            <w:r>
              <w:t>70,193</w:t>
            </w:r>
          </w:p>
        </w:tc>
        <w:tc>
          <w:tcPr>
            <w:tcW w:w="1606" w:type="dxa"/>
          </w:tcPr>
          <w:p w14:paraId="6C55D890">
            <w:r>
              <w:t>1.106 [1.064, 1.149]</w:t>
            </w:r>
          </w:p>
        </w:tc>
        <w:tc>
          <w:tcPr>
            <w:tcW w:w="1606" w:type="dxa"/>
          </w:tcPr>
          <w:p w14:paraId="40F70B03">
            <w:r>
              <w:t>0.025 [0.017, 0.038]</w:t>
            </w:r>
          </w:p>
        </w:tc>
        <w:tc>
          <w:tcPr>
            <w:tcW w:w="1606" w:type="dxa"/>
          </w:tcPr>
          <w:p w14:paraId="317906F2">
            <w:r>
              <w:t>独立正向</w:t>
            </w:r>
          </w:p>
        </w:tc>
      </w:tr>
      <w:tr w14:paraId="6D31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7FA45DF8">
            <w:r>
              <w:t>列表密度</w:t>
            </w:r>
          </w:p>
        </w:tc>
        <w:tc>
          <w:tcPr>
            <w:tcW w:w="1606" w:type="dxa"/>
          </w:tcPr>
          <w:p w14:paraId="3809AAE7">
            <w:r>
              <w:t>敏感性分析</w:t>
            </w:r>
          </w:p>
        </w:tc>
        <w:tc>
          <w:tcPr>
            <w:tcW w:w="1606" w:type="dxa"/>
          </w:tcPr>
          <w:p w14:paraId="05DB32D1">
            <w:r>
              <w:t>69,305</w:t>
            </w:r>
          </w:p>
        </w:tc>
        <w:tc>
          <w:tcPr>
            <w:tcW w:w="1606" w:type="dxa"/>
          </w:tcPr>
          <w:p w14:paraId="67132464">
            <w:r>
              <w:t>1.026 [0.992, 1.062]</w:t>
            </w:r>
          </w:p>
        </w:tc>
        <w:tc>
          <w:tcPr>
            <w:tcW w:w="1606" w:type="dxa"/>
          </w:tcPr>
          <w:p w14:paraId="3F1BD1AD">
            <w:r>
              <w:t>0.002 [-0.005, 0.009]</w:t>
            </w:r>
          </w:p>
        </w:tc>
        <w:tc>
          <w:tcPr>
            <w:tcW w:w="1606" w:type="dxa"/>
          </w:tcPr>
          <w:p w14:paraId="21DC2A9E">
            <w:r>
              <w:t>不作主结论</w:t>
            </w:r>
          </w:p>
        </w:tc>
      </w:tr>
    </w:tbl>
    <w:p w14:paraId="58DD2EFC">
      <w:pPr>
        <w:spacing w:line="440" w:lineRule="exact"/>
        <w:ind w:firstLine="420"/>
        <w:rPr>
          <w:rFonts w:hint="eastAsia"/>
        </w:rPr>
      </w:pPr>
    </w:p>
    <w:p w14:paraId="661E0AAC">
      <w:r>
        <w:t>注：表 6-1 中“净效应”对应控制混淆后的回归 OR，“处理效应”对应 IPW 框架下的 ATE。二者刻画对象不同，不宜直接比较数值大小；列表密度仅作为敏感性分析保留。</w:t>
      </w:r>
    </w:p>
    <w:p w14:paraId="3914C5E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7" w:name="_Toc4506"/>
      <w:r>
        <w:rPr>
          <w:rFonts w:hint="eastAsia" w:ascii="Times New Roman" w:hAnsi="Times New Roman" w:eastAsia="宋体" w:cs="Times New Roman"/>
          <w:sz w:val="24"/>
          <w:szCs w:val="24"/>
          <w:lang w:val="en-US" w:eastAsia="zh-CN"/>
        </w:rPr>
        <w:t>6.3 倾向得分匹配与平衡性诊断</w:t>
      </w:r>
      <w:bookmarkEnd w:id="57"/>
    </w:p>
    <w:p w14:paraId="1E9C167E">
      <w:pPr>
        <w:spacing w:line="440" w:lineRule="exact"/>
        <w:ind w:firstLine="420"/>
        <w:rPr>
          <w:rFonts w:hint="eastAsia"/>
        </w:rPr>
      </w:pPr>
      <w:r>
        <w:rPr>
          <w:rFonts w:hint="eastAsia"/>
        </w:rPr>
        <w:t>除了加权估计之外，本文还采用 1:1 最近邻倾向得分匹配，并以标准化均值差作为平衡性指标。全量样本中，共匹配 39,237 对，treated match rate 为 100%，公共支持区间覆盖率为 100%。匹配前 max|SMD| 为 1.4732，mean|SMD| 为 0.2502；匹配后分别降至 0.1765 和 0.0597，说明样本可比性显著改善。</w:t>
      </w:r>
    </w:p>
    <w:p w14:paraId="205DA8ED">
      <w:pPr>
        <w:spacing w:line="440" w:lineRule="exact"/>
        <w:ind w:firstLine="420"/>
        <w:rPr>
          <w:rFonts w:hint="eastAsia"/>
        </w:rPr>
      </w:pPr>
      <w:r>
        <w:t>在具体实现上，本文使用的是按 logit(PS) 距离进行的 1:1 最近邻匹配，有放回，且设置 caliper 为 0.2 × SD(logit_ps)，这一配置的目的，是在尽量保留样本规模的同时，提高每个处理样本所对应对照样本的相似度。使用 logit(PS) 而不是原始 PS 空间，是因为 PS 在接近 0 或 1 时会压缩距离，而 logit 变换后的距离更稳定。设置 caliper 则是为了防止“最近邻但仍然很远”的强行匹配。</w:t>
      </w:r>
    </w:p>
    <w:p w14:paraId="210779DD">
      <w:pPr>
        <w:spacing w:line="440" w:lineRule="exact"/>
        <w:ind w:firstLine="420"/>
        <w:rPr>
          <w:rFonts w:hint="eastAsia"/>
        </w:rPr>
      </w:pPr>
      <w:r>
        <w:t>SMD 是本文判断平衡性是否改善的核心指标，因为它不依赖样本量，能更直接地反映协变量分布差异。经验上，mean|SMD| 接近或低于 0.1 往往可以视为较好的整体平衡状态。全量样本匹配后 mean|SMD| 降至 0.0597，因而后续在匹配样本上再做 ATE 估计和配对 Wilcoxon，才有真正的方法学意义，也就是说，本研究并不是把“匹配成功”当成终点，而是把“平衡性改善 + 效应仍在”视为稳健性链条中的两步证据。</w:t>
      </w:r>
    </w:p>
    <w:p w14:paraId="67C157C4">
      <w:pPr>
        <w:spacing w:line="440" w:lineRule="exact"/>
        <w:ind w:firstLine="420"/>
        <w:rPr>
          <w:rFonts w:hint="eastAsia"/>
        </w:rPr>
      </w:pPr>
      <w:r>
        <w:t>在这个基础上，匹配后 ATE 仍为 0.1601，配对 Wilcoxon 检验 p 值为 0，也就是说，即使在强制构造更可比的处理组和对照组之后，长度优势依然成立，这一点进一步强化了本文的判断：长度偏好不是原始样本失衡造成的单纯表象，而是有较强稳健性的统计事实。</w:t>
      </w:r>
    </w:p>
    <w:p w14:paraId="33F2FD87">
      <w:pPr>
        <w:spacing w:line="240" w:lineRule="auto"/>
        <w:rPr>
          <w:rFonts w:hint="eastAsia" w:eastAsia="宋体"/>
          <w:lang w:eastAsia="zh-CN"/>
        </w:rPr>
      </w:pPr>
      <w:r>
        <w:rPr>
          <w:rFonts w:hint="eastAsia" w:eastAsia="宋体"/>
          <w:lang w:eastAsia="zh-CN"/>
        </w:rPr>
        <w:drawing>
          <wp:inline distT="0" distB="0" distL="114300" distR="114300">
            <wp:extent cx="5932170" cy="3298825"/>
            <wp:effectExtent l="0" t="0" r="11430" b="8255"/>
            <wp:docPr id="16" name="图片 16" descr="P12_matching_diagnostic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12_matching_diagnostics_overview"/>
                    <pic:cNvPicPr>
                      <a:picLocks noChangeAspect="1"/>
                    </pic:cNvPicPr>
                  </pic:nvPicPr>
                  <pic:blipFill>
                    <a:blip r:embed="rId17"/>
                    <a:stretch>
                      <a:fillRect/>
                    </a:stretch>
                  </pic:blipFill>
                  <pic:spPr>
                    <a:xfrm>
                      <a:off x="0" y="0"/>
                      <a:ext cx="5932170" cy="3298825"/>
                    </a:xfrm>
                    <a:prstGeom prst="rect">
                      <a:avLst/>
                    </a:prstGeom>
                  </pic:spPr>
                </pic:pic>
              </a:graphicData>
            </a:graphic>
          </wp:inline>
        </w:drawing>
      </w:r>
    </w:p>
    <w:p w14:paraId="062A2620">
      <w:pPr>
        <w:pStyle w:val="5"/>
        <w:spacing w:line="240" w:lineRule="auto"/>
        <w:ind w:firstLine="420"/>
        <w:jc w:val="center"/>
        <w:rPr>
          <w:rFonts w:hint="eastAsia"/>
        </w:rPr>
      </w:pPr>
      <w:r>
        <w:rPr>
          <w:rFonts w:hint="eastAsia" w:ascii="黑体" w:hAnsi="黑体" w:eastAsia="黑体" w:cs="黑体"/>
          <w:sz w:val="16"/>
          <w:szCs w:val="16"/>
        </w:rPr>
        <w:t>图 6-2 匹配诊断总览图</w:t>
      </w:r>
    </w:p>
    <w:p w14:paraId="278A7A4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8" w:name="_Toc13622"/>
      <w:r>
        <w:rPr>
          <w:rFonts w:hint="eastAsia" w:ascii="Times New Roman" w:hAnsi="Times New Roman" w:eastAsia="宋体" w:cs="Times New Roman"/>
          <w:sz w:val="24"/>
          <w:szCs w:val="24"/>
          <w:lang w:val="en-US" w:eastAsia="zh-CN"/>
        </w:rPr>
        <w:t>6.4 本章小结</w:t>
      </w:r>
      <w:bookmarkEnd w:id="58"/>
    </w:p>
    <w:p w14:paraId="7749D4CD">
      <w:r>
        <w:t>本章通过嵌套逻辑回归、调整逻辑回归、IPW 与 PSM，系统估计了长度与格式变量在控制混淆后的净效应，并验证了主要结论的稳健性。长度优势在多种框架下都保持显著，标题密度与粗体密度虽效应规模较小，但仍表现出稳定的独立正向作用；列表密度则主要体现为长度扩张和文本组织方式的伴生信号。</w:t>
      </w:r>
    </w:p>
    <w:p w14:paraId="0EA672DD">
      <w:pPr>
        <w:rPr>
          <w:rFonts w:hint="eastAsia"/>
        </w:rPr>
      </w:pPr>
      <w:r>
        <w:rPr>
          <w:rFonts w:hint="eastAsia"/>
        </w:rPr>
        <w:br w:type="page"/>
      </w:r>
    </w:p>
    <w:p w14:paraId="4BD5EE1B">
      <w:pPr>
        <w:pStyle w:val="2"/>
        <w:rPr>
          <w:rFonts w:hint="eastAsia"/>
        </w:rPr>
      </w:pPr>
      <w:bookmarkStart w:id="59" w:name="_Toc22074"/>
      <w:r>
        <w:rPr>
          <w:rFonts w:hint="eastAsia"/>
        </w:rPr>
        <w:t>第七章 机制探索与路径分析</w:t>
      </w:r>
      <w:bookmarkEnd w:id="59"/>
    </w:p>
    <w:p w14:paraId="25B48427">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0" w:name="_Toc26204"/>
      <w:r>
        <w:rPr>
          <w:rFonts w:hint="eastAsia" w:ascii="Times New Roman" w:hAnsi="Times New Roman" w:eastAsia="宋体" w:cs="Times New Roman"/>
          <w:sz w:val="24"/>
          <w:szCs w:val="24"/>
          <w:lang w:val="en-US" w:eastAsia="zh-CN"/>
        </w:rPr>
        <w:t>7.1 路径分析框架与变量设定</w:t>
      </w:r>
      <w:bookmarkEnd w:id="60"/>
    </w:p>
    <w:p w14:paraId="4B7328E1">
      <w:pPr>
        <w:spacing w:line="440" w:lineRule="exact"/>
        <w:ind w:firstLine="420"/>
        <w:rPr>
          <w:rFonts w:hint="eastAsia"/>
        </w:rPr>
      </w:pPr>
      <w:r>
        <w:t>前述分析已经证明，长度偏好和部分格式偏好在控制混淆后仍然存在，但这仍主要停留在“是否存在”与“是否稳健”的层面。为了进一步考察这些变量如何共同进入最终偏好判断，本文构建了了结构方程模型，并将 token_diff_ab、header_density_diff 和 bold_density_diff 作为主模型路径层变量；扩展模型额外加入 list_density_diff，仅作敏感性分析。</w:t>
      </w:r>
    </w:p>
    <w:p w14:paraId="5277B673">
      <w:pPr>
        <w:spacing w:line="440" w:lineRule="exact"/>
        <w:ind w:firstLine="420"/>
        <w:rPr>
          <w:rFonts w:hint="eastAsia"/>
        </w:rPr>
      </w:pPr>
      <w:r>
        <w:t>模型的外生层变量包括任务类型、质量维度、模型能力差、冗长度风格差、格式倾向差、用户输入长度与回合数等控制项，结果层变量为 winner_a，这样的设计使本文能够同时观察能力差异、风格差异与路径层变量对偏好结果的影响。</w:t>
      </w:r>
    </w:p>
    <w:p w14:paraId="0DC828D3">
      <w:pPr>
        <w:spacing w:line="440" w:lineRule="exact"/>
        <w:ind w:firstLine="420"/>
        <w:rPr>
          <w:rFonts w:hint="eastAsia"/>
        </w:rPr>
      </w:pPr>
      <w:r>
        <w:t>从方法类型上看，本文使用的是观测变量 SEM，而不是潜变量测量模型，也就是说，模型并不试图把“质量”“结构化程度”抽象为潜在因子，而是直接使用已经在前序分析中定义好的可观测变量建模，这种处理更贴合本项目的数据条件，也能保证 SEM 与前文的逻辑回归、IPW、PSM 使用的是同一套分析口径，而不是重新发明一套难以对照的新变量体系。</w:t>
      </w:r>
    </w:p>
    <w:p w14:paraId="6C50713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1" w:name="_Toc22619"/>
      <w:r>
        <w:rPr>
          <w:rFonts w:hint="eastAsia" w:ascii="Times New Roman" w:hAnsi="Times New Roman" w:eastAsia="宋体" w:cs="Times New Roman"/>
          <w:sz w:val="24"/>
          <w:szCs w:val="24"/>
          <w:lang w:val="en-US" w:eastAsia="zh-CN"/>
        </w:rPr>
        <w:t>7.2 模型拟合与结构关系检验</w:t>
      </w:r>
      <w:bookmarkEnd w:id="61"/>
    </w:p>
    <w:p w14:paraId="5AFB3E0C">
      <w:pPr>
        <w:spacing w:line="440" w:lineRule="exact"/>
        <w:ind w:firstLine="420"/>
        <w:rPr>
          <w:rFonts w:hint="eastAsia"/>
        </w:rPr>
      </w:pPr>
      <w:r>
        <w:rPr>
          <w:rFonts w:hint="eastAsia"/>
        </w:rPr>
        <w:t>主模型使用 78,970 条样本进行估计，拟合指标表现良好，CFI=0.9998，TLI=0.9998，RMSEA=0.0030。扩展模型虽然在数值上给出更高的拟合指标，但由于 list_density_diff 在前序分析中被识别为敏感性变量，本文仍以主模型作为正式结论依据。</w:t>
      </w:r>
    </w:p>
    <w:p w14:paraId="6D94F7F1">
      <w:pPr>
        <w:spacing w:line="440" w:lineRule="exact"/>
        <w:ind w:firstLine="420"/>
        <w:rPr>
          <w:rFonts w:hint="eastAsia"/>
        </w:rPr>
      </w:pPr>
      <w:r>
        <w:t>从关键路径估计看，winner_a 对 token_diff_ab、header_density_diff 和 bold_density_diff 的路径系数均为正，表明在控制外生变量后，长度差、标题密度差和粗体密度差都与偏好方向正相关，同时，ability_diff、verbosity_diff 和 format_tendency_diff 会显著影响路径层变量，说明偏好中的形式特征确实嵌入在更复杂的模型风格结构中。</w:t>
      </w:r>
    </w:p>
    <w:p w14:paraId="449B05C5">
      <w:pPr>
        <w:spacing w:line="440" w:lineRule="exact"/>
        <w:ind w:firstLine="420"/>
        <w:rPr>
          <w:rFonts w:hint="eastAsia"/>
        </w:rPr>
      </w:pPr>
      <w:r>
        <w:rPr>
          <w:rFonts w:hint="eastAsia"/>
        </w:rPr>
        <w:t>这里对拟合指标的解读需要保持克制。CFI 和 TLI 接近 1、RMSEA 接近 0，说明主模型作为一张整体路径网络，能够较好贴合样本中的协方差结构；但这并不意味着模型设定就是唯一正确的。主模型之所以仍优先于扩展模型，不是因为扩展模型拟合“更差”，而是因为列表变量在前序稳健性分析中并未表现出足够稳定的独立效应。换言之，本文选择主模型，是基于“拟合充分 + 理论简洁 + 与前序证据一致”的综合原则，而不是单纯挑选一个拟合值最好看的模型。</w:t>
      </w:r>
    </w:p>
    <w:p w14:paraId="66A603EC">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2" w:name="_Toc26460"/>
      <w:r>
        <w:rPr>
          <w:rFonts w:hint="eastAsia" w:ascii="Times New Roman" w:hAnsi="Times New Roman" w:eastAsia="宋体" w:cs="Times New Roman"/>
          <w:sz w:val="24"/>
          <w:szCs w:val="24"/>
          <w:lang w:val="en-US" w:eastAsia="zh-CN"/>
        </w:rPr>
        <w:t>7.3 长度与格式特征的作用路径分析</w:t>
      </w:r>
      <w:bookmarkEnd w:id="62"/>
    </w:p>
    <w:p w14:paraId="70A3A26D">
      <w:pPr>
        <w:spacing w:line="440" w:lineRule="exact"/>
        <w:ind w:firstLine="420"/>
        <w:rPr>
          <w:rFonts w:hint="eastAsia"/>
        </w:rPr>
      </w:pPr>
      <w:r>
        <w:t>为了避免把 SEM 结果压缩成一句“路径显著”，本节按变量链条逐条解释主模型中的关键路径。先看 token_diff_ab 到 winner_a 的路径系数，其值为 0.6073，方向为正，说明在控制能力差、风格差、任务类型和质量维度后，A 侧相对更长时，A 侧获胜概率仍倾向上升，这条路径对应的是“长度差作为路径层变量对偏好的直接贡献”，也是前文长度稳健性结果在路径框架中的延续。</w:t>
      </w:r>
    </w:p>
    <w:p w14:paraId="57287F45">
      <w:pPr>
        <w:spacing w:line="440" w:lineRule="exact"/>
        <w:ind w:firstLine="420"/>
        <w:rPr>
          <w:rFonts w:hint="eastAsia"/>
        </w:rPr>
      </w:pPr>
      <w:r>
        <w:t>二是，header_density_diff 到 winner_a 的路径系数为 0.0173，bold_density_diff 到 winner_a 的路径系数为 0.0215，二者方向同样为正。虽然这两个数值明显小于长度路径系数，但它们在 Bootstrap 区间中都排除了 0，说明标题和粗体并不只是“附带好看”的装饰，而是在控制长度和模型风格后，仍然能独立提高被选择概率。换言之，用户对结构化表达的奖励，并不完全依赖文本更长这一前提。</w:t>
      </w:r>
    </w:p>
    <w:p w14:paraId="39009360">
      <w:pPr>
        <w:spacing w:line="440" w:lineRule="exact"/>
        <w:ind w:firstLine="420"/>
        <w:rPr>
          <w:rFonts w:hint="eastAsia"/>
        </w:rPr>
      </w:pPr>
      <w:r>
        <w:t>三是，ability_diff 到 winner_a 的直接路径系数为 0.1549，表明模型能力差越偏向 A，A 侧越容易直接获胜，这一路径代表的是“能力优势本身”对偏好的贡献，而不是通过长度或格式转译后的贡献。与之对应，ability_diff 到 token_diff_ab 的路径系数为 -0.0218，且“能力→长度→偏好”的 Bootstrap 区间跨 0，这也说明能力更强的模型并不是稳定地靠“写得更长”来赢，对照来看，“能力→标题密度→偏好”和“能力→粗体密度→偏好”的间接效应区间均排除 0，提示更强模型更可能通过更有效的结构组织，而不是单纯拉长文本，来获得额外偏好优势。</w:t>
      </w:r>
    </w:p>
    <w:p w14:paraId="249F9616">
      <w:pPr>
        <w:spacing w:line="440" w:lineRule="exact"/>
        <w:ind w:firstLine="420"/>
        <w:rPr>
          <w:rFonts w:hint="eastAsia"/>
        </w:rPr>
      </w:pPr>
      <w:r>
        <w:t>四是，verbosity_diff 到 token_diff_ab 的路径系数为 0.5020，而 verbosity_diff 到 winner_a 的直接路径系数为 -0.2608。两条路径合起来说明：冗长度风格确实会推高长度差，但这种“更会写长”并不等于“更受喜欢”；在控制住实际长度差和格式差之后，纯粹的冗长倾向反而与偏好呈负向关系，这一结果有助于区分“有效长度”与“无效冗长”：前者可能带来信息充分感，后者则可能表现为啰嗦和低效率。</w:t>
      </w:r>
    </w:p>
    <w:p w14:paraId="0FD09FA0">
      <w:pPr>
        <w:spacing w:line="440" w:lineRule="exact"/>
        <w:ind w:firstLine="420"/>
        <w:rPr>
          <w:rFonts w:hint="eastAsia"/>
        </w:rPr>
      </w:pPr>
      <w:r>
        <w:t>五是，format_tendency_diff 到 winner_a 的直接路径系数为 -0.0236，且其 Bootstrap 区间跨 0；但 format_tendency_diff 到 header_density_diff 的路径系数为 0.6551，到 bold_density_diff 的路径系数为 0.8300，且通过标题与粗体进入 winner_a 的间接路径区间均排除 0，这也说明“模型整体更偏好格式化表达”本身并不会自动转化为更高偏好，真正被用户奖励的是可以被直接感知的具体格式策略，如清晰的小标题和重点强调，而不是抽象的格式倾向标签。</w:t>
      </w:r>
    </w:p>
    <w:p w14:paraId="49048EEF">
      <w:pPr>
        <w:spacing w:line="440" w:lineRule="exact"/>
        <w:ind w:firstLine="420"/>
        <w:rPr>
          <w:rFonts w:hint="eastAsia"/>
        </w:rPr>
      </w:pPr>
      <w:r>
        <w:t>三是，主模型中允许 header_density_diff 与 bold_density_diff 存在协方差，这一设定的含义并不是“标题导致粗体”或“粗体导致标题”，而是承认二者作为结构化表达策略常常共同出现。它提醒我们：在机制解释中，不应把所有共现都误读为因果顺序。有些关系只是表示两种风格在未观测层面仍共享同一组织倾向。</w:t>
      </w:r>
    </w:p>
    <w:p w14:paraId="3A3D6E6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3" w:name="_Toc26313"/>
      <w:r>
        <w:rPr>
          <w:rFonts w:hint="eastAsia" w:ascii="Times New Roman" w:hAnsi="Times New Roman" w:eastAsia="宋体" w:cs="Times New Roman"/>
          <w:sz w:val="24"/>
          <w:szCs w:val="24"/>
          <w:lang w:val="en-US" w:eastAsia="zh-CN"/>
        </w:rPr>
        <w:t>7.4 直接效应、间接效应与结构分解</w:t>
      </w:r>
      <w:bookmarkEnd w:id="63"/>
    </w:p>
    <w:p w14:paraId="6118E17A">
      <w:pPr>
        <w:spacing w:line="440" w:lineRule="exact"/>
        <w:ind w:firstLine="420"/>
        <w:rPr>
          <w:rFonts w:hint="eastAsia"/>
        </w:rPr>
      </w:pPr>
      <w:r>
        <w:t>Bootstrap 95% 置信区间的解释需要结合重采样规模一起阅读。本文主模型的 bootstrap 设定为 50 次，最终有效重采样为 46 次，未成功的 4 次来自重采样样本在 semopy 拟合阶段失败，这样一来，相关区间更适合作为机制层的辅助证据，而不宜被当作高精度估计。就有效重采样结果而言，标题密度直接效应的区间为 [0.0086, 0.0263]，粗体密度直接效应的区间为 [0.0096, 0.0361]，均排除 0；而长度直接效应的区间为 [-0.0690, 1.5056]，跨越 0，这并不否定长度优势在前述检验中的稳健存在，而是提示长度变量在机制层面可能同时承载冗长度、模型能力和回答组织方式等多重代理含义，因而其路径解释比标题和粗体更复杂。</w:t>
      </w:r>
    </w:p>
    <w:p w14:paraId="371FDA76">
      <w:pPr>
        <w:spacing w:line="440" w:lineRule="exact"/>
        <w:ind w:firstLine="420"/>
        <w:rPr>
          <w:rFonts w:hint="eastAsia"/>
        </w:rPr>
      </w:pPr>
      <w:r>
        <w:t>与此同时，格式倾向的直接效应区间跨 0，但“格式倾向→标题密度→偏好”和“格式倾向→粗体密度→偏好”的间接效应区间均排除 0，这也说明某些模型风格并不是直接让回答更容易获胜，而是通过生成更具结构性的标题与重点标记，间接提高被选择概率。</w:t>
      </w:r>
    </w:p>
    <w:p w14:paraId="1872F9C1">
      <w:pPr>
        <w:spacing w:line="440" w:lineRule="exact"/>
        <w:ind w:firstLine="420"/>
        <w:rPr>
          <w:rFonts w:hint="eastAsia"/>
        </w:rPr>
      </w:pPr>
      <w:r>
        <w:t>这样一来，H4 可以得到谨慎支持：长度和关键格式变量确实共同进入了偏好形成过程，但标题与粗体的路径更接近可直接解释的形式效应，而长度更像一个在统计层面稳健、在机制层面仍需进一步拆分的综合性代理变量。</w:t>
      </w:r>
    </w:p>
    <w:p w14:paraId="65F4F2CE">
      <w:pPr>
        <w:spacing w:line="440" w:lineRule="exact"/>
        <w:ind w:firstLine="420"/>
        <w:rPr>
          <w:rFonts w:hint="eastAsia"/>
        </w:rPr>
      </w:pPr>
      <w:r>
        <w:t>若从效应分解的角度来读，上述结果实际上对应三种不同的变量角色。长度差既是前文最稳健的统计关联变量，又在路径层面呈现“点估计为正但区间跨 0”的情形，因而更像一个混合性路径变量，兼有效信息承载与模型风格代理两种属性。标题密度与粗体密度则更接近“局部可解释路径变量”，即它们虽然效应规模不大，但方向稳定、区间清晰，且与前文稳健性分析结论高度一致。能力差与格式倾向差则更像“上游驱动变量”，它们的重要性不只体现在直接路径，更体现在它们如何把影响传导给长度与格式路径层。</w:t>
      </w:r>
    </w:p>
    <w:p w14:paraId="1EF6457E">
      <w:pPr>
        <w:spacing w:line="440" w:lineRule="exact"/>
        <w:ind w:firstLine="420"/>
        <w:rPr>
          <w:rFonts w:hint="eastAsia"/>
        </w:rPr>
      </w:pPr>
      <w:r>
        <w:rPr>
          <w:rFonts w:hint="eastAsia"/>
        </w:rPr>
        <w:t>从论文写作角度看，这一分解方式也意味着本文不能把“长度、标题、粗体都显著”写成同质化结论。更精确的写法应是：标题与粗体具备更清晰的直接路径支持；长度则在现象层和稳健性层都成立，但在机制层面仍需与冗长度风格、模型能力和任务适配性进一步拆分。</w:t>
      </w:r>
    </w:p>
    <w:p w14:paraId="4AD7C33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4" w:name="_Toc4325"/>
      <w:r>
        <w:rPr>
          <w:rFonts w:hint="eastAsia" w:ascii="Times New Roman" w:hAnsi="Times New Roman" w:eastAsia="宋体" w:cs="Times New Roman"/>
          <w:sz w:val="24"/>
          <w:szCs w:val="24"/>
          <w:lang w:val="en-US" w:eastAsia="zh-CN"/>
        </w:rPr>
        <w:t>7.5 路径分析的解释边界与适用范围</w:t>
      </w:r>
      <w:bookmarkEnd w:id="64"/>
    </w:p>
    <w:p w14:paraId="78B501C6">
      <w:pPr>
        <w:spacing w:line="440" w:lineRule="exact"/>
        <w:ind w:firstLine="420"/>
        <w:rPr>
          <w:rFonts w:hint="eastAsia"/>
        </w:rPr>
      </w:pPr>
      <w:r>
        <w:t>尽管 SEM 为本文提供了比单一回归更丰富的解释框架，但其路径解释仍然有边界。先看模型设定，本文使用的是观测变量路径模型，而不是基于实验设计的强因果识别框架，因而这里的“直接效应”和“间接效应”更适合解释为理论一致、统计上可支持的传导结构，而不应被写成严格因果定论；再看路径方向本身依赖研究者的理论设定，如把能力差和风格差放在外生层、把长度差和格式密度差放在路径层，是基于前序分析和研究问题做出的建模选择，而不是数据本身自动生成的真理结构。</w:t>
      </w:r>
    </w:p>
    <w:p w14:paraId="5B20B920">
      <w:pPr>
        <w:spacing w:line="440" w:lineRule="exact"/>
        <w:ind w:firstLine="420"/>
        <w:rPr>
          <w:rFonts w:hint="eastAsia"/>
        </w:rPr>
      </w:pPr>
      <w:r>
        <w:t>三是，Bootstrap 区间能够缓解间接效应乘积分布不对称的问题，但不能替代对遗漏变量的控制。与此同时，本文 SEM 的 bootstrap 设定为 50 次、有效重采样为 46 次，因而区间估计更适合作为方向性与稳健性辅助信息，而非高精度参数估计，如果未来引入更细粒度的回复质量指标、信息覆盖率指标或局部冗余指标，并提高重采样次数，长度路径的解释有望进一步细化，也正因为如此，本研究把 SEM 的主要贡献界定为“把偏好存在性研究推进到机制分解层面”，而不是宣称已经完整识别出偏好形成的全部因果链条。</w:t>
      </w:r>
    </w:p>
    <w:p w14:paraId="355F5E07">
      <w:pPr>
        <w:spacing w:line="240" w:lineRule="auto"/>
        <w:rPr>
          <w:rFonts w:hint="eastAsia" w:eastAsia="宋体"/>
          <w:lang w:eastAsia="zh-CN"/>
        </w:rPr>
      </w:pPr>
      <w:r>
        <w:rPr>
          <w:rFonts w:hint="eastAsia" w:eastAsia="宋体"/>
          <w:lang w:eastAsia="zh-CN"/>
        </w:rPr>
        <w:drawing>
          <wp:inline distT="0" distB="0" distL="114300" distR="114300">
            <wp:extent cx="5938520" cy="3444875"/>
            <wp:effectExtent l="0" t="0" r="5080" b="14605"/>
            <wp:docPr id="17" name="图片 17" descr="P13_sem_pat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13_sem_path_diagram"/>
                    <pic:cNvPicPr>
                      <a:picLocks noChangeAspect="1"/>
                    </pic:cNvPicPr>
                  </pic:nvPicPr>
                  <pic:blipFill>
                    <a:blip r:embed="rId18"/>
                    <a:stretch>
                      <a:fillRect/>
                    </a:stretch>
                  </pic:blipFill>
                  <pic:spPr>
                    <a:xfrm>
                      <a:off x="0" y="0"/>
                      <a:ext cx="5938520" cy="3444875"/>
                    </a:xfrm>
                    <a:prstGeom prst="rect">
                      <a:avLst/>
                    </a:prstGeom>
                  </pic:spPr>
                </pic:pic>
              </a:graphicData>
            </a:graphic>
          </wp:inline>
        </w:drawing>
      </w:r>
    </w:p>
    <w:p w14:paraId="3B317298">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7-1 SEM 路径图</w:t>
      </w:r>
    </w:p>
    <w:p w14:paraId="5C3B8337">
      <w:pPr>
        <w:rPr>
          <w:rFonts w:hint="eastAsia" w:ascii="黑体" w:hAnsi="黑体" w:eastAsia="黑体" w:cs="黑体"/>
          <w:sz w:val="16"/>
          <w:szCs w:val="16"/>
          <w:lang w:eastAsia="zh-CN"/>
        </w:rPr>
      </w:pP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78"/>
        <w:gridCol w:w="587"/>
        <w:gridCol w:w="1268"/>
        <w:gridCol w:w="1448"/>
        <w:gridCol w:w="1358"/>
        <w:gridCol w:w="1076"/>
        <w:gridCol w:w="1649"/>
      </w:tblGrid>
      <w:tr w14:paraId="65F1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E53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705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点估计</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DD4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Bootstrap 均值</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177C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Bootstrap 标准差</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931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2BF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成功重采样数</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843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CI 排除 0</w:t>
            </w:r>
          </w:p>
        </w:tc>
      </w:tr>
      <w:tr w14:paraId="2F96A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93AC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长度直接效应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A3C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0.607</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B69F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0.298</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98D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0.474</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47A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[-0.069, 1.506]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925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7695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0AA69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A9A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标题密度直接效应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681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0.017</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DBC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0.017</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001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173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[0.009, 0.026]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4E2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DF7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3710C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A3C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粗体密度直接效应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C8B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A9F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0.022</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AEE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0.007</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E2D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[0.010, 0.036]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A1DF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0B9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8B80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6CE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9719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0.155</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7F3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0.149</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9FA1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565C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[0.122, 0.191]</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58A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EA4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4AF2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72A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能力→长度→偏好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FA5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-0.013</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959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-0.005</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866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0.015</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351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[-0.050, 0.011]</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905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50F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7103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581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能力→标题密度→偏好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EED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354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B52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2F93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 0.012]</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8C7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F4C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C1DC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2A37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能力→粗体密度→偏好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A63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239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1FD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B2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 0.006]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8133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813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34510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C32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能力总间接效应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47E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CA9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AB2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5C6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[-0.041, 0.027]</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6F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2D5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6EB2F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451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能力总效应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5B2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799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801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26D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[0.139, 0.169]</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061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102B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FB4E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D2EB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词冗性→长度→偏好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5228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0.305</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108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0.147</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7FBF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0.241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761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[-0.035, 0.784]</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5E4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81C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467E8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DD1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3F3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-0.024</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C29B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935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0.028</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275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[-0.079, 0.008]</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60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7DB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120E5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02E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格式倾向→标题密度→偏好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9A1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D36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E6C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5BAE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[0.005, 0.018]</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139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DDF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406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5F91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格式倾向→粗体密度→偏好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74B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0.018</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093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0.018</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66B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47E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[0.008, 0.030]</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F9F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6CC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01EF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AC9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格式倾向总间接效应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040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0.029</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0F2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E130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0.009</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D59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[0.019, 0.046]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D57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CB6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bl>
    <w:p w14:paraId="59CE7418">
      <w:pPr>
        <w:rPr>
          <w:rFonts w:hint="eastAsia"/>
        </w:rPr>
      </w:pPr>
    </w:p>
    <w:p w14:paraId="07FFCF1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5" w:name="_Toc20573"/>
      <w:r>
        <w:rPr>
          <w:rFonts w:hint="eastAsia" w:ascii="Times New Roman" w:hAnsi="Times New Roman" w:eastAsia="宋体" w:cs="Times New Roman"/>
          <w:sz w:val="24"/>
          <w:szCs w:val="24"/>
          <w:lang w:val="en-US" w:eastAsia="zh-CN"/>
        </w:rPr>
        <w:t>7.6 本章小结</w:t>
      </w:r>
      <w:bookmarkEnd w:id="65"/>
    </w:p>
    <w:p w14:paraId="500B3B7D">
      <w:r>
        <w:t>本章在路径模型框架下进一步考察了长度与关键格式变量如何共同进入偏好判断。结果表明，标题密度与粗体密度的直接路径支持相对清晰，而长度虽然在现象层与稳健性层最为稳定，但其机制解释仍有复合性，因而不宜被简化为单一路径效应。</w:t>
      </w:r>
    </w:p>
    <w:p w14:paraId="722DA2A8">
      <w:pPr>
        <w:rPr>
          <w:rFonts w:hint="eastAsia"/>
        </w:rPr>
      </w:pPr>
      <w:r>
        <w:rPr>
          <w:rFonts w:hint="eastAsia"/>
        </w:rPr>
        <w:br w:type="page"/>
      </w:r>
    </w:p>
    <w:p w14:paraId="6F432957">
      <w:pPr>
        <w:pStyle w:val="2"/>
        <w:rPr>
          <w:rFonts w:hint="eastAsia"/>
        </w:rPr>
      </w:pPr>
      <w:bookmarkStart w:id="66" w:name="_Toc29628"/>
      <w:r>
        <w:rPr>
          <w:rFonts w:hint="eastAsia"/>
        </w:rPr>
        <w:t>第八章 讨论与启示</w:t>
      </w:r>
      <w:bookmarkEnd w:id="66"/>
    </w:p>
    <w:p w14:paraId="07F2ADC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7" w:name="_Toc21174"/>
      <w:r>
        <w:rPr>
          <w:rFonts w:hint="eastAsia" w:ascii="Times New Roman" w:hAnsi="Times New Roman" w:eastAsia="宋体" w:cs="Times New Roman"/>
          <w:sz w:val="24"/>
          <w:szCs w:val="24"/>
          <w:lang w:val="en-US" w:eastAsia="zh-CN"/>
        </w:rPr>
        <w:t>8.1 核心发现的理论解读</w:t>
      </w:r>
      <w:bookmarkEnd w:id="67"/>
    </w:p>
    <w:p w14:paraId="2DDF903F">
      <w:pPr>
        <w:spacing w:line="440" w:lineRule="exact"/>
        <w:ind w:firstLine="420"/>
        <w:rPr>
          <w:rFonts w:hint="eastAsia"/>
        </w:rPr>
      </w:pPr>
      <w:r>
        <w:t>本文最具理论意义的发现，并不只是再次确认长度偏好存在，而是把表层形式偏差拆分为不同层次的统计对象；先看长度粗效应中有 60.74% 可由任务类型、质量维度以及模型能力与风格差异解释，说明如果只看原始相关，长度优势会被明显放大；再看格式偏差内部呈现显著异质性：标题与粗体在净效应和处理效应框架下都保持独立正向作用，列表则主要表现为长度扩张和文本组织方式的伴生信号；接着看长度在现象层最稳健，却在 SEM 直接路径上区间跨 0，因而更适合被理解为复合代理变量，而非单一路径因素。</w:t>
      </w:r>
    </w:p>
    <w:p w14:paraId="0C258C9E">
      <w:r>
        <w:t>这一结果与 Li 等人对人类偏好属性的拆解研究形成呼应[4]，但本文还进一步量化了长度粗效应中的混淆份额，并将格式变量内部的异质性纳入同一框架。它也与 Zhang 等人关于格式偏差可以被对齐过程放大的发现相衔接[7]，但本研究指出真正需要优先防范的并不是“所有格式”，而是标题与粗体这类更稳定的结构线索。</w:t>
      </w:r>
    </w:p>
    <w:p w14:paraId="20D5565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8" w:name="_Toc20280"/>
      <w:r>
        <w:rPr>
          <w:rFonts w:hint="eastAsia" w:ascii="Times New Roman" w:hAnsi="Times New Roman" w:eastAsia="宋体" w:cs="Times New Roman"/>
          <w:sz w:val="24"/>
          <w:szCs w:val="24"/>
          <w:lang w:val="en-US" w:eastAsia="zh-CN"/>
        </w:rPr>
        <w:t>8.2 对 RLHF 偏好对齐理论的启示</w:t>
      </w:r>
      <w:bookmarkEnd w:id="68"/>
    </w:p>
    <w:p w14:paraId="1E4683C5">
      <w:pPr>
        <w:spacing w:line="440" w:lineRule="exact"/>
        <w:ind w:firstLine="420"/>
        <w:rPr>
          <w:rFonts w:hint="eastAsia"/>
        </w:rPr>
      </w:pPr>
      <w:r>
        <w:t>Shen 等人指出，奖励模型会把“更长 = 更好”学习为捷径[5]。本文从数据源头补足了这一机制链条：人类偏好数据本身就包含系统性长度优势与部分格式优势，因而奖励模型并不是凭空产生偏差，而是在既有偏好结构上继续放大。就此而言，偏好数据不是中性的训练资源，而是同时混合内容质量判断与表层启发式判断的复合信号。</w:t>
      </w:r>
    </w:p>
    <w:p w14:paraId="3597F3DC">
      <w:r>
        <w:t>这一发现也扩展了 reward hacking 相关讨论[19][20]，如果对齐研究仍沿用“收集偏好数据—训练奖励模型—事后发现捷径”的被动路径，那么很多表层偏差会在训练前端就被写入目标函数。更合理的范式应是把数据审计前置，把研究重心从“如何优化对齐算法”延伸到“对齐目标本身是否可靠”。</w:t>
      </w:r>
    </w:p>
    <w:p w14:paraId="2EA2FA9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9" w:name="_Toc28498"/>
      <w:r>
        <w:rPr>
          <w:rFonts w:hint="eastAsia" w:ascii="Times New Roman" w:hAnsi="Times New Roman" w:eastAsia="宋体" w:cs="Times New Roman"/>
          <w:sz w:val="24"/>
          <w:szCs w:val="24"/>
          <w:lang w:val="en-US" w:eastAsia="zh-CN"/>
        </w:rPr>
        <w:t>8.3 可操作的去偏策略</w:t>
      </w:r>
      <w:bookmarkEnd w:id="69"/>
    </w:p>
    <w:p w14:paraId="7E14F94C">
      <w:pPr>
        <w:spacing w:line="440" w:lineRule="exact"/>
        <w:ind w:firstLine="420"/>
        <w:rPr>
          <w:rFonts w:hint="eastAsia"/>
        </w:rPr>
      </w:pPr>
      <w:r>
        <w:t>一是，在偏好数据构建阶段，应优先实施轮次审计、长度匹配和格式平衡。对于多轮会话数据，研究者应先确认研究单位是否仍对应当前比较单元；对于长度差异过大的样本，可在采样或分析阶段单独标记，以降低“长即优”的先验优势。</w:t>
      </w:r>
    </w:p>
    <w:p w14:paraId="419C543B">
      <w:pPr>
        <w:spacing w:line="440" w:lineRule="exact"/>
        <w:ind w:firstLine="420"/>
        <w:rPr>
          <w:rFonts w:hint="eastAsia"/>
        </w:rPr>
      </w:pPr>
      <w:r>
        <w:t>二是，在奖励模型训练阶段，应把长度与格式变量视为需要显式监控的捷径特征，而非默认可直接吸收的输入信号。PoE、响应条件化建模和后验校准等方法[5][12][22]，都可以理解为将主奖励信号与表层代理信号分离的实现路径。</w:t>
      </w:r>
    </w:p>
    <w:p w14:paraId="68ABD799">
      <w:r>
        <w:t>三是，在自动评价器和基准测试设计阶段，应报告长度控制后的排名，或至少同步报告原始排名与校正排名，避免把对未经审计偏好数据的拟合误当作评价能力提升[6]。</w:t>
      </w:r>
    </w:p>
    <w:p w14:paraId="67166453">
      <w:r>
        <w:t>四是，在经验研究规范层面，后续偏好研究应同时报告粗相关、控制混淆后的净效应以及至少一种处理效应估计，而不宜仅凭单一显著性结果给出强结论。</w:t>
      </w:r>
    </w:p>
    <w:p w14:paraId="2BF920E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0" w:name="_Toc26707"/>
      <w:r>
        <w:rPr>
          <w:rFonts w:hint="eastAsia" w:ascii="Times New Roman" w:hAnsi="Times New Roman" w:eastAsia="宋体" w:cs="Times New Roman"/>
          <w:sz w:val="24"/>
          <w:szCs w:val="24"/>
          <w:lang w:val="en-US" w:eastAsia="zh-CN"/>
        </w:rPr>
        <w:t>8.4 研究局限与进一步问题</w:t>
      </w:r>
      <w:bookmarkEnd w:id="70"/>
    </w:p>
    <w:p w14:paraId="56A164AE">
      <w:pPr>
        <w:spacing w:line="440" w:lineRule="exact"/>
        <w:ind w:firstLine="420"/>
        <w:rPr>
          <w:rFonts w:hint="eastAsia"/>
        </w:rPr>
      </w:pPr>
      <w:r>
        <w:t>本文仍存在四方面局限；先看研究对象主要来自 LMArena 单一偏好数据源，虽然规模较大且有真实交互痕迹，但与专业标注场景之间仍存在任务分布与标注制度差异，因同时推到其他平台时应保持谨慎；再看本研究对模型能力与风格的代理变量采用全量样本一次性估计后映射到配对层，未使用留一法或交叉验证，因而这些代理量更适合作为控制项，而非外部可推广评分。</w:t>
      </w:r>
    </w:p>
    <w:p w14:paraId="41AF8378">
      <w:r>
        <w:t>三是，本文聚焦长度、标题、列表和粗体等可操作化较强的形式特征，尚未将礼貌性、语气风格、局部冗余模式和信息覆盖度等更细粒度因素纳入统一框架；再往下看SEM 仍基于观测数据，且本研究的 bootstrap 设定为 50 次、有效重采样为 46 次，4 次失败来自重采样样本拟合未收敛，这样一来，第七章的区间估计更适合作为机制层的辅助证据，而不应被理解为高精度因果识别结果。</w:t>
      </w:r>
    </w:p>
    <w:p w14:paraId="40ABA42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1" w:name="_Toc25302"/>
      <w:r>
        <w:rPr>
          <w:rFonts w:hint="eastAsia" w:ascii="Times New Roman" w:hAnsi="Times New Roman" w:eastAsia="宋体" w:cs="Times New Roman"/>
          <w:sz w:val="24"/>
          <w:szCs w:val="24"/>
          <w:lang w:val="en-US" w:eastAsia="zh-CN"/>
        </w:rPr>
        <w:t>8.5 本章小结</w:t>
      </w:r>
      <w:bookmarkEnd w:id="71"/>
    </w:p>
    <w:p w14:paraId="59842525">
      <w:pPr>
        <w:ind w:firstLine="420" w:firstLineChars="0"/>
      </w:pPr>
      <w:r>
        <w:t>本章从核心发现、对齐理论启示、实践去偏策略与研究局限四个方面讨论了本文结果的理论含义和应用边界。整体来看，人类偏好数据中的形式偏差是一个多层次现象，而不是简单的“用户喜欢长回答”。理解这种复杂性，是构建更可靠、更可审计 AI 对齐系统的必要前提。</w:t>
      </w:r>
    </w:p>
    <w:p w14:paraId="29FA947F">
      <w:r>
        <w:br w:type="page"/>
      </w:r>
    </w:p>
    <w:p w14:paraId="7D8DC46D">
      <w:pPr>
        <w:pStyle w:val="2"/>
        <w:rPr>
          <w:rFonts w:hint="eastAsia"/>
        </w:rPr>
      </w:pPr>
      <w:bookmarkStart w:id="72" w:name="_Toc11880"/>
      <w:r>
        <w:rPr>
          <w:rFonts w:hint="eastAsia"/>
        </w:rPr>
        <w:t>第九章 结论与展望</w:t>
      </w:r>
      <w:bookmarkEnd w:id="72"/>
    </w:p>
    <w:p w14:paraId="4E95E24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3" w:name="_Toc5969"/>
      <w:r>
        <w:rPr>
          <w:rFonts w:hint="eastAsia" w:ascii="Times New Roman" w:hAnsi="Times New Roman" w:eastAsia="宋体" w:cs="Times New Roman"/>
          <w:sz w:val="24"/>
          <w:szCs w:val="24"/>
          <w:lang w:val="en-US" w:eastAsia="zh-CN"/>
        </w:rPr>
        <w:t>9.1 主要研究结论</w:t>
      </w:r>
      <w:bookmarkEnd w:id="73"/>
    </w:p>
    <w:p w14:paraId="18D554B7">
      <w:pPr>
        <w:spacing w:line="440" w:lineRule="exact"/>
        <w:ind w:firstLine="420"/>
        <w:rPr>
          <w:rFonts w:hint="eastAsia"/>
        </w:rPr>
      </w:pPr>
      <w:r>
        <w:t>本文基于 LMArena 人类偏好数据，围绕长度偏差与格式偏差进行了系统分析，大致可以归纳为四点结论。</w:t>
      </w:r>
    </w:p>
    <w:p w14:paraId="1B8C3321">
      <w:pPr>
        <w:spacing w:line="440" w:lineRule="exact"/>
        <w:ind w:firstLine="420"/>
        <w:rPr>
          <w:rFonts w:hint="eastAsia"/>
        </w:rPr>
      </w:pPr>
      <w:r>
        <w:t>一是，经过数据审计与清洗后，本文确认首轮评价记录构成了更一致的研究对象。只保留 evaluation_order 等于 1 的处理，实质上是对长度测量口径的统一，而不是经验性删样。</w:t>
      </w:r>
    </w:p>
    <w:p w14:paraId="29CFD84C">
      <w:pPr>
        <w:spacing w:line="440" w:lineRule="exact"/>
        <w:ind w:firstLine="420"/>
        <w:rPr>
          <w:rFonts w:hint="eastAsia"/>
        </w:rPr>
      </w:pPr>
      <w:r>
        <w:t>二是，长度偏好在描述统计、正式检验、调整逻辑回归、IPW 和匹配诊断中都表现出稳定优势。全量样本中，胜者更长比例为 62.21%，中位长度差为 +125 tokens；在控制混淆后，长度净效应与处理效应仍保持显著。需要进一步说明的是，SEM 结果显示长度直接效应区间跨 0，因而其稳健性主要体现在现象层与控制混淆后的稳健性层，而不宜被简化为单一路径效应。</w:t>
      </w:r>
    </w:p>
    <w:p w14:paraId="3947BA68">
      <w:pPr>
        <w:spacing w:line="440" w:lineRule="exact"/>
        <w:ind w:firstLine="420"/>
        <w:rPr>
          <w:rFonts w:hint="eastAsia"/>
        </w:rPr>
      </w:pPr>
      <w:r>
        <w:t>三是，格式偏好内部存在明显分化。标题和粗体在密度分析与稳健性框架下仍能保留独立正向效应，而列表在本文采用了的密度指标与控制框架下更接近长度扩张的伴生信号，不宜作为主结论单独强调。</w:t>
      </w:r>
    </w:p>
    <w:p w14:paraId="165ACC59">
      <w:pPr>
        <w:spacing w:line="440" w:lineRule="exact"/>
        <w:ind w:firstLine="420"/>
        <w:rPr>
          <w:rFonts w:hint="eastAsia"/>
        </w:rPr>
      </w:pPr>
      <w:r>
        <w:t>四是，路径分析显示，人类偏好数据中的形式偏差并不是完全停留在表层相关。标题密度与粗体密度的直接路径有较清晰的统计支持，而长度虽然与偏好稳健相关，但在机制层面仍承载代理含义，说明偏好形成并不是单一路径驱动。</w:t>
      </w:r>
    </w:p>
    <w:p w14:paraId="68021B6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4" w:name="_Toc17124"/>
      <w:r>
        <w:rPr>
          <w:rFonts w:hint="eastAsia" w:ascii="Times New Roman" w:hAnsi="Times New Roman" w:eastAsia="宋体" w:cs="Times New Roman"/>
          <w:sz w:val="24"/>
          <w:szCs w:val="24"/>
          <w:lang w:val="en-US" w:eastAsia="zh-CN"/>
        </w:rPr>
        <w:t>9.2 理论贡献与实践价值</w:t>
      </w:r>
      <w:bookmarkEnd w:id="74"/>
    </w:p>
    <w:p w14:paraId="35711C7C">
      <w:pPr>
        <w:ind w:firstLine="420" w:firstLineChars="0"/>
      </w:pPr>
      <w:r>
        <w:t>理论上，本文将 RLHF 偏好数据中的长度偏差与格式偏差置于统一框架之下，不再把它们视作彼此孤立的评测现象。和 Li 等人对偏好属性权重的拆解[4]，本研究还进一步量化了长度粗效应的混淆份额；和 Shen 等人对奖励模型长度捷径的讨论[5]，这项研究补充了捷径源头来自数据层的经验证据；和 Zhang 等人关于格式偏差放大的研究[7]，文中还进一步识别出标题、粗体与列表之间的稳定性分化。</w:t>
      </w:r>
    </w:p>
    <w:p w14:paraId="27042932">
      <w:r>
        <w:t>在方法层面，本文建立了一条从数据审计、存在性识别、净效应估计到多框架稳健性验证和 SEM 机制探索的连续分析链，这一框架不仅适用来本研究，也可以为后续关于位置偏差、语气偏差和谄媚性偏差等问题的研究提供可复用范式。实践上，evaluation_order 污染识别、格式密度指标构造以及 OR、ATE、SMD 与路径系数的联合使用，共同构成了这项研究可迁移的方法学贡献。</w:t>
      </w:r>
    </w:p>
    <w:p w14:paraId="25B1021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5" w:name="_Toc29105"/>
      <w:r>
        <w:rPr>
          <w:rFonts w:hint="eastAsia" w:ascii="Times New Roman" w:hAnsi="Times New Roman" w:eastAsia="宋体" w:cs="Times New Roman"/>
          <w:sz w:val="24"/>
          <w:szCs w:val="24"/>
          <w:lang w:val="en-US" w:eastAsia="zh-CN"/>
        </w:rPr>
        <w:t>9.3 未来研究展望</w:t>
      </w:r>
      <w:bookmarkEnd w:id="75"/>
    </w:p>
    <w:p w14:paraId="5D600950">
      <w:pPr>
        <w:spacing w:line="440" w:lineRule="exact"/>
        <w:ind w:firstLine="420"/>
        <w:rPr>
          <w:rFonts w:hint="eastAsia"/>
        </w:rPr>
      </w:pPr>
      <w:r>
        <w:t>未来研究可以从四个方向继续推进，其一，扩展到更多平台、语言和评价协议，检验本文结论的外部有效性，其二，构造更丰富的回复级路径层变量，如结构完整度、证据覆盖率和局部信息冗余度，以进一步拆解长度效应，其三，对 no_category 子集做更细粒度再分类，识别任务语境与形式偏好之间的交互关系，其四，基于本研究识别出的偏差模式，尝试构造去偏后的偏好训练数据，并检验其是否能够改善对齐训练质量。</w:t>
      </w:r>
    </w:p>
    <w:p w14:paraId="5A44F111">
      <w:pPr>
        <w:rPr>
          <w:rFonts w:hint="eastAsia"/>
        </w:rPr>
      </w:pPr>
      <w:r>
        <w:rPr>
          <w:rFonts w:hint="eastAsia"/>
        </w:rPr>
        <w:br w:type="page"/>
      </w:r>
    </w:p>
    <w:p w14:paraId="125FBD35">
      <w:pPr>
        <w:pStyle w:val="2"/>
        <w:rPr>
          <w:rFonts w:hint="eastAsia"/>
        </w:rPr>
      </w:pPr>
      <w:bookmarkStart w:id="76" w:name="_Toc25453"/>
      <w:r>
        <w:rPr>
          <w:rFonts w:hint="eastAsia"/>
        </w:rPr>
        <w:t>参考文献</w:t>
      </w:r>
      <w:bookmarkEnd w:id="76"/>
    </w:p>
    <w:p w14:paraId="1F07CF12">
      <w:pPr>
        <w:numPr>
          <w:ilvl w:val="0"/>
          <w:numId w:val="2"/>
        </w:numPr>
        <w:spacing w:line="440" w:lineRule="exact"/>
        <w:rPr>
          <w:rFonts w:hint="eastAsia"/>
        </w:rPr>
      </w:pPr>
      <w:r>
        <w:rPr>
          <w:rFonts w:hint="eastAsia"/>
        </w:rPr>
        <w:t>黎宇声. 多目标对齐大语言模型的强化学习策略研究[D]. 电子科技大学, 2025.</w:t>
      </w:r>
    </w:p>
    <w:p w14:paraId="05E90F47">
      <w:pPr>
        <w:numPr>
          <w:ilvl w:val="0"/>
          <w:numId w:val="2"/>
        </w:numPr>
        <w:spacing w:line="440" w:lineRule="exact"/>
        <w:rPr>
          <w:rFonts w:hint="eastAsia"/>
        </w:rPr>
      </w:pPr>
      <w:r>
        <w:rPr>
          <w:rFonts w:hint="eastAsia"/>
        </w:rPr>
        <w:t xml:space="preserve"> Hu Zhengyu, et al. Explaining Length Bias in LLM-Based Preference Evaluations[EB/OL]. arXiv, 2024.</w:t>
      </w:r>
    </w:p>
    <w:p w14:paraId="2CC6FC4D">
      <w:pPr>
        <w:numPr>
          <w:ilvl w:val="0"/>
          <w:numId w:val="2"/>
        </w:numPr>
        <w:spacing w:line="440" w:lineRule="exact"/>
        <w:rPr>
          <w:rFonts w:hint="eastAsia"/>
        </w:rPr>
      </w:pPr>
      <w:r>
        <w:rPr>
          <w:rFonts w:hint="eastAsia"/>
        </w:rPr>
        <w:t xml:space="preserve"> Liu Jiacheng, et al. Format as a Prior: Quantifying and Analyzing Bias in LLMs for Heterogeneous Data[EB/OL]. arXiv, 2025.</w:t>
      </w:r>
    </w:p>
    <w:p w14:paraId="34C89BE3">
      <w:pPr>
        <w:numPr>
          <w:ilvl w:val="0"/>
          <w:numId w:val="2"/>
        </w:numPr>
        <w:spacing w:line="440" w:lineRule="exact"/>
        <w:rPr>
          <w:rFonts w:hint="eastAsia"/>
        </w:rPr>
      </w:pPr>
      <w:r>
        <w:rPr>
          <w:rFonts w:hint="eastAsia"/>
        </w:rPr>
        <w:t xml:space="preserve"> Li Junlong, et al. Dissecting Human and LLM Preferences[EB/OL]. arXiv:2402.11296, 2024.</w:t>
      </w:r>
    </w:p>
    <w:p w14:paraId="3E05440F">
      <w:pPr>
        <w:numPr>
          <w:ilvl w:val="0"/>
          <w:numId w:val="2"/>
        </w:numPr>
        <w:spacing w:line="440" w:lineRule="exact"/>
        <w:rPr>
          <w:rFonts w:hint="eastAsia"/>
        </w:rPr>
      </w:pPr>
      <w:r>
        <w:rPr>
          <w:rFonts w:hint="eastAsia"/>
        </w:rPr>
        <w:t xml:space="preserve"> Shen Wei, et al. Loose Lips Sink Ships: Mitigating Length Bias in Reinforcement Learning from Human Feedback[EB/OL]. arXiv, 2023.</w:t>
      </w:r>
    </w:p>
    <w:p w14:paraId="3068EB8F">
      <w:pPr>
        <w:numPr>
          <w:ilvl w:val="0"/>
          <w:numId w:val="2"/>
        </w:numPr>
        <w:spacing w:line="440" w:lineRule="exact"/>
        <w:rPr>
          <w:rFonts w:hint="eastAsia"/>
        </w:rPr>
      </w:pPr>
      <w:r>
        <w:rPr>
          <w:rFonts w:hint="eastAsia"/>
        </w:rPr>
        <w:t xml:space="preserve"> Dubois Yann, et al. Length-Controlled AlpacaEval: A Simple Way to Debias Automatic Evaluators[EB/OL]. arXiv:2404.04475, COLM 2024.</w:t>
      </w:r>
    </w:p>
    <w:p w14:paraId="6EAC9D2D">
      <w:pPr>
        <w:numPr>
          <w:ilvl w:val="0"/>
          <w:numId w:val="2"/>
        </w:numPr>
        <w:spacing w:line="440" w:lineRule="exact"/>
        <w:rPr>
          <w:rFonts w:hint="eastAsia"/>
        </w:rPr>
      </w:pPr>
      <w:r>
        <w:rPr>
          <w:rFonts w:hint="eastAsia"/>
        </w:rPr>
        <w:t xml:space="preserve"> Zhang Xuanchang, et al. From Lists to Emojis: How Format Bias Affects Model Alignment[EB/OL]. arXiv, 2024.</w:t>
      </w:r>
    </w:p>
    <w:p w14:paraId="4E3249FE">
      <w:pPr>
        <w:numPr>
          <w:ilvl w:val="0"/>
          <w:numId w:val="2"/>
        </w:numPr>
        <w:spacing w:line="440" w:lineRule="exact"/>
        <w:rPr>
          <w:rFonts w:hint="eastAsia"/>
        </w:rPr>
      </w:pPr>
      <w:r>
        <w:rPr>
          <w:rFonts w:hint="eastAsia"/>
        </w:rPr>
        <w:t xml:space="preserve"> Park Junsoo, et al. OffsetBias: Leveraging Debiased Data for Tuning Evaluators[EB/OL]. arXiv:2407.06551, EMNLP Findings 2024.</w:t>
      </w:r>
    </w:p>
    <w:p w14:paraId="6F27878A">
      <w:pPr>
        <w:numPr>
          <w:ilvl w:val="0"/>
          <w:numId w:val="2"/>
        </w:numPr>
        <w:spacing w:line="440" w:lineRule="exact"/>
        <w:rPr>
          <w:rFonts w:hint="eastAsia"/>
        </w:rPr>
      </w:pPr>
      <w:r>
        <w:rPr>
          <w:rFonts w:hint="eastAsia"/>
        </w:rPr>
        <w:t>韩明月. 因果推断视角下自然语言处理任务中的虚假相关性研究[D]. 上海财经大学, 2023.</w:t>
      </w:r>
    </w:p>
    <w:p w14:paraId="57CE04A1">
      <w:pPr>
        <w:numPr>
          <w:ilvl w:val="0"/>
          <w:numId w:val="2"/>
        </w:numPr>
        <w:spacing w:line="440" w:lineRule="exact"/>
        <w:rPr>
          <w:rFonts w:hint="eastAsia"/>
        </w:rPr>
      </w:pPr>
      <w:r>
        <w:rPr>
          <w:rFonts w:hint="eastAsia"/>
        </w:rPr>
        <w:t xml:space="preserve"> Ouyang Long, et al. Training Language Models to Follow Instructions with Human Feedback[C]// Advances in Neural Information Processing Systems (NeurIPS). 2022. arXiv:2203.02155.</w:t>
      </w:r>
    </w:p>
    <w:p w14:paraId="6A68B266">
      <w:pPr>
        <w:numPr>
          <w:ilvl w:val="0"/>
          <w:numId w:val="2"/>
        </w:numPr>
        <w:spacing w:line="440" w:lineRule="exact"/>
        <w:rPr>
          <w:rFonts w:hint="eastAsia"/>
        </w:rPr>
      </w:pPr>
      <w:r>
        <w:rPr>
          <w:rFonts w:hint="eastAsia"/>
        </w:rPr>
        <w:t xml:space="preserve"> Rafailov Rafael, et al. Direct Preference Optimization: Your Language Model Is Secretly a Reward Model[C]// NeurIPS. 2023. arXiv:2305.18290.</w:t>
      </w:r>
    </w:p>
    <w:p w14:paraId="5DC7964D">
      <w:pPr>
        <w:numPr>
          <w:ilvl w:val="0"/>
          <w:numId w:val="2"/>
        </w:numPr>
        <w:spacing w:line="440" w:lineRule="exact"/>
        <w:rPr>
          <w:rFonts w:hint="eastAsia"/>
        </w:rPr>
      </w:pPr>
      <w:r>
        <w:rPr>
          <w:rFonts w:hint="eastAsia"/>
        </w:rPr>
        <w:t xml:space="preserve"> Huang Zeyu, et al. Post-hoc Reward Calibration: A Case Study on Length Bias[C]// The Thirteenth International Conference on Learning Representations (ICLR). 2025.</w:t>
      </w:r>
    </w:p>
    <w:p w14:paraId="619AC38E">
      <w:pPr>
        <w:numPr>
          <w:ilvl w:val="0"/>
          <w:numId w:val="2"/>
        </w:numPr>
        <w:spacing w:line="440" w:lineRule="exact"/>
        <w:rPr>
          <w:rFonts w:hint="eastAsia"/>
        </w:rPr>
      </w:pPr>
      <w:r>
        <w:rPr>
          <w:rFonts w:hint="eastAsia"/>
        </w:rPr>
        <w:t xml:space="preserve"> Do Xuan Long, et al. LLMs Are Biased Towards Output Formats! Systematically Evaluating and Mitigating Output Format Bias of LLMs[EB/OL]. arXiv, 2024.</w:t>
      </w:r>
    </w:p>
    <w:p w14:paraId="6831153F">
      <w:pPr>
        <w:numPr>
          <w:ilvl w:val="0"/>
          <w:numId w:val="2"/>
        </w:numPr>
        <w:spacing w:line="440" w:lineRule="exact"/>
        <w:rPr>
          <w:rFonts w:hint="eastAsia"/>
        </w:rPr>
      </w:pPr>
      <w:r>
        <w:rPr>
          <w:rFonts w:hint="eastAsia"/>
        </w:rPr>
        <w:t xml:space="preserve"> Sun Zhiqing, et al. Principle-Driven Self-Alignment of Language Models from Scratch with Minimal Human Supervision[C]// NeurIPS. 2023.</w:t>
      </w:r>
    </w:p>
    <w:p w14:paraId="090F5736">
      <w:pPr>
        <w:numPr>
          <w:ilvl w:val="0"/>
          <w:numId w:val="2"/>
        </w:numPr>
        <w:spacing w:line="440" w:lineRule="exact"/>
        <w:rPr>
          <w:rFonts w:hint="eastAsia"/>
        </w:rPr>
      </w:pPr>
      <w:r>
        <w:rPr>
          <w:rFonts w:hint="eastAsia"/>
        </w:rPr>
        <w:t xml:space="preserve"> Li Jiaming, et al. Ruler: A Model-Agnostic Method to Control Generated Length for Large Language Models[EB/OL]. arXiv:2409.18943, 2024.</w:t>
      </w:r>
    </w:p>
    <w:p w14:paraId="31773A39">
      <w:pPr>
        <w:numPr>
          <w:ilvl w:val="0"/>
          <w:numId w:val="2"/>
        </w:numPr>
        <w:spacing w:line="440" w:lineRule="exact"/>
        <w:rPr>
          <w:rFonts w:hint="eastAsia"/>
        </w:rPr>
      </w:pPr>
      <w:r>
        <w:rPr>
          <w:rFonts w:hint="eastAsia"/>
        </w:rPr>
        <w:t xml:space="preserve"> Gan Jialing, et al. BiAxisAudit: A Novel Framework to Evaluate LLM Bias Across Prompt Sensitivity and Response-Layer Divergence[EB/OL]. arXiv:2605.09041, 2026.</w:t>
      </w:r>
    </w:p>
    <w:p w14:paraId="21D6E32D">
      <w:pPr>
        <w:numPr>
          <w:ilvl w:val="0"/>
          <w:numId w:val="2"/>
        </w:numPr>
        <w:spacing w:line="440" w:lineRule="exact"/>
        <w:rPr>
          <w:rFonts w:hint="eastAsia"/>
        </w:rPr>
      </w:pPr>
      <w:r>
        <w:rPr>
          <w:rFonts w:hint="eastAsia"/>
        </w:rPr>
        <w:t xml:space="preserve"> Sharma Mrinank, et al. Towards Understanding Sycophancy in Language Models[C]// Proceedings of ACL. 2024. arXiv:2310.13548.</w:t>
      </w:r>
    </w:p>
    <w:p w14:paraId="7983791F">
      <w:pPr>
        <w:numPr>
          <w:ilvl w:val="0"/>
          <w:numId w:val="2"/>
        </w:numPr>
        <w:spacing w:line="440" w:lineRule="exact"/>
        <w:rPr>
          <w:rFonts w:hint="eastAsia"/>
        </w:rPr>
      </w:pPr>
      <w:r>
        <w:rPr>
          <w:rFonts w:hint="eastAsia"/>
        </w:rPr>
        <w:t xml:space="preserve"> Koo Ryan, et al. Benchmarking Cognitive Biases in Large Language Models as Evaluators[C]// Proceedings of ACL. 2024. arXiv:2309.17012.</w:t>
      </w:r>
    </w:p>
    <w:p w14:paraId="119A1792">
      <w:pPr>
        <w:numPr>
          <w:ilvl w:val="0"/>
          <w:numId w:val="2"/>
        </w:numPr>
        <w:spacing w:line="440" w:lineRule="exact"/>
        <w:rPr>
          <w:rFonts w:hint="eastAsia"/>
        </w:rPr>
      </w:pPr>
      <w:r>
        <w:rPr>
          <w:rFonts w:hint="eastAsia"/>
        </w:rPr>
        <w:t xml:space="preserve"> Wang Chaoqi, et al. Beyond Reward Hacking: Causal Rewards for Large Language Model Alignment[EB/OL]. arXiv:2501.09620, 2025.</w:t>
      </w:r>
    </w:p>
    <w:p w14:paraId="78634C47">
      <w:pPr>
        <w:numPr>
          <w:ilvl w:val="0"/>
          <w:numId w:val="2"/>
        </w:numPr>
        <w:spacing w:line="440" w:lineRule="exact"/>
        <w:rPr>
          <w:rFonts w:hint="eastAsia"/>
        </w:rPr>
      </w:pPr>
      <w:r>
        <w:rPr>
          <w:rFonts w:hint="eastAsia"/>
        </w:rPr>
        <w:t xml:space="preserve"> Wang Xiaohua, et al. Reward Hacking in the Era of Large Models: Mechanisms, Emergent Misalignment, Challenges[EB/OL]. arXiv:2604.13602, 2026.</w:t>
      </w:r>
    </w:p>
    <w:p w14:paraId="0B620960">
      <w:pPr>
        <w:numPr>
          <w:ilvl w:val="0"/>
          <w:numId w:val="2"/>
        </w:numPr>
        <w:spacing w:line="440" w:lineRule="exact"/>
        <w:rPr>
          <w:rFonts w:hint="eastAsia"/>
        </w:rPr>
      </w:pPr>
      <w:r>
        <w:rPr>
          <w:rFonts w:hint="eastAsia"/>
        </w:rPr>
        <w:t xml:space="preserve"> Kim Hyeonji, Oh Sujeong, Lee Sanghack. Mitigating Length Bias in RLHF through a Causal Lens[EB/OL]. arXiv:2511.12573, 2025.</w:t>
      </w:r>
    </w:p>
    <w:p w14:paraId="0A86A59C">
      <w:pPr>
        <w:numPr>
          <w:ilvl w:val="0"/>
          <w:numId w:val="2"/>
        </w:numPr>
        <w:spacing w:line="440" w:lineRule="exact"/>
        <w:rPr>
          <w:rFonts w:hint="eastAsia"/>
        </w:rPr>
      </w:pPr>
      <w:r>
        <w:rPr>
          <w:rFonts w:hint="eastAsia"/>
        </w:rPr>
        <w:t xml:space="preserve"> Cai Jianfeng, et al. Disentangling Length Bias In Preference Learning Via Response-Conditioned Modeling[EB/OL]. arXiv:2502.00814, 2025.</w:t>
      </w:r>
    </w:p>
    <w:p w14:paraId="0CD5C1FC">
      <w:pPr>
        <w:numPr>
          <w:ilvl w:val="0"/>
          <w:numId w:val="2"/>
        </w:numPr>
        <w:spacing w:line="440" w:lineRule="exact"/>
        <w:rPr>
          <w:rFonts w:hint="eastAsia"/>
        </w:rPr>
      </w:pPr>
      <w:r>
        <w:rPr>
          <w:rFonts w:hint="eastAsia"/>
        </w:rPr>
        <w:t>Ye Wenqian, Zheng Guangtao, Zhang Aidong. Rectifying Shortcut Behaviors in Preference-based Reward Learning[EB/OL]. arXiv:2510.19050, 2025.</w:t>
      </w:r>
    </w:p>
    <w:p w14:paraId="6D0304FD">
      <w:pPr>
        <w:rPr>
          <w:rFonts w:hint="eastAsia"/>
        </w:rPr>
      </w:pPr>
      <w:r>
        <w:rPr>
          <w:rFonts w:hint="eastAsia"/>
        </w:rPr>
        <w:br w:type="page"/>
      </w:r>
    </w:p>
    <w:p w14:paraId="1EC7D3E2">
      <w:pPr>
        <w:pStyle w:val="2"/>
      </w:pPr>
      <w:bookmarkStart w:id="77" w:name="_Toc230016184"/>
      <w:bookmarkStart w:id="78" w:name="_Toc7108"/>
      <w:r>
        <w:t>附录</w:t>
      </w:r>
      <w:bookmarkEnd w:id="77"/>
      <w:bookmarkEnd w:id="78"/>
    </w:p>
    <w:p w14:paraId="4C91F64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9" w:name="_Toc29259"/>
      <w:r>
        <w:rPr>
          <w:rFonts w:hint="eastAsia" w:ascii="Times New Roman" w:hAnsi="Times New Roman" w:eastAsia="宋体" w:cs="Times New Roman"/>
          <w:sz w:val="24"/>
          <w:szCs w:val="24"/>
          <w:lang w:val="en-US" w:eastAsia="zh-CN"/>
        </w:rPr>
        <w:t>附录 A 研究数据与工程产出</w:t>
      </w:r>
      <w:bookmarkEnd w:id="79"/>
    </w:p>
    <w:p w14:paraId="2887867D">
      <w:pPr>
        <w:spacing w:line="440" w:lineRule="exact"/>
        <w:rPr>
          <w:rFonts w:hint="eastAsia" w:ascii="宋体" w:hAnsi="宋体"/>
          <w:sz w:val="24"/>
        </w:rPr>
      </w:pPr>
    </w:p>
    <w:p w14:paraId="7553234D">
      <w:pPr>
        <w:spacing w:line="440" w:lineRule="exact"/>
        <w:rPr>
          <w:rFonts w:hint="eastAsia" w:ascii="宋体" w:hAnsi="宋体"/>
          <w:sz w:val="24"/>
        </w:rPr>
      </w:pPr>
      <w:r>
        <w:rPr>
          <w:rFonts w:hint="eastAsia" w:ascii="宋体" w:hAnsi="宋体"/>
          <w:sz w:val="24"/>
        </w:rPr>
        <w:t>本项目围绕 LMArena 人类偏好数据开展大语言模型输出文本选择偏好研究，已形成较完整的数据处理、统计分析与论文写作成果。项目首先完成原始数据分片整合、字段审计与结构检查，并在此基础上构建统一分析主表。原始整合数据共 135634 条记录，经数据清洗与结构优化后保留 108171 条样本；在排除 tie 与 both_bad 后，长度与偏好方向明确的有效配对为 78970 组。由于 evaluation_order &gt; 1 的记录会引入历史会话信息并污染长度字段口径，正式分析仅保留首轮评价记录。</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9"/>
        <w:gridCol w:w="3184"/>
        <w:gridCol w:w="3207"/>
      </w:tblGrid>
      <w:tr w14:paraId="260A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A127F2">
            <w:r>
              <w:rPr>
                <w:b/>
              </w:rPr>
              <w:t>成果类别</w:t>
            </w:r>
          </w:p>
        </w:tc>
        <w:tc>
          <w:tcPr>
            <w:tcW w:w="3213" w:type="dxa"/>
          </w:tcPr>
          <w:p w14:paraId="223ED332">
            <w:r>
              <w:rPr>
                <w:b/>
              </w:rPr>
              <w:t>主要内容</w:t>
            </w:r>
          </w:p>
        </w:tc>
        <w:tc>
          <w:tcPr>
            <w:tcW w:w="3213" w:type="dxa"/>
          </w:tcPr>
          <w:p w14:paraId="4A604799">
            <w:r>
              <w:rPr>
                <w:b/>
              </w:rPr>
              <w:t>对应材料</w:t>
            </w:r>
          </w:p>
        </w:tc>
      </w:tr>
      <w:tr w14:paraId="4B30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BC28CEB">
            <w:r>
              <w:t>原始数据</w:t>
            </w:r>
          </w:p>
        </w:tc>
        <w:tc>
          <w:tcPr>
            <w:tcW w:w="3213" w:type="dxa"/>
          </w:tcPr>
          <w:p w14:paraId="35283127">
            <w:r>
              <w:t>7 个 parquet 原始分片</w:t>
            </w:r>
          </w:p>
        </w:tc>
        <w:tc>
          <w:tcPr>
            <w:tcW w:w="3213" w:type="dxa"/>
          </w:tcPr>
          <w:p w14:paraId="350408A5">
            <w:r>
              <w:t>train-00000-of-00007.parquet 至 train-00006-of-00007.parquet</w:t>
            </w:r>
          </w:p>
        </w:tc>
      </w:tr>
      <w:tr w14:paraId="5AC6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AD0270">
            <w:r>
              <w:t>整合主表</w:t>
            </w:r>
          </w:p>
        </w:tc>
        <w:tc>
          <w:tcPr>
            <w:tcW w:w="3213" w:type="dxa"/>
          </w:tcPr>
          <w:p w14:paraId="7E670864">
            <w:r>
              <w:t>将 7 个原始分片合并为统一分析入口</w:t>
            </w:r>
          </w:p>
        </w:tc>
        <w:tc>
          <w:tcPr>
            <w:tcW w:w="3213" w:type="dxa"/>
          </w:tcPr>
          <w:p w14:paraId="2A7A6EB7">
            <w:r>
              <w:t>integrated_data.parquet</w:t>
            </w:r>
          </w:p>
        </w:tc>
      </w:tr>
      <w:tr w14:paraId="0153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18ED6AF">
            <w:r>
              <w:t>优化主表</w:t>
            </w:r>
          </w:p>
        </w:tc>
        <w:tc>
          <w:tcPr>
            <w:tcW w:w="3213" w:type="dxa"/>
          </w:tcPr>
          <w:p w14:paraId="4D867006">
            <w:r>
              <w:t>过滤异常样本并重组为 nested schema</w:t>
            </w:r>
          </w:p>
        </w:tc>
        <w:tc>
          <w:tcPr>
            <w:tcW w:w="3213" w:type="dxa"/>
          </w:tcPr>
          <w:p w14:paraId="67D3C31C">
            <w:r>
              <w:t>optimized_data.parquet</w:t>
            </w:r>
          </w:p>
        </w:tc>
      </w:tr>
      <w:tr w14:paraId="7895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90DF94D">
            <w:r>
              <w:t>子集数据</w:t>
            </w:r>
          </w:p>
        </w:tc>
        <w:tc>
          <w:tcPr>
            <w:tcW w:w="3213" w:type="dxa"/>
          </w:tcPr>
          <w:p w14:paraId="5DCE95C6">
            <w:r>
              <w:t>按任务类型与标签组合划分子集</w:t>
            </w:r>
          </w:p>
        </w:tc>
        <w:tc>
          <w:tcPr>
            <w:tcW w:w="3213" w:type="dxa"/>
          </w:tcPr>
          <w:p w14:paraId="78C40836">
            <w:r>
              <w:t>Data/subsets/</w:t>
            </w:r>
          </w:p>
        </w:tc>
      </w:tr>
      <w:tr w14:paraId="1DE6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B5FA158">
            <w:r>
              <w:t>工程说明</w:t>
            </w:r>
          </w:p>
        </w:tc>
        <w:tc>
          <w:tcPr>
            <w:tcW w:w="3213" w:type="dxa"/>
          </w:tcPr>
          <w:p w14:paraId="6ADCADD6">
            <w:r>
              <w:t>说明数据结构、研究流程与方法口径</w:t>
            </w:r>
          </w:p>
        </w:tc>
        <w:tc>
          <w:tcPr>
            <w:tcW w:w="3213" w:type="dxa"/>
          </w:tcPr>
          <w:p w14:paraId="5E1207AD">
            <w:r>
              <w:t>general_introduction.md</w:t>
            </w:r>
          </w:p>
        </w:tc>
      </w:tr>
    </w:tbl>
    <w:p w14:paraId="5E4FAA2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80" w:name="_Toc14213"/>
      <w:r>
        <w:rPr>
          <w:rFonts w:hint="eastAsia" w:ascii="Times New Roman" w:hAnsi="Times New Roman" w:eastAsia="宋体" w:cs="Times New Roman"/>
          <w:sz w:val="24"/>
          <w:szCs w:val="24"/>
          <w:lang w:val="en-US" w:eastAsia="zh-CN"/>
        </w:rPr>
        <w:t>附录 B 程序脚本与分析流程产出</w:t>
      </w:r>
      <w:bookmarkEnd w:id="80"/>
    </w:p>
    <w:p w14:paraId="2F7EC99F">
      <w:pPr>
        <w:spacing w:line="440" w:lineRule="exact"/>
        <w:rPr>
          <w:rFonts w:hint="eastAsia" w:ascii="宋体" w:hAnsi="宋体"/>
          <w:sz w:val="24"/>
        </w:rPr>
      </w:pPr>
    </w:p>
    <w:p w14:paraId="7CDAEB97">
      <w:pPr>
        <w:spacing w:line="440" w:lineRule="exact"/>
        <w:rPr>
          <w:rFonts w:hint="eastAsia" w:ascii="宋体" w:hAnsi="宋体"/>
          <w:sz w:val="24"/>
        </w:rPr>
      </w:pPr>
      <w:r>
        <w:rPr>
          <w:rFonts w:hint="eastAsia" w:ascii="宋体" w:hAnsi="宋体"/>
          <w:sz w:val="24"/>
        </w:rPr>
        <w:t>项目形成了覆盖数据审计、清洗、统计检验、净效应估计、稳健性验证和结构方程模型建模的完整 Python 脚本链。脚本整体从 C01 延伸至 C23，构成可复现的研究流水线。</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5"/>
        <w:gridCol w:w="3191"/>
        <w:gridCol w:w="3194"/>
      </w:tblGrid>
      <w:tr w14:paraId="76C0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9FE278F">
            <w:r>
              <w:rPr>
                <w:b/>
              </w:rPr>
              <w:t>阶段</w:t>
            </w:r>
          </w:p>
        </w:tc>
        <w:tc>
          <w:tcPr>
            <w:tcW w:w="3213" w:type="dxa"/>
          </w:tcPr>
          <w:p w14:paraId="1452128F">
            <w:r>
              <w:rPr>
                <w:b/>
              </w:rPr>
              <w:t>脚本范围</w:t>
            </w:r>
          </w:p>
        </w:tc>
        <w:tc>
          <w:tcPr>
            <w:tcW w:w="3213" w:type="dxa"/>
          </w:tcPr>
          <w:p w14:paraId="09EE67DD">
            <w:r>
              <w:rPr>
                <w:b/>
              </w:rPr>
              <w:t>主要功能</w:t>
            </w:r>
          </w:p>
        </w:tc>
      </w:tr>
      <w:tr w14:paraId="5A7A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BA4243B">
            <w:r>
              <w:t>数据结构审计</w:t>
            </w:r>
          </w:p>
        </w:tc>
        <w:tc>
          <w:tcPr>
            <w:tcW w:w="3213" w:type="dxa"/>
          </w:tcPr>
          <w:p w14:paraId="3CE49A4C">
            <w:r>
              <w:t>C01–C03</w:t>
            </w:r>
          </w:p>
        </w:tc>
        <w:tc>
          <w:tcPr>
            <w:tcW w:w="3213" w:type="dxa"/>
          </w:tcPr>
          <w:p w14:paraId="22356402">
            <w:r>
              <w:t>检查 Session、Order 与 Turn 层级结构，确认研究单位</w:t>
            </w:r>
          </w:p>
        </w:tc>
      </w:tr>
      <w:tr w14:paraId="39CD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465A35">
            <w:r>
              <w:t>字段摸底分析</w:t>
            </w:r>
          </w:p>
        </w:tc>
        <w:tc>
          <w:tcPr>
            <w:tcW w:w="3213" w:type="dxa"/>
          </w:tcPr>
          <w:p w14:paraId="6C6AD58D">
            <w:r>
              <w:t>C04–C11</w:t>
            </w:r>
          </w:p>
        </w:tc>
        <w:tc>
          <w:tcPr>
            <w:tcW w:w="3213" w:type="dxa"/>
          </w:tcPr>
          <w:p w14:paraId="3EC31DFD">
            <w:r>
              <w:t>检查模型、角色、content、token、category_tag 等字段</w:t>
            </w:r>
          </w:p>
        </w:tc>
      </w:tr>
      <w:tr w14:paraId="0C14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D25E59">
            <w:r>
              <w:t>数据清洗与重构</w:t>
            </w:r>
          </w:p>
        </w:tc>
        <w:tc>
          <w:tcPr>
            <w:tcW w:w="3213" w:type="dxa"/>
          </w:tcPr>
          <w:p w14:paraId="5774D4BD">
            <w:r>
              <w:t>C12–C13</w:t>
            </w:r>
          </w:p>
        </w:tc>
        <w:tc>
          <w:tcPr>
            <w:tcW w:w="3213" w:type="dxa"/>
          </w:tcPr>
          <w:p w14:paraId="148208FB">
            <w:r>
              <w:t>构建优化主表并划分任务子集</w:t>
            </w:r>
          </w:p>
        </w:tc>
      </w:tr>
      <w:tr w14:paraId="7A35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6808F59">
            <w:r>
              <w:t>描述统计与存在性检验</w:t>
            </w:r>
          </w:p>
        </w:tc>
        <w:tc>
          <w:tcPr>
            <w:tcW w:w="3213" w:type="dxa"/>
          </w:tcPr>
          <w:p w14:paraId="32C491BC">
            <w:r>
              <w:t>C14–C17</w:t>
            </w:r>
          </w:p>
        </w:tc>
        <w:tc>
          <w:tcPr>
            <w:tcW w:w="3213" w:type="dxa"/>
          </w:tcPr>
          <w:p w14:paraId="66BB3691">
            <w:r>
              <w:t>分析长度偏好、格式偏好并进行 Wilcoxon 检验</w:t>
            </w:r>
          </w:p>
        </w:tc>
      </w:tr>
      <w:tr w14:paraId="3A2C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2E3B25">
            <w:r>
              <w:t>净效应估计</w:t>
            </w:r>
          </w:p>
        </w:tc>
        <w:tc>
          <w:tcPr>
            <w:tcW w:w="3213" w:type="dxa"/>
          </w:tcPr>
          <w:p w14:paraId="3CB501D2">
            <w:r>
              <w:t>C18–C19</w:t>
            </w:r>
          </w:p>
        </w:tc>
        <w:tc>
          <w:tcPr>
            <w:tcW w:w="3213" w:type="dxa"/>
          </w:tcPr>
          <w:p w14:paraId="299E9954">
            <w:r>
              <w:t>使用嵌套逻辑回归识别长度与格式的控制后效应</w:t>
            </w:r>
          </w:p>
        </w:tc>
      </w:tr>
      <w:tr w14:paraId="61F7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2548DEB">
            <w:r>
              <w:t>稳健性与匹配诊断</w:t>
            </w:r>
          </w:p>
        </w:tc>
        <w:tc>
          <w:tcPr>
            <w:tcW w:w="3213" w:type="dxa"/>
          </w:tcPr>
          <w:p w14:paraId="2D5648E0">
            <w:r>
              <w:t>C20–C22</w:t>
            </w:r>
          </w:p>
        </w:tc>
        <w:tc>
          <w:tcPr>
            <w:tcW w:w="3213" w:type="dxa"/>
          </w:tcPr>
          <w:p w14:paraId="775051EB">
            <w:r>
              <w:t>使用调整回归、IPW、PSM 等方法进行交叉验证</w:t>
            </w:r>
          </w:p>
        </w:tc>
      </w:tr>
      <w:tr w14:paraId="4FD7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50C008C">
            <w:r>
              <w:t>机制探索</w:t>
            </w:r>
          </w:p>
        </w:tc>
        <w:tc>
          <w:tcPr>
            <w:tcW w:w="3213" w:type="dxa"/>
          </w:tcPr>
          <w:p w14:paraId="37DFABA9">
            <w:r>
              <w:t>C23</w:t>
            </w:r>
          </w:p>
        </w:tc>
        <w:tc>
          <w:tcPr>
            <w:tcW w:w="3213" w:type="dxa"/>
          </w:tcPr>
          <w:p w14:paraId="2BCCAD5F">
            <w:r>
              <w:t>构建 SEM，解释形式特征影响偏好判断的路径</w:t>
            </w:r>
          </w:p>
        </w:tc>
      </w:tr>
    </w:tbl>
    <w:p w14:paraId="2A0946F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81" w:name="_Toc30489"/>
      <w:r>
        <w:rPr>
          <w:rFonts w:hint="eastAsia" w:ascii="Times New Roman" w:hAnsi="Times New Roman" w:eastAsia="宋体" w:cs="Times New Roman"/>
          <w:sz w:val="24"/>
          <w:szCs w:val="24"/>
          <w:lang w:val="en-US" w:eastAsia="zh-CN"/>
        </w:rPr>
        <w:t>附录 C 主要统计结果产出</w:t>
      </w:r>
      <w:bookmarkEnd w:id="81"/>
    </w:p>
    <w:p w14:paraId="3DB5166E">
      <w:pPr>
        <w:spacing w:line="440" w:lineRule="exact"/>
        <w:rPr>
          <w:rFonts w:hint="eastAsia" w:ascii="宋体" w:hAnsi="宋体"/>
          <w:sz w:val="24"/>
        </w:rPr>
      </w:pPr>
    </w:p>
    <w:p w14:paraId="6B558F19">
      <w:pPr>
        <w:spacing w:line="440" w:lineRule="exact"/>
        <w:rPr>
          <w:rFonts w:hint="eastAsia" w:ascii="宋体" w:hAnsi="宋体"/>
          <w:sz w:val="24"/>
        </w:rPr>
      </w:pPr>
      <w:r>
        <w:rPr>
          <w:rFonts w:hint="eastAsia" w:ascii="宋体" w:hAnsi="宋体"/>
          <w:sz w:val="24"/>
        </w:rPr>
        <w:t>本项目在统计分析层面形成了较完整的实证证据链。长度偏好方面，全量样本中胜者更长的比例为 62.21%，胜者相对败者的中位长度差为 +125 tokens，Wilcoxon 检验的 rank-biserial r 为 0.3362。控制混淆后，长度净效应仍保留，嵌套逻辑回归 M3 中 OR 为 1.3551；处理效应框架下，调整逻辑回归 OR 为 1.9103，IPW ATE 为 0.1489，匹配后 ATE 为 0.1601。</w:t>
      </w:r>
    </w:p>
    <w:p w14:paraId="26EB2311">
      <w:pPr>
        <w:spacing w:line="440" w:lineRule="exact"/>
        <w:rPr>
          <w:rFonts w:hint="eastAsia" w:ascii="宋体" w:hAnsi="宋体"/>
          <w:sz w:val="24"/>
        </w:rPr>
      </w:pPr>
    </w:p>
    <w:p w14:paraId="1A7538B2">
      <w:pPr>
        <w:spacing w:line="440" w:lineRule="exact"/>
        <w:rPr>
          <w:rFonts w:hint="eastAsia" w:ascii="宋体" w:hAnsi="宋体"/>
          <w:sz w:val="24"/>
        </w:rPr>
      </w:pPr>
      <w:r>
        <w:rPr>
          <w:rFonts w:hint="eastAsia" w:ascii="宋体" w:hAnsi="宋体"/>
          <w:sz w:val="24"/>
        </w:rPr>
        <w:t>格式偏好方面，标题、列表和粗体在计数层面均表现出一定偏好信号，但在引入格式密度与混淆控制后，标题密度和粗体密度是更稳定的独立格式信号。格式净效应模型中，标题密度 F3 OR 为 1.0606，粗体密度 F3 OR 为 1.0855；格式稳健性分析中，标题 IPW ATE 为 0.0277，粗体 IPW ATE 为 0.0246。相比之下，列表密度更接近长度扩张或文本组织方式的伴生结果，不宜作为正式主结论变量。</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189"/>
        <w:gridCol w:w="3194"/>
      </w:tblGrid>
      <w:tr w14:paraId="3C32A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2CD04C">
            <w:r>
              <w:rPr>
                <w:b/>
              </w:rPr>
              <w:t>分析模块</w:t>
            </w:r>
          </w:p>
        </w:tc>
        <w:tc>
          <w:tcPr>
            <w:tcW w:w="3213" w:type="dxa"/>
          </w:tcPr>
          <w:p w14:paraId="03095214">
            <w:r>
              <w:rPr>
                <w:b/>
              </w:rPr>
              <w:t>主要结论</w:t>
            </w:r>
          </w:p>
        </w:tc>
        <w:tc>
          <w:tcPr>
            <w:tcW w:w="3213" w:type="dxa"/>
          </w:tcPr>
          <w:p w14:paraId="15831327">
            <w:r>
              <w:rPr>
                <w:b/>
              </w:rPr>
              <w:t>对应产出</w:t>
            </w:r>
          </w:p>
        </w:tc>
      </w:tr>
      <w:tr w14:paraId="69AA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8B525A0">
            <w:r>
              <w:t>数据清洗</w:t>
            </w:r>
          </w:p>
        </w:tc>
        <w:tc>
          <w:tcPr>
            <w:tcW w:w="3213" w:type="dxa"/>
          </w:tcPr>
          <w:p w14:paraId="73289D8D">
            <w:r>
              <w:t>原始记录经清洗后形成 108171 条优化样本</w:t>
            </w:r>
          </w:p>
        </w:tc>
        <w:tc>
          <w:tcPr>
            <w:tcW w:w="3213" w:type="dxa"/>
          </w:tcPr>
          <w:p w14:paraId="08F20FF7">
            <w:r>
              <w:t>R09</w:t>
            </w:r>
          </w:p>
        </w:tc>
      </w:tr>
      <w:tr w14:paraId="5F66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142519">
            <w:r>
              <w:t>子集划分</w:t>
            </w:r>
          </w:p>
        </w:tc>
        <w:tc>
          <w:tcPr>
            <w:tcW w:w="3213" w:type="dxa"/>
          </w:tcPr>
          <w:p w14:paraId="29840D3D">
            <w:r>
              <w:t>构建单一任务子集与多标签纯净分区</w:t>
            </w:r>
          </w:p>
        </w:tc>
        <w:tc>
          <w:tcPr>
            <w:tcW w:w="3213" w:type="dxa"/>
          </w:tcPr>
          <w:p w14:paraId="522E8987">
            <w:r>
              <w:t>R10</w:t>
            </w:r>
          </w:p>
        </w:tc>
      </w:tr>
      <w:tr w14:paraId="27DC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9702D15">
            <w:r>
              <w:t>长度描述统计</w:t>
            </w:r>
          </w:p>
        </w:tc>
        <w:tc>
          <w:tcPr>
            <w:tcW w:w="3213" w:type="dxa"/>
          </w:tcPr>
          <w:p w14:paraId="7CC879ED">
            <w:r>
              <w:t>长度差与胜率呈显著正相关</w:t>
            </w:r>
          </w:p>
        </w:tc>
        <w:tc>
          <w:tcPr>
            <w:tcW w:w="3213" w:type="dxa"/>
          </w:tcPr>
          <w:p w14:paraId="19AF3A28">
            <w:r>
              <w:t>R11、T01</w:t>
            </w:r>
          </w:p>
        </w:tc>
      </w:tr>
      <w:tr w14:paraId="2A89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88973FE">
            <w:r>
              <w:t>格式描述统计</w:t>
            </w:r>
          </w:p>
        </w:tc>
        <w:tc>
          <w:tcPr>
            <w:tcW w:w="3213" w:type="dxa"/>
          </w:tcPr>
          <w:p w14:paraId="59C4B287">
            <w:r>
              <w:t>标题、列表、粗体与偏好存在不同程度关联</w:t>
            </w:r>
          </w:p>
        </w:tc>
        <w:tc>
          <w:tcPr>
            <w:tcW w:w="3213" w:type="dxa"/>
          </w:tcPr>
          <w:p w14:paraId="53EEA4D0">
            <w:r>
              <w:t>R12、T02</w:t>
            </w:r>
          </w:p>
        </w:tc>
      </w:tr>
      <w:tr w14:paraId="5C01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A865E3">
            <w:r>
              <w:t>长度检验</w:t>
            </w:r>
          </w:p>
        </w:tc>
        <w:tc>
          <w:tcPr>
            <w:tcW w:w="3213" w:type="dxa"/>
          </w:tcPr>
          <w:p w14:paraId="3BC82901">
            <w:r>
              <w:t>胜者显著更长，效应稳定</w:t>
            </w:r>
          </w:p>
        </w:tc>
        <w:tc>
          <w:tcPr>
            <w:tcW w:w="3213" w:type="dxa"/>
          </w:tcPr>
          <w:p w14:paraId="5FD17023">
            <w:r>
              <w:t>R13、T03</w:t>
            </w:r>
          </w:p>
        </w:tc>
      </w:tr>
      <w:tr w14:paraId="3D84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CB2F0ED">
            <w:r>
              <w:t>格式检验</w:t>
            </w:r>
          </w:p>
        </w:tc>
        <w:tc>
          <w:tcPr>
            <w:tcW w:w="3213" w:type="dxa"/>
          </w:tcPr>
          <w:p w14:paraId="57F587DC">
            <w:r>
              <w:t>标题与粗体信号更稳定，列表较不稳定</w:t>
            </w:r>
          </w:p>
        </w:tc>
        <w:tc>
          <w:tcPr>
            <w:tcW w:w="3213" w:type="dxa"/>
          </w:tcPr>
          <w:p w14:paraId="786DBD7B">
            <w:r>
              <w:t>R14、T04</w:t>
            </w:r>
          </w:p>
        </w:tc>
      </w:tr>
      <w:tr w14:paraId="34D6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1838477">
            <w:r>
              <w:t>长度净效应</w:t>
            </w:r>
          </w:p>
        </w:tc>
        <w:tc>
          <w:tcPr>
            <w:tcW w:w="3213" w:type="dxa"/>
          </w:tcPr>
          <w:p w14:paraId="3B916B5C">
            <w:r>
              <w:t>控制混淆后仍存在正向净效应</w:t>
            </w:r>
          </w:p>
        </w:tc>
        <w:tc>
          <w:tcPr>
            <w:tcW w:w="3213" w:type="dxa"/>
          </w:tcPr>
          <w:p w14:paraId="10BA68E8">
            <w:r>
              <w:t>R16、T05</w:t>
            </w:r>
          </w:p>
        </w:tc>
      </w:tr>
      <w:tr w14:paraId="0EC4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FE607EF">
            <w:r>
              <w:t>格式净效应</w:t>
            </w:r>
          </w:p>
        </w:tc>
        <w:tc>
          <w:tcPr>
            <w:tcW w:w="3213" w:type="dxa"/>
          </w:tcPr>
          <w:p w14:paraId="3FC5896D">
            <w:r>
              <w:t>标题密度、粗体密度保留弱但稳定的独立作用</w:t>
            </w:r>
          </w:p>
        </w:tc>
        <w:tc>
          <w:tcPr>
            <w:tcW w:w="3213" w:type="dxa"/>
          </w:tcPr>
          <w:p w14:paraId="70CDA2D8">
            <w:r>
              <w:t>R17、T06</w:t>
            </w:r>
          </w:p>
        </w:tc>
      </w:tr>
      <w:tr w14:paraId="0897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604600C">
            <w:r>
              <w:t>稳健性分析</w:t>
            </w:r>
          </w:p>
        </w:tc>
        <w:tc>
          <w:tcPr>
            <w:tcW w:w="3213" w:type="dxa"/>
          </w:tcPr>
          <w:p w14:paraId="018897AC">
            <w:r>
              <w:t>调整回归、IPW 与 PSM 支持主结论</w:t>
            </w:r>
          </w:p>
        </w:tc>
        <w:tc>
          <w:tcPr>
            <w:tcW w:w="3213" w:type="dxa"/>
          </w:tcPr>
          <w:p w14:paraId="16DD6C06">
            <w:r>
              <w:t>R18–R20、T07–T10</w:t>
            </w:r>
          </w:p>
        </w:tc>
      </w:tr>
      <w:tr w14:paraId="2942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7713039">
            <w:r>
              <w:t>SEM 机制探索</w:t>
            </w:r>
          </w:p>
        </w:tc>
        <w:tc>
          <w:tcPr>
            <w:tcW w:w="3213" w:type="dxa"/>
          </w:tcPr>
          <w:p w14:paraId="28C8CC47">
            <w:r>
              <w:t>标题和粗体直接效应更清晰，长度机制更复杂</w:t>
            </w:r>
          </w:p>
        </w:tc>
        <w:tc>
          <w:tcPr>
            <w:tcW w:w="3213" w:type="dxa"/>
          </w:tcPr>
          <w:p w14:paraId="6A641B20">
            <w:r>
              <w:t>R21、T11–T15</w:t>
            </w:r>
          </w:p>
        </w:tc>
      </w:tr>
    </w:tbl>
    <w:p w14:paraId="3B97E1B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82" w:name="_Toc3457"/>
      <w:r>
        <w:rPr>
          <w:rFonts w:hint="eastAsia" w:ascii="Times New Roman" w:hAnsi="Times New Roman" w:eastAsia="宋体" w:cs="Times New Roman"/>
          <w:sz w:val="24"/>
          <w:szCs w:val="24"/>
          <w:lang w:val="en-US" w:eastAsia="zh-CN"/>
        </w:rPr>
        <w:t>附录 D 图像与可视化成果</w:t>
      </w:r>
      <w:bookmarkEnd w:id="82"/>
    </w:p>
    <w:p w14:paraId="18BFCC86">
      <w:pPr>
        <w:spacing w:line="440" w:lineRule="exact"/>
        <w:rPr>
          <w:rFonts w:hint="eastAsia" w:ascii="宋体" w:hAnsi="宋体"/>
          <w:sz w:val="24"/>
        </w:rPr>
      </w:pPr>
    </w:p>
    <w:p w14:paraId="182E554B">
      <w:pPr>
        <w:spacing w:line="440" w:lineRule="exact"/>
        <w:rPr>
          <w:rFonts w:hint="eastAsia" w:ascii="宋体" w:hAnsi="宋体"/>
          <w:sz w:val="24"/>
        </w:rPr>
      </w:pPr>
      <w:r>
        <w:rPr>
          <w:rFonts w:hint="eastAsia" w:ascii="宋体" w:hAnsi="宋体"/>
          <w:sz w:val="24"/>
        </w:rPr>
        <w:t>项目已形成覆盖数据结构、长度偏好、格式偏好、净效应、稳健性与 SEM 路径的图像成果，可用于论文插图、答辩展示和结题材料说明。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3745"/>
        <w:gridCol w:w="2943"/>
      </w:tblGrid>
      <w:tr w14:paraId="76C2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F80F41">
            <w:r>
              <w:rPr>
                <w:b/>
              </w:rPr>
              <w:t>图像编号</w:t>
            </w:r>
          </w:p>
        </w:tc>
        <w:tc>
          <w:tcPr>
            <w:tcW w:w="3213" w:type="dxa"/>
          </w:tcPr>
          <w:p w14:paraId="60E8CE98">
            <w:r>
              <w:rPr>
                <w:b/>
              </w:rPr>
              <w:t>文件名</w:t>
            </w:r>
          </w:p>
        </w:tc>
        <w:tc>
          <w:tcPr>
            <w:tcW w:w="3213" w:type="dxa"/>
          </w:tcPr>
          <w:p w14:paraId="4DDDF5D5">
            <w:r>
              <w:rPr>
                <w:b/>
              </w:rPr>
              <w:t>用途</w:t>
            </w:r>
          </w:p>
        </w:tc>
      </w:tr>
      <w:tr w14:paraId="53BC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899E1F">
            <w:r>
              <w:t>P01</w:t>
            </w:r>
          </w:p>
        </w:tc>
        <w:tc>
          <w:tcPr>
            <w:tcW w:w="3213" w:type="dxa"/>
          </w:tcPr>
          <w:p w14:paraId="67A76113">
            <w:r>
              <w:t>P01_original_structure.png</w:t>
            </w:r>
          </w:p>
        </w:tc>
        <w:tc>
          <w:tcPr>
            <w:tcW w:w="3213" w:type="dxa"/>
          </w:tcPr>
          <w:p w14:paraId="7F947457">
            <w:r>
              <w:t>原始数据结构示意图</w:t>
            </w:r>
          </w:p>
        </w:tc>
      </w:tr>
      <w:tr w14:paraId="1735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9F4AEE">
            <w:r>
              <w:t>P02</w:t>
            </w:r>
          </w:p>
        </w:tc>
        <w:tc>
          <w:tcPr>
            <w:tcW w:w="3213" w:type="dxa"/>
          </w:tcPr>
          <w:p w14:paraId="39927798">
            <w:r>
              <w:t>P02_chat_structure.png</w:t>
            </w:r>
          </w:p>
        </w:tc>
        <w:tc>
          <w:tcPr>
            <w:tcW w:w="3213" w:type="dxa"/>
          </w:tcPr>
          <w:p w14:paraId="68D23B64">
            <w:r>
              <w:t>对话层级结构示意图</w:t>
            </w:r>
          </w:p>
        </w:tc>
      </w:tr>
      <w:tr w14:paraId="4A33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CA19F8">
            <w:r>
              <w:t>P03</w:t>
            </w:r>
          </w:p>
        </w:tc>
        <w:tc>
          <w:tcPr>
            <w:tcW w:w="3213" w:type="dxa"/>
          </w:tcPr>
          <w:p w14:paraId="2182362D">
            <w:r>
              <w:t>P03_optimized_structure.png</w:t>
            </w:r>
          </w:p>
        </w:tc>
        <w:tc>
          <w:tcPr>
            <w:tcW w:w="3213" w:type="dxa"/>
          </w:tcPr>
          <w:p w14:paraId="0E8C45CA">
            <w:r>
              <w:t>优化后 nested schema 结构图</w:t>
            </w:r>
          </w:p>
        </w:tc>
      </w:tr>
      <w:tr w14:paraId="334C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58E7696">
            <w:r>
              <w:t>P04 系列</w:t>
            </w:r>
          </w:p>
        </w:tc>
        <w:tc>
          <w:tcPr>
            <w:tcW w:w="3213" w:type="dxa"/>
          </w:tcPr>
          <w:p w14:paraId="783168E4">
            <w:r>
              <w:t>P04_*_length_diff_line_chart.png</w:t>
            </w:r>
          </w:p>
        </w:tc>
        <w:tc>
          <w:tcPr>
            <w:tcW w:w="3213" w:type="dxa"/>
          </w:tcPr>
          <w:p w14:paraId="3884BAC9">
            <w:r>
              <w:t>全量与各任务子集长度差—胜率趋势图</w:t>
            </w:r>
          </w:p>
        </w:tc>
      </w:tr>
      <w:tr w14:paraId="1FD96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3EE7A32">
            <w:r>
              <w:t>P05 系列</w:t>
            </w:r>
          </w:p>
        </w:tc>
        <w:tc>
          <w:tcPr>
            <w:tcW w:w="3213" w:type="dxa"/>
          </w:tcPr>
          <w:p w14:paraId="6B321741">
            <w:r>
              <w:t>P05_*_format_*.png</w:t>
            </w:r>
          </w:p>
        </w:tc>
        <w:tc>
          <w:tcPr>
            <w:tcW w:w="3213" w:type="dxa"/>
          </w:tcPr>
          <w:p w14:paraId="667C8181">
            <w:r>
              <w:t>格式出现率、格式计数与组合分析图</w:t>
            </w:r>
          </w:p>
        </w:tc>
      </w:tr>
      <w:tr w14:paraId="2A65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FFAAD9C">
            <w:r>
              <w:t>P06</w:t>
            </w:r>
          </w:p>
        </w:tc>
        <w:tc>
          <w:tcPr>
            <w:tcW w:w="3213" w:type="dxa"/>
          </w:tcPr>
          <w:p w14:paraId="1F310914">
            <w:r>
              <w:t>P06_length_wilcoxon_overview.png</w:t>
            </w:r>
          </w:p>
        </w:tc>
        <w:tc>
          <w:tcPr>
            <w:tcW w:w="3213" w:type="dxa"/>
          </w:tcPr>
          <w:p w14:paraId="6D89C6AB">
            <w:r>
              <w:t>长度 Wilcoxon 检验总览图</w:t>
            </w:r>
          </w:p>
        </w:tc>
      </w:tr>
      <w:tr w14:paraId="13B6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9DC346B">
            <w:r>
              <w:t>P07</w:t>
            </w:r>
          </w:p>
        </w:tc>
        <w:tc>
          <w:tcPr>
            <w:tcW w:w="3213" w:type="dxa"/>
          </w:tcPr>
          <w:p w14:paraId="76A43B63">
            <w:r>
              <w:t>P07_format_effect_heatmaps.png</w:t>
            </w:r>
          </w:p>
        </w:tc>
        <w:tc>
          <w:tcPr>
            <w:tcW w:w="3213" w:type="dxa"/>
          </w:tcPr>
          <w:p w14:paraId="24BE5242">
            <w:r>
              <w:t>格式效应热图</w:t>
            </w:r>
          </w:p>
        </w:tc>
      </w:tr>
      <w:tr w14:paraId="77A8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7D1CDA">
            <w:r>
              <w:t>P08</w:t>
            </w:r>
          </w:p>
        </w:tc>
        <w:tc>
          <w:tcPr>
            <w:tcW w:w="3213" w:type="dxa"/>
          </w:tcPr>
          <w:p w14:paraId="758B5D60">
            <w:r>
              <w:t>P08_length_confounding_attenuation.png</w:t>
            </w:r>
          </w:p>
        </w:tc>
        <w:tc>
          <w:tcPr>
            <w:tcW w:w="3213" w:type="dxa"/>
          </w:tcPr>
          <w:p w14:paraId="73B38B44">
            <w:r>
              <w:t>长度 OR 衰减图</w:t>
            </w:r>
          </w:p>
        </w:tc>
      </w:tr>
      <w:tr w14:paraId="6679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6F4E787">
            <w:r>
              <w:t>P09</w:t>
            </w:r>
          </w:p>
        </w:tc>
        <w:tc>
          <w:tcPr>
            <w:tcW w:w="3213" w:type="dxa"/>
          </w:tcPr>
          <w:p w14:paraId="3E7B2C3E">
            <w:r>
              <w:t>P09_format_net_effect_heatmaps.png</w:t>
            </w:r>
          </w:p>
        </w:tc>
        <w:tc>
          <w:tcPr>
            <w:tcW w:w="3213" w:type="dxa"/>
          </w:tcPr>
          <w:p w14:paraId="6BA79225">
            <w:r>
              <w:t>格式净效应与混淆比例热图</w:t>
            </w:r>
          </w:p>
        </w:tc>
      </w:tr>
      <w:tr w14:paraId="3824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71DE07D">
            <w:r>
              <w:t>P10</w:t>
            </w:r>
          </w:p>
        </w:tc>
        <w:tc>
          <w:tcPr>
            <w:tcW w:w="3213" w:type="dxa"/>
          </w:tcPr>
          <w:p w14:paraId="4A4DECB1">
            <w:r>
              <w:t>P10_length_robust_forest.png</w:t>
            </w:r>
          </w:p>
        </w:tc>
        <w:tc>
          <w:tcPr>
            <w:tcW w:w="3213" w:type="dxa"/>
          </w:tcPr>
          <w:p w14:paraId="24B050E1">
            <w:r>
              <w:t>长度稳健性森林图</w:t>
            </w:r>
          </w:p>
        </w:tc>
      </w:tr>
      <w:tr w14:paraId="5B2E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C11FF3">
            <w:r>
              <w:t>P11</w:t>
            </w:r>
          </w:p>
        </w:tc>
        <w:tc>
          <w:tcPr>
            <w:tcW w:w="3213" w:type="dxa"/>
          </w:tcPr>
          <w:p w14:paraId="728893A6">
            <w:r>
              <w:t>P11_format_robust_forest.png</w:t>
            </w:r>
          </w:p>
        </w:tc>
        <w:tc>
          <w:tcPr>
            <w:tcW w:w="3213" w:type="dxa"/>
          </w:tcPr>
          <w:p w14:paraId="721F8EBF">
            <w:r>
              <w:t>格式稳健性森林图</w:t>
            </w:r>
          </w:p>
        </w:tc>
      </w:tr>
      <w:tr w14:paraId="3ED5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31642DD">
            <w:r>
              <w:t>P12</w:t>
            </w:r>
          </w:p>
        </w:tc>
        <w:tc>
          <w:tcPr>
            <w:tcW w:w="3213" w:type="dxa"/>
          </w:tcPr>
          <w:p w14:paraId="60F9D4D0">
            <w:r>
              <w:t>P12_matching_diagnostics_overview.png</w:t>
            </w:r>
          </w:p>
        </w:tc>
        <w:tc>
          <w:tcPr>
            <w:tcW w:w="3213" w:type="dxa"/>
          </w:tcPr>
          <w:p w14:paraId="005BF766">
            <w:r>
              <w:t>倾向得分匹配诊断图</w:t>
            </w:r>
          </w:p>
        </w:tc>
      </w:tr>
      <w:tr w14:paraId="5242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765869">
            <w:r>
              <w:t>P13</w:t>
            </w:r>
          </w:p>
        </w:tc>
        <w:tc>
          <w:tcPr>
            <w:tcW w:w="3213" w:type="dxa"/>
          </w:tcPr>
          <w:p w14:paraId="03C6A998">
            <w:r>
              <w:t>P13_sem_path_diagram.png</w:t>
            </w:r>
          </w:p>
        </w:tc>
        <w:tc>
          <w:tcPr>
            <w:tcW w:w="3213" w:type="dxa"/>
          </w:tcPr>
          <w:p w14:paraId="5A07CA56">
            <w:r>
              <w:t>SEM 路径结构图</w:t>
            </w:r>
          </w:p>
        </w:tc>
      </w:tr>
      <w:tr w14:paraId="3DE4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5D00CF7">
            <w:r>
              <w:t>P14</w:t>
            </w:r>
          </w:p>
        </w:tc>
        <w:tc>
          <w:tcPr>
            <w:tcW w:w="3213" w:type="dxa"/>
          </w:tcPr>
          <w:p w14:paraId="2849F425">
            <w:r>
              <w:t>P14_sem_bootstrap_effects_ci.png</w:t>
            </w:r>
          </w:p>
        </w:tc>
        <w:tc>
          <w:tcPr>
            <w:tcW w:w="3213" w:type="dxa"/>
          </w:tcPr>
          <w:p w14:paraId="17C7936C">
            <w:r>
              <w:t>SEM Bootstrap 效应区间图</w:t>
            </w:r>
          </w:p>
        </w:tc>
      </w:tr>
    </w:tbl>
    <w:p w14:paraId="3EA36799">
      <w:pPr>
        <w:rPr>
          <w:rFonts w:hint="eastAsia"/>
        </w:rPr>
      </w:pPr>
      <w:bookmarkStart w:id="83" w:name="_Toc230016185"/>
      <w:r>
        <w:rPr>
          <w:rFonts w:hint="eastAsia"/>
        </w:rPr>
        <w:br w:type="page"/>
      </w:r>
    </w:p>
    <w:p w14:paraId="46304A4E">
      <w:pPr>
        <w:pStyle w:val="2"/>
      </w:pPr>
      <w:bookmarkStart w:id="84" w:name="_Toc525"/>
      <w:r>
        <w:rPr>
          <w:rFonts w:hint="eastAsia"/>
        </w:rPr>
        <w:t>致谢</w:t>
      </w:r>
      <w:bookmarkEnd w:id="83"/>
      <w:bookmarkEnd w:id="84"/>
    </w:p>
    <w:p w14:paraId="684D2D4E">
      <w:pPr>
        <w:spacing w:line="440" w:lineRule="exact"/>
        <w:ind w:firstLine="420" w:firstLineChars="0"/>
        <w:rPr>
          <w:sz w:val="24"/>
        </w:rPr>
      </w:pPr>
      <w:r>
        <w:rPr>
          <w:rFonts w:hint="eastAsia" w:ascii="宋体" w:hAnsi="宋体"/>
          <w:sz w:val="24"/>
        </w:rPr>
        <w:t>本项目依托中央民族大学青苗计划开展。课题实施过程中，指导教师程豪老师在统计建模、研究设计和论文组织方面提供了重要指导。项目成员在数据整理、脚本实现、结果复核和文档汇总中完成了分工协作。LMArena 数据集及相关公开研究工作为本文提供了重要的数据基础。在此一并致谢。</w:t>
      </w:r>
    </w:p>
    <w:sectPr>
      <w:pgSz w:w="11906" w:h="16838"/>
      <w:pgMar w:top="1418" w:right="1134" w:bottom="1418" w:left="1134" w:header="851" w:footer="992" w:gutter="284"/>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7F0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1D0B0">
                          <w:pPr>
                            <w:pStyle w:val="9"/>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891D0B0">
                    <w:pPr>
                      <w:pStyle w:val="9"/>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1E175">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2</w:t>
    </w:r>
    <w:r>
      <w:rPr>
        <w:rStyle w:val="17"/>
      </w:rPr>
      <w:fldChar w:fldCharType="end"/>
    </w:r>
  </w:p>
  <w:p w14:paraId="1712EC9F">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08C3B">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7AD81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C7AD81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9E355">
    <w:pPr>
      <w:pStyle w:val="10"/>
    </w:pPr>
    <w:r>
      <w:rPr>
        <w:rFonts w:hint="eastAsia"/>
      </w:rPr>
      <w:t>中央民族大学大学生创新训练计划结题论文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B582D">
    <w:pPr>
      <w:pStyle w:val="10"/>
    </w:pPr>
    <w:r>
      <w:rPr>
        <w:rFonts w:hint="eastAsia"/>
      </w:rPr>
      <w:t>中央民族大学本科生研究训练计划结题论文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EC739">
    <w:pPr>
      <w:pStyle w:val="10"/>
    </w:pPr>
    <w:r>
      <w:rPr>
        <w:rFonts w:hint="eastAsia"/>
      </w:rPr>
      <w:t>中央民族大学大学生创新训练计划结题论文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996BC"/>
    <w:multiLevelType w:val="singleLevel"/>
    <w:tmpl w:val="807996BC"/>
    <w:lvl w:ilvl="0" w:tentative="0">
      <w:start w:val="1"/>
      <w:numFmt w:val="decimal"/>
      <w:suff w:val="space"/>
      <w:lvlText w:val="[%1]"/>
      <w:lvlJc w:val="left"/>
    </w:lvl>
  </w:abstractNum>
  <w:abstractNum w:abstractNumId="1">
    <w:nsid w:val="AC9BD117"/>
    <w:multiLevelType w:val="singleLevel"/>
    <w:tmpl w:val="AC9BD117"/>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AB0"/>
    <w:rsid w:val="00003267"/>
    <w:rsid w:val="000043E2"/>
    <w:rsid w:val="00005AA0"/>
    <w:rsid w:val="0000682C"/>
    <w:rsid w:val="000108B4"/>
    <w:rsid w:val="00011115"/>
    <w:rsid w:val="00012931"/>
    <w:rsid w:val="00014279"/>
    <w:rsid w:val="0001474D"/>
    <w:rsid w:val="00016291"/>
    <w:rsid w:val="00034A06"/>
    <w:rsid w:val="00037849"/>
    <w:rsid w:val="00046D82"/>
    <w:rsid w:val="00051B60"/>
    <w:rsid w:val="00061C6A"/>
    <w:rsid w:val="000636A0"/>
    <w:rsid w:val="00083055"/>
    <w:rsid w:val="00091AAE"/>
    <w:rsid w:val="00093D76"/>
    <w:rsid w:val="0009471C"/>
    <w:rsid w:val="000A5021"/>
    <w:rsid w:val="000A5147"/>
    <w:rsid w:val="000A6DE2"/>
    <w:rsid w:val="000A7E3D"/>
    <w:rsid w:val="000B2367"/>
    <w:rsid w:val="000C6F4E"/>
    <w:rsid w:val="000C7312"/>
    <w:rsid w:val="000D3345"/>
    <w:rsid w:val="000D5BC6"/>
    <w:rsid w:val="000E0567"/>
    <w:rsid w:val="000E2008"/>
    <w:rsid w:val="000E4E5D"/>
    <w:rsid w:val="000F05CD"/>
    <w:rsid w:val="000F6B7D"/>
    <w:rsid w:val="0010181C"/>
    <w:rsid w:val="00106E66"/>
    <w:rsid w:val="00111A90"/>
    <w:rsid w:val="00133621"/>
    <w:rsid w:val="001345C3"/>
    <w:rsid w:val="0016412D"/>
    <w:rsid w:val="00171443"/>
    <w:rsid w:val="00173AE6"/>
    <w:rsid w:val="00184E2B"/>
    <w:rsid w:val="00196DE2"/>
    <w:rsid w:val="001A1BCD"/>
    <w:rsid w:val="001C2DEC"/>
    <w:rsid w:val="001D1DAC"/>
    <w:rsid w:val="001D2111"/>
    <w:rsid w:val="001D419D"/>
    <w:rsid w:val="001E18EE"/>
    <w:rsid w:val="001E2FFD"/>
    <w:rsid w:val="001E6853"/>
    <w:rsid w:val="001E6D2D"/>
    <w:rsid w:val="001F0FBB"/>
    <w:rsid w:val="001F2C70"/>
    <w:rsid w:val="00210D63"/>
    <w:rsid w:val="002135DE"/>
    <w:rsid w:val="002140C8"/>
    <w:rsid w:val="00216E36"/>
    <w:rsid w:val="0021752E"/>
    <w:rsid w:val="00225582"/>
    <w:rsid w:val="00226FF4"/>
    <w:rsid w:val="00232949"/>
    <w:rsid w:val="0024008B"/>
    <w:rsid w:val="002431FA"/>
    <w:rsid w:val="00244605"/>
    <w:rsid w:val="00245F5C"/>
    <w:rsid w:val="002464A2"/>
    <w:rsid w:val="00263461"/>
    <w:rsid w:val="00264EBE"/>
    <w:rsid w:val="00264FD5"/>
    <w:rsid w:val="00265BD3"/>
    <w:rsid w:val="002669D7"/>
    <w:rsid w:val="00266A8D"/>
    <w:rsid w:val="00275B80"/>
    <w:rsid w:val="00275E97"/>
    <w:rsid w:val="00280D63"/>
    <w:rsid w:val="00292847"/>
    <w:rsid w:val="00292ADD"/>
    <w:rsid w:val="00296854"/>
    <w:rsid w:val="0029760F"/>
    <w:rsid w:val="002B0B05"/>
    <w:rsid w:val="002B5E62"/>
    <w:rsid w:val="002C0280"/>
    <w:rsid w:val="002C1B32"/>
    <w:rsid w:val="002C5B0E"/>
    <w:rsid w:val="002D6EDB"/>
    <w:rsid w:val="002E3E50"/>
    <w:rsid w:val="002F2D87"/>
    <w:rsid w:val="002F3DF8"/>
    <w:rsid w:val="002F5F7D"/>
    <w:rsid w:val="002F6276"/>
    <w:rsid w:val="00300508"/>
    <w:rsid w:val="0030724E"/>
    <w:rsid w:val="003111FC"/>
    <w:rsid w:val="003125D9"/>
    <w:rsid w:val="003161F9"/>
    <w:rsid w:val="00331123"/>
    <w:rsid w:val="00341CDB"/>
    <w:rsid w:val="00344CB2"/>
    <w:rsid w:val="00345146"/>
    <w:rsid w:val="00355BE7"/>
    <w:rsid w:val="003620E4"/>
    <w:rsid w:val="00362F68"/>
    <w:rsid w:val="00363A47"/>
    <w:rsid w:val="00365FB2"/>
    <w:rsid w:val="0036708D"/>
    <w:rsid w:val="003671AA"/>
    <w:rsid w:val="00380983"/>
    <w:rsid w:val="00381671"/>
    <w:rsid w:val="00392422"/>
    <w:rsid w:val="00393A49"/>
    <w:rsid w:val="003969EF"/>
    <w:rsid w:val="003A0494"/>
    <w:rsid w:val="003A6389"/>
    <w:rsid w:val="003B0BCB"/>
    <w:rsid w:val="003B2B0F"/>
    <w:rsid w:val="003B7541"/>
    <w:rsid w:val="003C2635"/>
    <w:rsid w:val="003C330B"/>
    <w:rsid w:val="003C4B9C"/>
    <w:rsid w:val="003D06AA"/>
    <w:rsid w:val="003D2F38"/>
    <w:rsid w:val="003D7F04"/>
    <w:rsid w:val="003E57AB"/>
    <w:rsid w:val="003F5889"/>
    <w:rsid w:val="003F5A75"/>
    <w:rsid w:val="004010CB"/>
    <w:rsid w:val="00403BDA"/>
    <w:rsid w:val="00411667"/>
    <w:rsid w:val="0041313D"/>
    <w:rsid w:val="0041322F"/>
    <w:rsid w:val="00425990"/>
    <w:rsid w:val="00430545"/>
    <w:rsid w:val="0043641A"/>
    <w:rsid w:val="004371E7"/>
    <w:rsid w:val="00441950"/>
    <w:rsid w:val="00443837"/>
    <w:rsid w:val="004456FE"/>
    <w:rsid w:val="0045475F"/>
    <w:rsid w:val="004550C2"/>
    <w:rsid w:val="00456015"/>
    <w:rsid w:val="00465D45"/>
    <w:rsid w:val="00466875"/>
    <w:rsid w:val="00470A88"/>
    <w:rsid w:val="004761F6"/>
    <w:rsid w:val="00480A59"/>
    <w:rsid w:val="0048148C"/>
    <w:rsid w:val="004830E0"/>
    <w:rsid w:val="0048509C"/>
    <w:rsid w:val="00485B4C"/>
    <w:rsid w:val="0048754A"/>
    <w:rsid w:val="004A69A4"/>
    <w:rsid w:val="004B038B"/>
    <w:rsid w:val="004B6A98"/>
    <w:rsid w:val="004C0B29"/>
    <w:rsid w:val="004C0FAB"/>
    <w:rsid w:val="004C141C"/>
    <w:rsid w:val="004C3092"/>
    <w:rsid w:val="004D1D5B"/>
    <w:rsid w:val="004D2B7B"/>
    <w:rsid w:val="004E5296"/>
    <w:rsid w:val="004F05CA"/>
    <w:rsid w:val="004F1508"/>
    <w:rsid w:val="004F16C3"/>
    <w:rsid w:val="004F2CF8"/>
    <w:rsid w:val="004F38CD"/>
    <w:rsid w:val="00500A20"/>
    <w:rsid w:val="00506188"/>
    <w:rsid w:val="005158F5"/>
    <w:rsid w:val="0053082D"/>
    <w:rsid w:val="0053165A"/>
    <w:rsid w:val="00531C4A"/>
    <w:rsid w:val="00537654"/>
    <w:rsid w:val="00540690"/>
    <w:rsid w:val="00550AE8"/>
    <w:rsid w:val="00557550"/>
    <w:rsid w:val="00561ED1"/>
    <w:rsid w:val="00563608"/>
    <w:rsid w:val="00564B99"/>
    <w:rsid w:val="0056760B"/>
    <w:rsid w:val="00574948"/>
    <w:rsid w:val="0058051E"/>
    <w:rsid w:val="0058624F"/>
    <w:rsid w:val="00595B34"/>
    <w:rsid w:val="005A30FF"/>
    <w:rsid w:val="005A5A4E"/>
    <w:rsid w:val="005A64C8"/>
    <w:rsid w:val="005A703A"/>
    <w:rsid w:val="005B0944"/>
    <w:rsid w:val="005B4C49"/>
    <w:rsid w:val="005B7F3E"/>
    <w:rsid w:val="005C367A"/>
    <w:rsid w:val="005C4E2F"/>
    <w:rsid w:val="005D289A"/>
    <w:rsid w:val="005D6514"/>
    <w:rsid w:val="005D7266"/>
    <w:rsid w:val="005E0A96"/>
    <w:rsid w:val="005F169D"/>
    <w:rsid w:val="005F3F28"/>
    <w:rsid w:val="005F655D"/>
    <w:rsid w:val="00611EC2"/>
    <w:rsid w:val="00613F8C"/>
    <w:rsid w:val="00624176"/>
    <w:rsid w:val="0064073D"/>
    <w:rsid w:val="00643536"/>
    <w:rsid w:val="006477C8"/>
    <w:rsid w:val="00653B0A"/>
    <w:rsid w:val="00677C2C"/>
    <w:rsid w:val="00686D25"/>
    <w:rsid w:val="00687440"/>
    <w:rsid w:val="0069070F"/>
    <w:rsid w:val="006A4BA2"/>
    <w:rsid w:val="006B0DD2"/>
    <w:rsid w:val="006B1523"/>
    <w:rsid w:val="006B1F0F"/>
    <w:rsid w:val="006B2959"/>
    <w:rsid w:val="006B3709"/>
    <w:rsid w:val="006B4047"/>
    <w:rsid w:val="006C0AB8"/>
    <w:rsid w:val="006D154E"/>
    <w:rsid w:val="006E2D6C"/>
    <w:rsid w:val="006E6953"/>
    <w:rsid w:val="0070592B"/>
    <w:rsid w:val="00715E3E"/>
    <w:rsid w:val="00716972"/>
    <w:rsid w:val="00721050"/>
    <w:rsid w:val="00730A43"/>
    <w:rsid w:val="00731762"/>
    <w:rsid w:val="00737464"/>
    <w:rsid w:val="007575DE"/>
    <w:rsid w:val="007576F0"/>
    <w:rsid w:val="007600B2"/>
    <w:rsid w:val="00762AFC"/>
    <w:rsid w:val="007654E0"/>
    <w:rsid w:val="00765C40"/>
    <w:rsid w:val="00766AE0"/>
    <w:rsid w:val="0077018B"/>
    <w:rsid w:val="00777245"/>
    <w:rsid w:val="00784405"/>
    <w:rsid w:val="007854AB"/>
    <w:rsid w:val="007965D1"/>
    <w:rsid w:val="00796F8C"/>
    <w:rsid w:val="007A08A1"/>
    <w:rsid w:val="007A18DD"/>
    <w:rsid w:val="007A330D"/>
    <w:rsid w:val="007B6C65"/>
    <w:rsid w:val="007C1404"/>
    <w:rsid w:val="007C1FF0"/>
    <w:rsid w:val="007C3402"/>
    <w:rsid w:val="007C6A85"/>
    <w:rsid w:val="007D6BE8"/>
    <w:rsid w:val="007E1511"/>
    <w:rsid w:val="007E30B2"/>
    <w:rsid w:val="007F4DED"/>
    <w:rsid w:val="00812068"/>
    <w:rsid w:val="00833936"/>
    <w:rsid w:val="00840368"/>
    <w:rsid w:val="008435E4"/>
    <w:rsid w:val="0084557A"/>
    <w:rsid w:val="00851FC1"/>
    <w:rsid w:val="00860287"/>
    <w:rsid w:val="00860B8D"/>
    <w:rsid w:val="00860EA6"/>
    <w:rsid w:val="00860FC7"/>
    <w:rsid w:val="00861F0E"/>
    <w:rsid w:val="008661BC"/>
    <w:rsid w:val="008709CA"/>
    <w:rsid w:val="008755E9"/>
    <w:rsid w:val="0088125E"/>
    <w:rsid w:val="00895B77"/>
    <w:rsid w:val="008A3FDB"/>
    <w:rsid w:val="008A4AA7"/>
    <w:rsid w:val="008B05B8"/>
    <w:rsid w:val="008C1165"/>
    <w:rsid w:val="008C37E4"/>
    <w:rsid w:val="008D132B"/>
    <w:rsid w:val="008D1B0A"/>
    <w:rsid w:val="008D2A1E"/>
    <w:rsid w:val="008D502D"/>
    <w:rsid w:val="008E0F61"/>
    <w:rsid w:val="00910EDF"/>
    <w:rsid w:val="009145E0"/>
    <w:rsid w:val="00916294"/>
    <w:rsid w:val="00916CD6"/>
    <w:rsid w:val="00943E28"/>
    <w:rsid w:val="00945201"/>
    <w:rsid w:val="00950379"/>
    <w:rsid w:val="00950616"/>
    <w:rsid w:val="009562A6"/>
    <w:rsid w:val="00962500"/>
    <w:rsid w:val="00966DD6"/>
    <w:rsid w:val="00973A6B"/>
    <w:rsid w:val="009802B0"/>
    <w:rsid w:val="0098353C"/>
    <w:rsid w:val="00986AB0"/>
    <w:rsid w:val="00990895"/>
    <w:rsid w:val="00996C74"/>
    <w:rsid w:val="009A10C3"/>
    <w:rsid w:val="009A1CEB"/>
    <w:rsid w:val="009B15B6"/>
    <w:rsid w:val="009C034B"/>
    <w:rsid w:val="009C511D"/>
    <w:rsid w:val="009C56A1"/>
    <w:rsid w:val="009D2FC2"/>
    <w:rsid w:val="009D586C"/>
    <w:rsid w:val="009D75B3"/>
    <w:rsid w:val="009E0EE3"/>
    <w:rsid w:val="009F00B2"/>
    <w:rsid w:val="009F6FE9"/>
    <w:rsid w:val="00A0675B"/>
    <w:rsid w:val="00A0797F"/>
    <w:rsid w:val="00A07B2B"/>
    <w:rsid w:val="00A1004C"/>
    <w:rsid w:val="00A12608"/>
    <w:rsid w:val="00A2569C"/>
    <w:rsid w:val="00A31C5C"/>
    <w:rsid w:val="00A349BD"/>
    <w:rsid w:val="00A35C22"/>
    <w:rsid w:val="00A37B47"/>
    <w:rsid w:val="00A436F3"/>
    <w:rsid w:val="00A44DA6"/>
    <w:rsid w:val="00A47646"/>
    <w:rsid w:val="00A50E5F"/>
    <w:rsid w:val="00A54F7A"/>
    <w:rsid w:val="00A62794"/>
    <w:rsid w:val="00A66507"/>
    <w:rsid w:val="00A82BA3"/>
    <w:rsid w:val="00A833C9"/>
    <w:rsid w:val="00A85E19"/>
    <w:rsid w:val="00A87711"/>
    <w:rsid w:val="00A90D36"/>
    <w:rsid w:val="00A93BB0"/>
    <w:rsid w:val="00A93EE5"/>
    <w:rsid w:val="00AA26D0"/>
    <w:rsid w:val="00AB0142"/>
    <w:rsid w:val="00AB2257"/>
    <w:rsid w:val="00AB39FA"/>
    <w:rsid w:val="00AB5609"/>
    <w:rsid w:val="00AC660E"/>
    <w:rsid w:val="00AD2004"/>
    <w:rsid w:val="00AD6CC8"/>
    <w:rsid w:val="00AE03BE"/>
    <w:rsid w:val="00AE36F7"/>
    <w:rsid w:val="00AE68A0"/>
    <w:rsid w:val="00AF073D"/>
    <w:rsid w:val="00B01BF1"/>
    <w:rsid w:val="00B06617"/>
    <w:rsid w:val="00B06911"/>
    <w:rsid w:val="00B07ED7"/>
    <w:rsid w:val="00B13C53"/>
    <w:rsid w:val="00B15E21"/>
    <w:rsid w:val="00B23610"/>
    <w:rsid w:val="00B249DE"/>
    <w:rsid w:val="00B2558F"/>
    <w:rsid w:val="00B264B5"/>
    <w:rsid w:val="00B26E21"/>
    <w:rsid w:val="00B335D5"/>
    <w:rsid w:val="00B35B5D"/>
    <w:rsid w:val="00B5544E"/>
    <w:rsid w:val="00B56708"/>
    <w:rsid w:val="00B611F1"/>
    <w:rsid w:val="00B704B6"/>
    <w:rsid w:val="00B74000"/>
    <w:rsid w:val="00B7540A"/>
    <w:rsid w:val="00B803EF"/>
    <w:rsid w:val="00B91C46"/>
    <w:rsid w:val="00B935E6"/>
    <w:rsid w:val="00B9409B"/>
    <w:rsid w:val="00B96603"/>
    <w:rsid w:val="00BA08C1"/>
    <w:rsid w:val="00BC0D76"/>
    <w:rsid w:val="00BC0E3F"/>
    <w:rsid w:val="00BC4916"/>
    <w:rsid w:val="00BC7249"/>
    <w:rsid w:val="00BD3BCB"/>
    <w:rsid w:val="00BD4791"/>
    <w:rsid w:val="00BD5D6A"/>
    <w:rsid w:val="00BD6E0C"/>
    <w:rsid w:val="00BE5A0E"/>
    <w:rsid w:val="00BF03D0"/>
    <w:rsid w:val="00BF0687"/>
    <w:rsid w:val="00BF2A26"/>
    <w:rsid w:val="00BF5160"/>
    <w:rsid w:val="00BF67CE"/>
    <w:rsid w:val="00C03B8A"/>
    <w:rsid w:val="00C0444F"/>
    <w:rsid w:val="00C0472F"/>
    <w:rsid w:val="00C05706"/>
    <w:rsid w:val="00C06B54"/>
    <w:rsid w:val="00C06C31"/>
    <w:rsid w:val="00C12D6D"/>
    <w:rsid w:val="00C17B6F"/>
    <w:rsid w:val="00C23970"/>
    <w:rsid w:val="00C35D0D"/>
    <w:rsid w:val="00C36850"/>
    <w:rsid w:val="00C37E21"/>
    <w:rsid w:val="00C43AC5"/>
    <w:rsid w:val="00C455A8"/>
    <w:rsid w:val="00C526EB"/>
    <w:rsid w:val="00C579D6"/>
    <w:rsid w:val="00C60990"/>
    <w:rsid w:val="00C659E2"/>
    <w:rsid w:val="00C678C0"/>
    <w:rsid w:val="00C71F76"/>
    <w:rsid w:val="00C94729"/>
    <w:rsid w:val="00CB0D52"/>
    <w:rsid w:val="00CC53F8"/>
    <w:rsid w:val="00CD2D6B"/>
    <w:rsid w:val="00CD59BC"/>
    <w:rsid w:val="00CE0F0C"/>
    <w:rsid w:val="00CE31EF"/>
    <w:rsid w:val="00CE3B31"/>
    <w:rsid w:val="00CE5ED6"/>
    <w:rsid w:val="00CF26E5"/>
    <w:rsid w:val="00CF48EA"/>
    <w:rsid w:val="00D00F22"/>
    <w:rsid w:val="00D1300B"/>
    <w:rsid w:val="00D25E35"/>
    <w:rsid w:val="00D31D01"/>
    <w:rsid w:val="00D372BD"/>
    <w:rsid w:val="00D41A54"/>
    <w:rsid w:val="00D43A9F"/>
    <w:rsid w:val="00D43AC2"/>
    <w:rsid w:val="00D468EF"/>
    <w:rsid w:val="00D508CB"/>
    <w:rsid w:val="00D57668"/>
    <w:rsid w:val="00D658BE"/>
    <w:rsid w:val="00D710B0"/>
    <w:rsid w:val="00D7359C"/>
    <w:rsid w:val="00D766EC"/>
    <w:rsid w:val="00D913DD"/>
    <w:rsid w:val="00D93EF0"/>
    <w:rsid w:val="00DA06DC"/>
    <w:rsid w:val="00DA4CB2"/>
    <w:rsid w:val="00DB0D1F"/>
    <w:rsid w:val="00DB22F9"/>
    <w:rsid w:val="00DC3CD7"/>
    <w:rsid w:val="00DC5F00"/>
    <w:rsid w:val="00DD04EB"/>
    <w:rsid w:val="00DD648A"/>
    <w:rsid w:val="00DD6B71"/>
    <w:rsid w:val="00DE2B98"/>
    <w:rsid w:val="00DE649D"/>
    <w:rsid w:val="00DF72A7"/>
    <w:rsid w:val="00E0421E"/>
    <w:rsid w:val="00E052C9"/>
    <w:rsid w:val="00E13785"/>
    <w:rsid w:val="00E14782"/>
    <w:rsid w:val="00E178DA"/>
    <w:rsid w:val="00E22CA4"/>
    <w:rsid w:val="00E23252"/>
    <w:rsid w:val="00E254F7"/>
    <w:rsid w:val="00E30BDB"/>
    <w:rsid w:val="00E37FE7"/>
    <w:rsid w:val="00E5510E"/>
    <w:rsid w:val="00E55439"/>
    <w:rsid w:val="00E641BC"/>
    <w:rsid w:val="00E6707C"/>
    <w:rsid w:val="00E73CF8"/>
    <w:rsid w:val="00E74666"/>
    <w:rsid w:val="00E75877"/>
    <w:rsid w:val="00E77E4F"/>
    <w:rsid w:val="00E90F85"/>
    <w:rsid w:val="00E917B3"/>
    <w:rsid w:val="00E95E71"/>
    <w:rsid w:val="00E95F6C"/>
    <w:rsid w:val="00EA44AC"/>
    <w:rsid w:val="00EB078E"/>
    <w:rsid w:val="00EC25F6"/>
    <w:rsid w:val="00EC2D3D"/>
    <w:rsid w:val="00EC4569"/>
    <w:rsid w:val="00EC4DFF"/>
    <w:rsid w:val="00EE5E92"/>
    <w:rsid w:val="00EF4246"/>
    <w:rsid w:val="00EF55B4"/>
    <w:rsid w:val="00F0247F"/>
    <w:rsid w:val="00F04A2A"/>
    <w:rsid w:val="00F06709"/>
    <w:rsid w:val="00F11C16"/>
    <w:rsid w:val="00F14749"/>
    <w:rsid w:val="00F14945"/>
    <w:rsid w:val="00F16724"/>
    <w:rsid w:val="00F1729F"/>
    <w:rsid w:val="00F172D6"/>
    <w:rsid w:val="00F172F3"/>
    <w:rsid w:val="00F246C2"/>
    <w:rsid w:val="00F247F0"/>
    <w:rsid w:val="00F371E7"/>
    <w:rsid w:val="00F3798A"/>
    <w:rsid w:val="00F41C77"/>
    <w:rsid w:val="00F41CCE"/>
    <w:rsid w:val="00F43087"/>
    <w:rsid w:val="00F56B1F"/>
    <w:rsid w:val="00F6315E"/>
    <w:rsid w:val="00F7089A"/>
    <w:rsid w:val="00F71CD6"/>
    <w:rsid w:val="00F722F9"/>
    <w:rsid w:val="00F8093B"/>
    <w:rsid w:val="00F855E1"/>
    <w:rsid w:val="00F9505B"/>
    <w:rsid w:val="00F9641B"/>
    <w:rsid w:val="00F97036"/>
    <w:rsid w:val="00FA28E8"/>
    <w:rsid w:val="00FA293D"/>
    <w:rsid w:val="00FA51DF"/>
    <w:rsid w:val="00FB5104"/>
    <w:rsid w:val="00FB6B85"/>
    <w:rsid w:val="00FC4A70"/>
    <w:rsid w:val="00FE3CC1"/>
    <w:rsid w:val="03B93DDA"/>
    <w:rsid w:val="071E0F8F"/>
    <w:rsid w:val="13F15DA5"/>
    <w:rsid w:val="15047217"/>
    <w:rsid w:val="1558359F"/>
    <w:rsid w:val="337347CA"/>
    <w:rsid w:val="360821AB"/>
    <w:rsid w:val="370C2D55"/>
    <w:rsid w:val="3A0642BC"/>
    <w:rsid w:val="456552E9"/>
    <w:rsid w:val="56F9199E"/>
    <w:rsid w:val="57650F48"/>
    <w:rsid w:val="683653D5"/>
    <w:rsid w:val="696D1EDE"/>
    <w:rsid w:val="72D27981"/>
    <w:rsid w:val="758C1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line="440" w:lineRule="auto"/>
      <w:jc w:val="center"/>
      <w:outlineLvl w:val="0"/>
    </w:pPr>
    <w:rPr>
      <w:b/>
      <w:bCs/>
      <w:kern w:val="44"/>
      <w:sz w:val="28"/>
      <w:szCs w:val="44"/>
    </w:rPr>
  </w:style>
  <w:style w:type="paragraph" w:styleId="3">
    <w:name w:val="heading 2"/>
    <w:basedOn w:val="1"/>
    <w:next w:val="1"/>
    <w:unhideWhenUsed/>
    <w:qFormat/>
    <w:uiPriority w:val="0"/>
    <w:pPr>
      <w:keepNext/>
      <w:keepLines/>
      <w:spacing w:beforeLines="0" w:beforeAutospacing="0" w:afterLines="0" w:afterAutospacing="0" w:line="240" w:lineRule="auto"/>
      <w:jc w:val="left"/>
      <w:outlineLvl w:val="1"/>
    </w:pPr>
    <w:rPr>
      <w:rFonts w:ascii="Arial" w:hAnsi="Arial" w:eastAsiaTheme="minorEastAsia"/>
      <w:b/>
      <w:sz w:val="24"/>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Theme="minorAscii" w:hAnsiTheme="minorAscii"/>
      <w:b/>
      <w:sz w:val="32"/>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semiHidden/>
    <w:qFormat/>
    <w:uiPriority w:val="0"/>
    <w:pPr>
      <w:jc w:val="left"/>
    </w:pPr>
  </w:style>
  <w:style w:type="paragraph" w:styleId="7">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3">
    <w:name w:val="annotation subject"/>
    <w:basedOn w:val="6"/>
    <w:next w:val="6"/>
    <w:semiHidden/>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qFormat/>
    <w:uiPriority w:val="99"/>
    <w:rPr>
      <w:color w:val="0000FF"/>
      <w:u w:val="single"/>
    </w:rPr>
  </w:style>
  <w:style w:type="character" w:styleId="19">
    <w:name w:val="annotation reference"/>
    <w:semiHidden/>
    <w:qFormat/>
    <w:uiPriority w:val="0"/>
    <w:rPr>
      <w:sz w:val="21"/>
      <w:szCs w:val="21"/>
    </w:rPr>
  </w:style>
  <w:style w:type="character" w:styleId="20">
    <w:name w:val="Placeholder Text"/>
    <w:basedOn w:val="16"/>
    <w:unhideWhenUsed/>
    <w:qFormat/>
    <w:uiPriority w:val="99"/>
    <w:rPr>
      <w:color w:val="666666"/>
    </w:rPr>
  </w:style>
  <w:style w:type="character" w:customStyle="1" w:styleId="21">
    <w:name w:val="标题 1 字符"/>
    <w:basedOn w:val="16"/>
    <w:link w:val="2"/>
    <w:qFormat/>
    <w:uiPriority w:val="0"/>
    <w:rPr>
      <w:b/>
      <w:bCs/>
      <w:kern w:val="44"/>
      <w:sz w:val="28"/>
      <w:szCs w:val="44"/>
    </w:rPr>
  </w:style>
  <w:style w:type="paragraph" w:customStyle="1" w:styleId="22">
    <w:name w:val="标题2"/>
    <w:basedOn w:val="1"/>
    <w:link w:val="23"/>
    <w:qFormat/>
    <w:uiPriority w:val="0"/>
    <w:pPr>
      <w:spacing w:line="440" w:lineRule="auto"/>
      <w:jc w:val="left"/>
    </w:pPr>
    <w:rPr>
      <w:b/>
      <w:sz w:val="24"/>
    </w:rPr>
  </w:style>
  <w:style w:type="character" w:customStyle="1" w:styleId="23">
    <w:name w:val="标题2 字符"/>
    <w:basedOn w:val="16"/>
    <w:link w:val="22"/>
    <w:qFormat/>
    <w:uiPriority w:val="0"/>
    <w:rPr>
      <w:b/>
      <w:kern w:val="2"/>
      <w:sz w:val="24"/>
      <w:szCs w:val="24"/>
    </w:rPr>
  </w:style>
  <w:style w:type="paragraph" w:customStyle="1" w:styleId="24">
    <w:name w:val="标题3"/>
    <w:basedOn w:val="1"/>
    <w:link w:val="25"/>
    <w:qFormat/>
    <w:uiPriority w:val="0"/>
    <w:pPr>
      <w:spacing w:line="440" w:lineRule="exact"/>
      <w:jc w:val="left"/>
    </w:pPr>
    <w:rPr>
      <w:rFonts w:ascii="宋体" w:hAnsi="宋体"/>
      <w:b/>
      <w:sz w:val="24"/>
    </w:rPr>
  </w:style>
  <w:style w:type="character" w:customStyle="1" w:styleId="25">
    <w:name w:val="标题3 字符"/>
    <w:basedOn w:val="16"/>
    <w:link w:val="24"/>
    <w:qFormat/>
    <w:uiPriority w:val="0"/>
    <w:rPr>
      <w:rFonts w:ascii="宋体" w:hAnsi="宋体"/>
      <w:b/>
      <w:kern w:val="2"/>
      <w:sz w:val="24"/>
      <w:szCs w:val="24"/>
    </w:rPr>
  </w:style>
  <w:style w:type="paragraph" w:styleId="26">
    <w:name w:val="List Paragraph"/>
    <w:basedOn w:val="1"/>
    <w:qFormat/>
    <w:uiPriority w:val="99"/>
    <w:pPr>
      <w:ind w:firstLine="420" w:firstLineChars="200"/>
    </w:pPr>
  </w:style>
  <w:style w:type="paragraph" w:customStyle="1" w:styleId="27">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1019;&#26032;&#35745;&#21010;\&#36890;&#30693;&#21644;&#21518;&#32493;&#24037;&#20316;\2013%20&#32467;&#39064;\303_XXXX_&#32467;&#39064;&#35770;&#25991;&#27169;&#26495;_20141216_&#29702;&#24037;&#3186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8478A0-3B13-49BF-95E8-49B8605B59B8}">
  <ds:schemaRefs/>
</ds:datastoreItem>
</file>

<file path=docProps/app.xml><?xml version="1.0" encoding="utf-8"?>
<Properties xmlns="http://schemas.openxmlformats.org/officeDocument/2006/extended-properties" xmlns:vt="http://schemas.openxmlformats.org/officeDocument/2006/docPropsVTypes">
  <Template>303_XXXX_结题论文模板_20141216_理工类.dot</Template>
  <Company>中央民族大学教务处</Company>
  <Pages>57</Pages>
  <Words>23149</Words>
  <Characters>29854</Characters>
  <Lines>591</Lines>
  <Paragraphs>380</Paragraphs>
  <TotalTime>50</TotalTime>
  <ScaleCrop>false</ScaleCrop>
  <LinksUpToDate>false</LinksUpToDate>
  <CharactersWithSpaces>31368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2026-05-19T04:18:00Z</dcterms:created>
  <dc:creator>zhmsong</dc:creator>
  <cp:lastModifiedBy>梁</cp:lastModifiedBy>
  <cp:lastPrinted>2011-10-26T03:29:00Z</cp:lastPrinted>
  <dcterms:modified xsi:type="dcterms:W3CDTF">2026-05-19T14:25:37Z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eyJoZGlkIjoiNWY3MTU5YzZkODIxYmMzOTMwNGFlNjkxYmI4YjIzY2QiLCJ1c2VySWQiOiIxNDMyNDMyMTUyIn0=</vt:lpwstr>
  </property>
  <property fmtid="{D5CDD505-2E9C-101B-9397-08002B2CF9AE}" pid="3" name="KSOProductBuildVer">
    <vt:lpwstr>2052-12.1.0.26373</vt:lpwstr>
  </property>
  <property fmtid="{D5CDD505-2E9C-101B-9397-08002B2CF9AE}" pid="4" name="ICV">
    <vt:lpwstr>5302D8F7E4024638958AF0BA51522090_13</vt:lpwstr>
  </property>
</Properties>
</file>