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288" w:lineRule="auto" w:after="80"/>
        <w:jc w:val="center"/>
      </w:pPr>
      <w:r>
        <w:rPr>
          <w:rFonts w:hint="eastAsia"/>
        </w:rPr>
        <w:t xml:space="preserve">大语言模型人类偏好数据的长度与格式关联分析</w:t>
      </w:r>
      <w:r>
        <w:br/>
      </w:r>
      <w:r>
        <w:rPr>
          <w:rFonts w:hint="eastAsia"/>
        </w:rPr>
        <w:t xml:space="preserve">——基于成对比较模型与探索性路径的审计应用</w:t>
      </w:r>
    </w:p>
    <w:p>
      <w:pPr>
        <w:pStyle w:val="Author"/>
        <w:spacing w:line="288" w:lineRule="auto" w:after="80"/>
      </w:pPr>
      <w:r>
        <w:rPr>
          <w:rFonts w:hint="eastAsia"/>
        </w:rPr>
        <w:t xml:space="preserve">程豪梁斯祯李嘉帅姜弼达翁祖成姚博晟</w:t>
      </w:r>
      <w:r>
        <w:br/>
      </w:r>
      <w:r>
        <w:rPr>
          <w:rFonts w:hint="eastAsia"/>
        </w:rPr>
        <w:t xml:space="preserve">中央民族大学理学院，北京</w:t>
      </w:r>
      <w:r>
        <w:t xml:space="preserve"> 100081</w:t>
      </w:r>
    </w:p>
    <w:p>
      <w:pPr>
        <w:pStyle w:val="FirstParagraph"/>
        <w:spacing w:line="288" w:lineRule="auto" w:after="80"/>
        <w:ind w:firstLine="420"/>
      </w:pPr>
      <w:r>
        <w:rPr>
          <w:rFonts w:hint="eastAsia"/>
        </w:rPr>
        <w:t xml:space="preserve">基金项目：国家自然科学基金青年科学基金项目（72001197）；</w:t>
      </w:r>
      <w:r>
        <w:br/>
      </w:r>
      <w:r>
        <w:rPr>
          <w:rFonts w:hint="eastAsia"/>
        </w:rPr>
        <w:t xml:space="preserve">中央民族大学创新训练项目青苗计划（QMRP2025110352）</w:t>
      </w:r>
    </w:p>
    <w:p>
      <w:pPr>
        <w:pStyle w:val="BodyText"/>
        <w:spacing w:line="288" w:lineRule="auto" w:after="80"/>
        <w:ind w:firstLine="420"/>
      </w:pPr>
      <w:r>
        <w:rPr>
          <w:rFonts w:hint="eastAsia"/>
          <w:b/>
          <w:bCs/>
        </w:rPr>
        <w:t xml:space="preserve">摘要：</w:t>
      </w:r>
      <w:r>
        <w:rPr>
          <w:rFonts w:hint="eastAsia"/>
        </w:rPr>
        <w:t xml:space="preserve">基于LMArena的108,154条评价记录，构建成对比较模型并保留SEM探索性路径分析。明确胜负样本中，长度与粗体密度呈正关联，标题对子集敏感，列表密度证据不足。聚类推断与月份控制下主要方向保持，但长度存在明显非线性，粗体存在性未获同样支持。进一步描述明确选择状态，提出含方差估计及预算分配的分层审计方案。结果限于观察性关联，格式重解析不替代人工验证。</w:t>
      </w:r>
    </w:p>
    <w:p>
      <w:pPr>
        <w:pStyle w:val="BodyText"/>
        <w:spacing w:line="288" w:lineRule="auto" w:after="80"/>
        <w:ind w:firstLine="420"/>
      </w:pPr>
      <w:r>
        <w:rPr>
          <w:rFonts w:hint="eastAsia"/>
          <w:b/>
          <w:bCs/>
        </w:rPr>
        <w:t xml:space="preserve">关键词：</w:t>
      </w:r>
      <w:r>
        <w:rPr>
          <w:rFonts w:hint="eastAsia"/>
        </w:rPr>
        <w:t xml:space="preserve">大语言模型；人类偏好；成对比较；探索性路径分析；数据审计</w:t>
      </w:r>
    </w:p>
    <w:p>
      <w:pPr>
        <w:pStyle w:val="BodyText"/>
        <w:spacing w:line="288" w:lineRule="auto" w:after="80"/>
        <w:ind w:firstLine="420"/>
      </w:pPr>
      <w:r>
        <w:rPr>
          <w:b/>
          <w:bCs/>
        </w:rPr>
        <w:t xml:space="preserve">Length and Formatting Associations in Human Preference Data for Large Language Models</w:t>
      </w:r>
      <w:r>
        <w:br/>
      </w:r>
      <w:r>
        <w:rPr>
          <w:b/>
          <w:bCs/>
        </w:rPr>
        <w:t xml:space="preserve">An Audit Application Using Paired Comparisons and Exploratory Paths</w:t>
      </w:r>
    </w:p>
    <w:p>
      <w:pPr>
        <w:pStyle w:val="BodyText"/>
        <w:spacing w:line="288" w:lineRule="auto" w:after="80"/>
        <w:ind w:firstLine="420"/>
      </w:pPr>
      <w:r>
        <w:rPr>
          <w:b/>
          <w:bCs/>
        </w:rPr>
        <w:t xml:space="preserve">Abstract:</w:t>
      </w:r>
      <w:r>
        <w:t xml:space="preserve"> </w:t>
      </w:r>
      <w:r>
        <w:t xml:space="preserve">Using 108,154 LMArena evaluation records, this study combines a paired-comparison logistic model with exploratory observed-variable path analysis. Among decisive pairs, response length and bold density show positive conditional associations with choice. Heading associations are subset-sensitive, while list-density evidence is inconclusive. Prompt-cluster inference, model-pair clustering, month adjustment, and alternative Markdown parsing support the main density-based directions. However, restricted cubic splines reveal substantial length nonlinearity, and bold presence does not show the same association as bold density. A separate symmetric model describes whether an evaluation is decisive. The audit application retains unresolved evaluations and specifies stratified estimation, finite-population variance, and budget allocation. Path products describe candidate associations rather than causal mediation. Automated parsing agreement does not establish measurement validity; a blinded sample of 400 responses has been prepared for independent human review. The proposed audit allocation has not been validated through content review or training experiments.</w:t>
      </w:r>
    </w:p>
    <w:p>
      <w:pPr>
        <w:pStyle w:val="BodyText"/>
        <w:spacing w:line="288" w:lineRule="auto" w:after="80"/>
        <w:ind w:firstLine="420"/>
      </w:pPr>
      <w:r>
        <w:rPr>
          <w:b/>
          <w:bCs/>
        </w:rPr>
        <w:t xml:space="preserve">Key words:</w:t>
      </w:r>
      <w:r>
        <w:t xml:space="preserve"> </w:t>
      </w:r>
      <w:r>
        <w:t xml:space="preserve">large language models; human preference; paired comparison; exploratory path analysis; data audit</w:t>
      </w:r>
    </w:p>
    <w:bookmarkStart w:id="9" w:name="引言"/>
    <w:p>
      <w:pPr>
        <w:pStyle w:val="Heading1"/>
        <w:keepNext/>
        <w:spacing w:line="288" w:lineRule="auto" w:after="80"/>
      </w:pPr>
      <w:r>
        <w:rPr>
          <w:rStyle w:val="SectionNumber"/>
        </w:rPr>
        <w:t xml:space="preserve">1</w:t>
      </w:r>
      <w:r>
        <w:tab/>
      </w:r>
      <w:r>
        <w:rPr>
          <w:rFonts w:hint="eastAsia"/>
        </w:rPr>
        <w:t xml:space="preserve">引言</w:t>
      </w:r>
    </w:p>
    <w:p>
      <w:pPr>
        <w:pStyle w:val="FirstParagraph"/>
        <w:spacing w:line="288" w:lineRule="auto" w:after="80"/>
        <w:ind w:firstLine="420"/>
      </w:pPr>
      <w:r>
        <w:rPr>
          <w:rFonts w:hint="eastAsia"/>
        </w:rPr>
        <w:t xml:space="preserve">大语言模型评价常采用成对比较：对同一用户问题展示两个候选回答，由用户选择较优者。该方式能够直接记录实际使用中的相对偏好，Chatbot</w:t>
      </w:r>
      <w:r>
        <w:t xml:space="preserve"> Arena </w:t>
      </w:r>
      <w:r>
        <w:rPr>
          <w:rFonts w:hint="eastAsia"/>
        </w:rPr>
        <w:t xml:space="preserve">等平台据此开展众包评价与模型比较[1]。然而，一个回答被选中并不等于其所有可观察特征都具有同样的质量含义。较长回答可能提供更多必要信息，也可能包含重复解释；标题、列表和粗体可能改善信息组织，也可能仅改变文本外观。对评价数据使用者而言，需要判断选择结果与这些形式特征之间存在多大关联，从而决定哪些配对应进入进一步复核。</w:t>
      </w:r>
    </w:p>
    <w:p>
      <w:pPr>
        <w:pStyle w:val="BodyText"/>
        <w:spacing w:line="288" w:lineRule="auto" w:after="80"/>
        <w:ind w:firstLine="420"/>
      </w:pPr>
      <w:r>
        <w:rPr>
          <w:rFonts w:hint="eastAsia"/>
        </w:rPr>
        <w:t xml:space="preserve">已有研究从不同角度讨论偏好信号的构成。Li</w:t>
      </w:r>
      <w:r>
        <w:t xml:space="preserve"> </w:t>
      </w:r>
      <w:r>
        <w:rPr>
          <w:rFonts w:hint="eastAsia"/>
        </w:rPr>
        <w:t xml:space="preserve">等[2]通过细粒度属性分析比较人类与大语言模型的偏好，表明总体选择背后包含多种评价维度。Dubois</w:t>
      </w:r>
      <w:r>
        <w:t xml:space="preserve"> </w:t>
      </w:r>
      <w:r>
        <w:rPr>
          <w:rFonts w:hint="eastAsia"/>
        </w:rPr>
        <w:t xml:space="preserve">等[3]利用回归控制长度因素，改进自动评价指标对长度差异的处理。Zhang</w:t>
      </w:r>
      <w:r>
        <w:t xml:space="preserve"> </w:t>
      </w:r>
      <w:r>
        <w:rPr>
          <w:rFonts w:hint="eastAsia"/>
        </w:rPr>
        <w:t xml:space="preserve">等[4]进一步考察列表、粗体等格式模式，说明格式与偏好学习之间的关系值得独立研究。这些工作为偏好数据审计提供了依据，但人类评价与自动评价器输出是不同的研究对象，对自动评价器的校正效果不能直接转化为人类选择中的因果结论。</w:t>
      </w:r>
    </w:p>
    <w:p>
      <w:pPr>
        <w:pStyle w:val="BodyText"/>
        <w:spacing w:line="288" w:lineRule="auto" w:after="80"/>
        <w:ind w:firstLine="420"/>
      </w:pPr>
      <w:r>
        <w:rPr>
          <w:rFonts w:hint="eastAsia"/>
        </w:rPr>
        <w:t xml:space="preserve">在真实成对数据中，长度与格式分析还面临两个相互联系的问题。其一，格式计数随文本扩展而变化，仅比较胜者与败者的格式总量，难以判断关联来自格式本身还是文本规模。其二，不同模型的输出习惯、任务分布和被选择概率可能同时不同，忽略模型身份会使形式指标吸收模型间差异。因此，实际分析既要保持成对比较单位的一致性，也要在同一回归中联合纳入长度、格式和可观测背景信息。</w:t>
      </w:r>
    </w:p>
    <w:p>
      <w:pPr>
        <w:pStyle w:val="BodyText"/>
        <w:spacing w:line="288" w:lineRule="auto" w:after="80"/>
        <w:ind w:firstLine="420"/>
      </w:pPr>
      <w:r>
        <w:rPr>
          <w:rFonts w:hint="eastAsia"/>
        </w:rPr>
        <w:t xml:space="preserve">本文以</w:t>
      </w:r>
      <w:r>
        <w:t xml:space="preserve"> LMArena </w:t>
      </w:r>
      <w:r>
        <w:rPr>
          <w:rFonts w:hint="eastAsia"/>
        </w:rPr>
        <w:t xml:space="preserve">公开人类偏好数据为对象，研究三个问题：明确胜负配对的长度与格式差异如何分布；联合调整可观测变量后，哪些关联仍有统计支持；这些结果如何转化为可操作的审计分层。方法上，将长度对数比、格式密度差与模型身份对比项放入同一</w:t>
      </w:r>
      <w:r>
        <w:t xml:space="preserve"> Logistic </w:t>
      </w:r>
      <w:r>
        <w:rPr>
          <w:rFonts w:hint="eastAsia"/>
        </w:rPr>
        <w:t xml:space="preserve">模型，并结合配对检验和敏感性分析评估结果。同时保留</w:t>
      </w:r>
      <w:r>
        <w:t xml:space="preserve"> SEM </w:t>
      </w:r>
      <w:r>
        <w:rPr>
          <w:rFonts w:hint="eastAsia"/>
        </w:rPr>
        <w:t xml:space="preserve">框架下的观测变量探索性路径分析，描述长度、格式与选择的候选关联结构。应用上，使用真实样本构建长度分层报告，给出固定复核预算下的抽样方案。本文的贡献在于将配对建模与评价数据复核衔接起来，并明确不同格式指标的证据差异。研究目标限定为观察性关联及其审计用途，形式编辑的因果效果需由独立干预设计检验。</w:t>
      </w:r>
    </w:p>
    <w:bookmarkEnd w:id="9"/>
    <w:bookmarkStart w:id="14" w:name="数据与指标构造"/>
    <w:p>
      <w:pPr>
        <w:pStyle w:val="Heading1"/>
        <w:keepNext/>
        <w:spacing w:line="288" w:lineRule="auto" w:after="80"/>
      </w:pPr>
      <w:r>
        <w:rPr>
          <w:rStyle w:val="SectionNumber"/>
        </w:rPr>
        <w:t xml:space="preserve">2</w:t>
      </w:r>
      <w:r>
        <w:tab/>
      </w:r>
      <w:r>
        <w:rPr>
          <w:rFonts w:hint="eastAsia"/>
        </w:rPr>
        <w:t xml:space="preserve">数据与指标构造</w:t>
      </w:r>
    </w:p>
    <w:bookmarkStart w:id="10" w:name="数据来源与样本边界"/>
    <w:p>
      <w:pPr>
        <w:pStyle w:val="Heading2"/>
        <w:keepNext/>
        <w:spacing w:line="288" w:lineRule="auto" w:after="80"/>
      </w:pPr>
      <w:r>
        <w:rPr>
          <w:rStyle w:val="SectionNumber"/>
        </w:rPr>
        <w:t xml:space="preserve">2.1</w:t>
      </w:r>
      <w:r>
        <w:tab/>
      </w:r>
      <w:r>
        <w:rPr>
          <w:rFonts w:hint="eastAsia"/>
        </w:rPr>
        <w:t xml:space="preserve">数据来源与样本边界</w:t>
      </w:r>
    </w:p>
    <w:p>
      <w:pPr>
        <w:pStyle w:val="FirstParagraph"/>
        <w:spacing w:line="288" w:lineRule="auto" w:after="80"/>
        <w:ind w:firstLine="420"/>
      </w:pPr>
      <w:r>
        <w:rPr>
          <w:rFonts w:hint="eastAsia"/>
        </w:rPr>
        <w:t xml:space="preserve">研究使用</w:t>
      </w:r>
      <w:r>
        <w:t xml:space="preserve"> </w:t>
      </w:r>
      <w:r>
        <w:rPr>
          <w:rStyle w:val="VerbatimChar"/>
        </w:rPr>
        <w:t xml:space="preserve">lmarena-ai/arena-human-preference-140k</w:t>
      </w:r>
      <w:r>
        <w:t xml:space="preserve"> </w:t>
      </w:r>
      <w:r>
        <w:rPr>
          <w:rFonts w:hint="eastAsia"/>
        </w:rPr>
        <w:t xml:space="preserve">的本地冻结数据[5]，共</w:t>
      </w:r>
      <w:r>
        <w:t xml:space="preserve"> 7 </w:t>
      </w:r>
      <w:r>
        <w:rPr>
          <w:rFonts w:hint="eastAsia"/>
        </w:rPr>
        <w:t xml:space="preserve">个原始分片、135,634</w:t>
      </w:r>
      <w:r>
        <w:t xml:space="preserve"> </w:t>
      </w:r>
      <w:r>
        <w:rPr>
          <w:rFonts w:hint="eastAsia"/>
        </w:rPr>
        <w:t xml:space="preserve">条记录。数据同时包含会话标识、评价次序、双方对话、胜负标签及长度和格式元数据。本文按会话首轮评价建立比较单位，检查角色交替、两侧用户输入轨迹一致性、文本有效性、标签完整性及计数合法性。通过筛选后，对仍存在多条候选记录的会话整体排除，得到每个唯一会话一条记录的分析集。</w:t>
      </w:r>
    </w:p>
    <w:p>
      <w:pPr>
        <w:pStyle w:val="BodyText"/>
        <w:spacing w:line="288" w:lineRule="auto" w:after="80"/>
        <w:ind w:firstLine="420"/>
      </w:pPr>
      <w:r>
        <w:rPr>
          <w:rFonts w:hint="eastAsia"/>
        </w:rPr>
        <w:t xml:space="preserve">按首次失败原因互斥计数，排除非首轮评价</w:t>
      </w:r>
      <w:r>
        <w:t xml:space="preserve"> 27,319 </w:t>
      </w:r>
      <w:r>
        <w:rPr>
          <w:rFonts w:hint="eastAsia"/>
        </w:rPr>
        <w:t xml:space="preserve">条、语言异常</w:t>
      </w:r>
      <w:r>
        <w:t xml:space="preserve"> 30 </w:t>
      </w:r>
      <w:r>
        <w:rPr>
          <w:rFonts w:hint="eastAsia"/>
        </w:rPr>
        <w:t xml:space="preserve">条、空或无效文本内容</w:t>
      </w:r>
      <w:r>
        <w:t xml:space="preserve"> 109 </w:t>
      </w:r>
      <w:r>
        <w:rPr>
          <w:rFonts w:hint="eastAsia"/>
        </w:rPr>
        <w:t xml:space="preserve">条、会话记录歧义</w:t>
      </w:r>
      <w:r>
        <w:t xml:space="preserve"> 22 </w:t>
      </w:r>
      <w:r>
        <w:rPr>
          <w:rFonts w:hint="eastAsia"/>
        </w:rPr>
        <w:t xml:space="preserve">条，最终保留</w:t>
      </w:r>
      <w:r>
        <w:t xml:space="preserve"> 108,154 </w:t>
      </w:r>
      <w:r>
        <w:rPr>
          <w:rFonts w:hint="eastAsia"/>
        </w:rPr>
        <w:t xml:space="preserve">条。评价结果包括</w:t>
      </w:r>
      <w:r>
        <w:t xml:space="preserve"> A </w:t>
      </w:r>
      <w:r>
        <w:rPr>
          <w:rFonts w:hint="eastAsia"/>
        </w:rPr>
        <w:t xml:space="preserve">胜</w:t>
      </w:r>
      <w:r>
        <w:t xml:space="preserve"> 39,042 </w:t>
      </w:r>
      <w:r>
        <w:rPr>
          <w:rFonts w:hint="eastAsia"/>
        </w:rPr>
        <w:t xml:space="preserve">条、B</w:t>
      </w:r>
      <w:r>
        <w:t xml:space="preserve"> </w:t>
      </w:r>
      <w:r>
        <w:rPr>
          <w:rFonts w:hint="eastAsia"/>
        </w:rPr>
        <w:t xml:space="preserve">胜</w:t>
      </w:r>
      <w:r>
        <w:t xml:space="preserve"> 39,917 </w:t>
      </w:r>
      <w:r>
        <w:rPr>
          <w:rFonts w:hint="eastAsia"/>
        </w:rPr>
        <w:t xml:space="preserve">条、平局</w:t>
      </w:r>
      <w:r>
        <w:t xml:space="preserve"> 16,574 </w:t>
      </w:r>
      <w:r>
        <w:rPr>
          <w:rFonts w:hint="eastAsia"/>
        </w:rPr>
        <w:t xml:space="preserve">条、双方差</w:t>
      </w:r>
      <w:r>
        <w:t xml:space="preserve"> 12,621 </w:t>
      </w:r>
      <w:r>
        <w:rPr>
          <w:rFonts w:hint="eastAsia"/>
        </w:rPr>
        <w:t xml:space="preserve">条。后两类保留用于描述、明确选择状态建模和审计分层，不并入条件胜负模型；因此，回归样本为</w:t>
      </w:r>
      <w:r>
        <w:t xml:space="preserve"> 78,959 </w:t>
      </w:r>
      <w:r>
        <w:rPr>
          <w:rFonts w:hint="eastAsia"/>
        </w:rPr>
        <w:t xml:space="preserve">对明确胜负记录。其分析目标是该筛选总体中的相对选择，而不是所有平台交互中的偏好。</w:t>
      </w:r>
    </w:p>
    <w:p>
      <w:pPr>
        <w:pStyle w:val="BodyText"/>
        <w:spacing w:line="288" w:lineRule="auto" w:after="80"/>
        <w:ind w:firstLine="420"/>
      </w:pPr>
      <w:r>
        <w:rPr>
          <w:rFonts w:hint="eastAsia"/>
        </w:rPr>
        <w:t xml:space="preserve">首轮评价与单轮对话需要区分：首轮评价记录内部仍可能包含多轮用户与模型交互，长度和格式由该评价记录的汇总字段表示。限制为首轮有助于减少评价历史与当前测量混杂，但不保证全部计量误差被消除。不同会话仍可能来自同一用户或相同提示词，故会话唯一性不能直接作为观测相互独立的证据。</w:t>
      </w:r>
    </w:p>
    <w:bookmarkEnd w:id="10"/>
    <w:bookmarkStart w:id="12" w:name="结果变量与形式指标"/>
    <w:p>
      <w:pPr>
        <w:pStyle w:val="Heading2"/>
        <w:keepNext/>
        <w:spacing w:line="288" w:lineRule="auto" w:after="80"/>
      </w:pPr>
      <w:r>
        <w:rPr>
          <w:rStyle w:val="SectionNumber"/>
        </w:rPr>
        <w:t xml:space="preserve">2.2</w:t>
      </w:r>
      <w:r>
        <w:tab/>
      </w:r>
      <w:r>
        <w:rPr>
          <w:rFonts w:hint="eastAsia"/>
        </w:rPr>
        <w:t xml:space="preserve">结果变量与形式指标</w:t>
      </w:r>
    </w:p>
    <w:p>
      <w:pPr>
        <w:pStyle w:val="FirstParagraph"/>
        <w:spacing w:line="288" w:lineRule="auto" w:after="80"/>
        <w:ind w:firstLine="420"/>
      </w:pPr>
      <w:r>
        <w:rPr>
          <w:rFonts w:hint="eastAsia"/>
        </w:rPr>
        <w:t xml:space="preserve">对第</w:t>
      </w:r>
      <w:r>
        <w:t xml:space="preserve"> </w:t>
      </w:r>
      <m:oMath>
        <m:r>
          <m:t>i</m:t>
        </m:r>
      </m:oMath>
      <w:r>
        <w:t xml:space="preserve"> </w:t>
      </w:r>
      <w:r>
        <w:rPr>
          <w:rFonts w:hint="eastAsia"/>
        </w:rPr>
        <w:t xml:space="preserve">个明确胜负配对，令</w:t>
      </w:r>
      <w:r>
        <w:t xml:space="preserve"> </w:t>
      </w:r>
      <m:oMath>
        <m:sSub>
          <m:e>
            <m:r>
              <m:t>Y</m:t>
            </m:r>
          </m:e>
          <m:sub>
            <m:r>
              <m:t>i</m:t>
            </m:r>
          </m:sub>
        </m:sSub>
        <m:r>
          <m:rPr>
            <m:sty m:val="p"/>
          </m:rPr>
          <m:t>=</m:t>
        </m:r>
        <m:r>
          <m:t>1</m:t>
        </m:r>
      </m:oMath>
      <w:r>
        <w:t xml:space="preserve"> </w:t>
      </w:r>
      <w:r>
        <w:rPr>
          <w:rFonts w:hint="eastAsia"/>
        </w:rPr>
        <w:t xml:space="preserve">表示</w:t>
      </w:r>
      <w:r>
        <w:t xml:space="preserve"> A </w:t>
      </w:r>
      <w:r>
        <w:rPr>
          <w:rFonts w:hint="eastAsia"/>
        </w:rPr>
        <w:t xml:space="preserve">侧胜出，</w:t>
      </w:r>
      <m:oMath>
        <m:sSub>
          <m:e>
            <m:r>
              <m:t>Y</m:t>
            </m:r>
          </m:e>
          <m:sub>
            <m:r>
              <m:t>i</m:t>
            </m:r>
          </m:sub>
        </m:sSub>
        <m:r>
          <m:rPr>
            <m:sty m:val="p"/>
          </m:rPr>
          <m:t>=</m:t>
        </m:r>
        <m:r>
          <m:t>0</m:t>
        </m:r>
      </m:oMath>
      <w:r>
        <w:t xml:space="preserve"> </w:t>
      </w:r>
      <w:r>
        <w:rPr>
          <w:rFonts w:hint="eastAsia"/>
        </w:rPr>
        <w:t xml:space="preserve">表示</w:t>
      </w:r>
      <w:r>
        <w:t xml:space="preserve"> B </w:t>
      </w:r>
      <w:r>
        <w:rPr>
          <w:rFonts w:hint="eastAsia"/>
        </w:rPr>
        <w:t xml:space="preserve">侧胜出。记双方回答</w:t>
      </w:r>
      <w:r>
        <w:t xml:space="preserve"> token </w:t>
      </w:r>
      <w:r>
        <w:rPr>
          <w:rFonts w:hint="eastAsia"/>
        </w:rPr>
        <w:t xml:space="preserve">总量为</w:t>
      </w:r>
      <w:r>
        <w:t xml:space="preserve"> </w:t>
      </w:r>
      <m:oMath>
        <m:sSub>
          <m:e>
            <m:r>
              <m:t>L</m:t>
            </m:r>
          </m:e>
          <m:sub>
            <m:r>
              <m:t>A</m:t>
            </m:r>
            <m:r>
              <m:t>i</m:t>
            </m:r>
          </m:sub>
        </m:sSub>
      </m:oMath>
      <w:r>
        <w:t xml:space="preserve">、</w:t>
      </w:r>
      <m:oMath>
        <m:sSub>
          <m:e>
            <m:r>
              <m:t>L</m:t>
            </m:r>
          </m:e>
          <m:sub>
            <m:r>
              <m:t>B</m:t>
            </m:r>
            <m:r>
              <m:t>i</m:t>
            </m:r>
          </m:sub>
        </m:sSub>
      </m:oMath>
      <w:r>
        <w:rPr>
          <w:rFonts w:hint="eastAsia"/>
        </w:rPr>
        <w:t xml:space="preserve">，二者均为正数。长度指标定义为</w:t>
      </w:r>
    </w:p>
    <w:p>
      <w:pPr>
        <w:pStyle w:val="BodyText"/>
        <w:spacing w:line="288" w:lineRule="auto" w:after="80"/>
        <w:ind w:firstLine="420"/>
      </w:pPr>
      <m:oMathPara>
        <m:oMathParaPr>
          <m:jc m:val="center"/>
        </m:oMathParaPr>
        <m:oMath>
          <m:sSub>
            <m:e>
              <m:r>
                <m:t>x</m:t>
              </m:r>
            </m:e>
            <m:sub>
              <m:r>
                <m:t>L</m:t>
              </m:r>
              <m:r>
                <m:t>i</m:t>
              </m:r>
            </m:sub>
          </m:sSub>
          <m:r>
            <m:rPr>
              <m:sty m:val="p"/>
            </m:rPr>
            <m:t>=</m:t>
          </m:r>
          <m:r>
            <m:rPr>
              <m:sty m:val="p"/>
            </m:rPr>
            <m:t>log</m:t>
          </m:r>
          <m:f>
            <m:fPr>
              <m:type m:val="bar"/>
            </m:fPr>
            <m:num>
              <m:sSub>
                <m:e>
                  <m:r>
                    <m:t>L</m:t>
                  </m:r>
                </m:e>
                <m:sub>
                  <m:r>
                    <m:t>A</m:t>
                  </m:r>
                  <m:r>
                    <m:t>i</m:t>
                  </m:r>
                </m:sub>
              </m:sSub>
            </m:num>
            <m:den>
              <m:sSub>
                <m:e>
                  <m:r>
                    <m:t>L</m:t>
                  </m:r>
                </m:e>
                <m:sub>
                  <m:r>
                    <m:t>B</m:t>
                  </m:r>
                  <m:r>
                    <m:t>i</m:t>
                  </m:r>
                </m:sub>
              </m:sSub>
            </m:den>
          </m:f>
          <m:r>
            <m:rPr>
              <m:sty m:val="p"/>
            </m:rPr>
            <m:t>.</m:t>
          </m:r>
          <m:r>
            <m:t>  </m:t>
          </m:r>
          <m:r>
            <m:rPr>
              <m:nor/>
              <m:sty m:val="p"/>
            </m:rPr>
            <m:t>(2.1)</m:t>
          </m:r>
        </m:oMath>
      </m:oMathPara>
    </w:p>
    <w:p>
      <w:pPr>
        <w:pStyle w:val="FirstParagraph"/>
        <w:spacing w:line="288" w:lineRule="auto" w:after="80"/>
        <w:ind w:firstLine="420"/>
      </w:pPr>
      <w:r>
        <w:rPr>
          <w:rFonts w:hint="eastAsia"/>
        </w:rPr>
        <w:t xml:space="preserve">与绝对差相比，对数比描述相对长度差异，并在交换双方后改变符号。例如，200</w:t>
      </w:r>
      <w:r>
        <w:t xml:space="preserve"> </w:t>
      </w:r>
      <w:r>
        <w:rPr>
          <w:rFonts w:hint="eastAsia"/>
        </w:rPr>
        <w:t xml:space="preserve">对</w:t>
      </w:r>
      <w:r>
        <w:t xml:space="preserve"> 100 tokens </w:t>
      </w:r>
      <w:r>
        <w:rPr>
          <w:rFonts w:hint="eastAsia"/>
        </w:rPr>
        <w:t xml:space="preserve">与</w:t>
      </w:r>
      <w:r>
        <w:t xml:space="preserve"> 2,000 </w:t>
      </w:r>
      <w:r>
        <w:rPr>
          <w:rFonts w:hint="eastAsia"/>
        </w:rPr>
        <w:t xml:space="preserve">对</w:t>
      </w:r>
      <w:r>
        <w:t xml:space="preserve"> 1,000 tokens </w:t>
      </w:r>
      <w:r>
        <w:rPr>
          <w:rFonts w:hint="eastAsia"/>
        </w:rPr>
        <w:t xml:space="preserve">对应相同的长度比。该度量不把相同的绝对差视为相同的相对扩展，也不能替代任务所需信息量的测量。</w:t>
      </w:r>
    </w:p>
    <w:p>
      <w:pPr>
        <w:pStyle w:val="BodyText"/>
        <w:spacing w:line="288" w:lineRule="auto" w:after="80"/>
        <w:ind w:firstLine="420"/>
      </w:pPr>
      <w:r>
        <w:rPr>
          <w:rFonts w:hint="eastAsia"/>
        </w:rPr>
        <w:t xml:space="preserve">记格式类型</w:t>
      </w:r>
      <w:r>
        <w:t xml:space="preserve"> </w:t>
      </w:r>
      <m:oMath>
        <m:r>
          <m:t>f</m:t>
        </m:r>
        <m:r>
          <m:rPr>
            <m:sty m:val="p"/>
          </m:rPr>
          <m:t>∈</m:t>
        </m:r>
        <m:r>
          <m:rPr>
            <m:sty m:val="p"/>
          </m:rPr>
          <m:t>{</m:t>
        </m:r>
        <m:r>
          <m:t>H</m:t>
        </m:r>
        <m:r>
          <m:rPr>
            <m:sty m:val="p"/>
          </m:rPr>
          <m:t>,</m:t>
        </m:r>
        <m:r>
          <m:t>B</m:t>
        </m:r>
        <m:r>
          <m:rPr>
            <m:sty m:val="p"/>
          </m:rPr>
          <m:t>,</m:t>
        </m:r>
        <m:r>
          <m:t>S</m:t>
        </m:r>
        <m:r>
          <m:rPr>
            <m:sty m:val="p"/>
          </m:rPr>
          <m:t>}</m:t>
        </m:r>
      </m:oMath>
      <w:r>
        <w:t xml:space="preserve"> </w:t>
      </w:r>
      <w:r>
        <w:rPr>
          <w:rFonts w:hint="eastAsia"/>
        </w:rPr>
        <w:t xml:space="preserve">分别代表标题、粗体和列表，双方格式计数为</w:t>
      </w:r>
      <w:r>
        <w:t xml:space="preserve"> </w:t>
      </w:r>
      <m:oMath>
        <m:sSub>
          <m:e>
            <m:r>
              <m:t>C</m:t>
            </m:r>
          </m:e>
          <m:sub>
            <m:r>
              <m:t>f</m:t>
            </m:r>
            <m:r>
              <m:t>A</m:t>
            </m:r>
            <m:r>
              <m:t>i</m:t>
            </m:r>
          </m:sub>
        </m:sSub>
      </m:oMath>
      <w:r>
        <w:t xml:space="preserve">、</w:t>
      </w:r>
      <m:oMath>
        <m:sSub>
          <m:e>
            <m:r>
              <m:t>C</m:t>
            </m:r>
          </m:e>
          <m:sub>
            <m:r>
              <m:t>f</m:t>
            </m:r>
            <m:r>
              <m:t>B</m:t>
            </m:r>
            <m:r>
              <m:t>i</m:t>
            </m:r>
          </m:sub>
        </m:sSub>
      </m:oMath>
      <w:r>
        <w:rPr>
          <w:rFonts w:hint="eastAsia"/>
        </w:rPr>
        <w:t xml:space="preserve">。定义每千</w:t>
      </w:r>
      <w:r>
        <w:t xml:space="preserve"> token </w:t>
      </w:r>
      <w:r>
        <w:rPr>
          <w:rFonts w:hint="eastAsia"/>
        </w:rPr>
        <w:t xml:space="preserve">密度差</w:t>
      </w:r>
    </w:p>
    <w:p>
      <w:pPr>
        <w:pStyle w:val="BodyText"/>
        <w:spacing w:line="288" w:lineRule="auto" w:after="80"/>
        <w:ind w:firstLine="420"/>
      </w:pPr>
      <m:oMathPara>
        <m:oMathParaPr>
          <m:jc m:val="center"/>
        </m:oMathParaPr>
        <m:oMath>
          <m:sSub>
            <m:e>
              <m:r>
                <m:t>x</m:t>
              </m:r>
            </m:e>
            <m:sub>
              <m:r>
                <m:t>f</m:t>
              </m:r>
              <m:r>
                <m:t>i</m:t>
              </m:r>
            </m:sub>
          </m:sSub>
          <m:r>
            <m:rPr>
              <m:sty m:val="p"/>
            </m:rPr>
            <m:t>=</m:t>
          </m:r>
          <m:r>
            <m:t>1000</m:t>
          </m:r>
          <m:d>
            <m:dPr>
              <m:begChr m:val="("/>
              <m:sepChr m:val=""/>
              <m:endChr m:val=")"/>
              <m:grow/>
            </m:dPr>
            <m:e>
              <m:f>
                <m:fPr>
                  <m:type m:val="bar"/>
                </m:fPr>
                <m:num>
                  <m:sSub>
                    <m:e>
                      <m:r>
                        <m:t>C</m:t>
                      </m:r>
                    </m:e>
                    <m:sub>
                      <m:r>
                        <m:t>f</m:t>
                      </m:r>
                      <m:r>
                        <m:t>A</m:t>
                      </m:r>
                      <m:r>
                        <m:t>i</m:t>
                      </m:r>
                    </m:sub>
                  </m:sSub>
                </m:num>
                <m:den>
                  <m:sSub>
                    <m:e>
                      <m:r>
                        <m:t>L</m:t>
                      </m:r>
                    </m:e>
                    <m:sub>
                      <m:r>
                        <m:t>A</m:t>
                      </m:r>
                      <m:r>
                        <m:t>i</m:t>
                      </m:r>
                    </m:sub>
                  </m:sSub>
                </m:den>
              </m:f>
              <m:r>
                <m:rPr>
                  <m:sty m:val="p"/>
                </m:rPr>
                <m:t>−</m:t>
              </m:r>
              <m:f>
                <m:fPr>
                  <m:type m:val="bar"/>
                </m:fPr>
                <m:num>
                  <m:sSub>
                    <m:e>
                      <m:r>
                        <m:t>C</m:t>
                      </m:r>
                    </m:e>
                    <m:sub>
                      <m:r>
                        <m:t>f</m:t>
                      </m:r>
                      <m:r>
                        <m:t>B</m:t>
                      </m:r>
                      <m:r>
                        <m:t>i</m:t>
                      </m:r>
                    </m:sub>
                  </m:sSub>
                </m:num>
                <m:den>
                  <m:sSub>
                    <m:e>
                      <m:r>
                        <m:t>L</m:t>
                      </m:r>
                    </m:e>
                    <m:sub>
                      <m:r>
                        <m:t>B</m:t>
                      </m:r>
                      <m:r>
                        <m:t>i</m:t>
                      </m:r>
                    </m:sub>
                  </m:sSub>
                </m:den>
              </m:f>
            </m:e>
          </m:d>
          <m:r>
            <m:rPr>
              <m:sty m:val="p"/>
            </m:rPr>
            <m:t>.</m:t>
          </m:r>
          <m:r>
            <m:t>  </m:t>
          </m:r>
          <m:r>
            <m:rPr>
              <m:nor/>
              <m:sty m:val="p"/>
            </m:rPr>
            <m:t>(2.2)</m:t>
          </m:r>
        </m:oMath>
      </m:oMathPara>
    </w:p>
    <w:p>
      <w:pPr>
        <w:pStyle w:val="FirstParagraph"/>
        <w:spacing w:line="288" w:lineRule="auto" w:after="80"/>
        <w:ind w:firstLine="420"/>
      </w:pPr>
      <w:r>
        <w:rPr>
          <w:rFonts w:hint="eastAsia"/>
        </w:rPr>
        <w:t xml:space="preserve">格式计数沿用上游元数据：标题为</w:t>
      </w:r>
      <w:r>
        <w:t xml:space="preserve"> h1–h6 </w:t>
      </w:r>
      <w:r>
        <w:rPr>
          <w:rFonts w:hint="eastAsia"/>
        </w:rPr>
        <w:t xml:space="preserve">计数之和，列表为有序与无序列表计数之和，粗体为两种标记计数之和。主分析使用上游计数；补充分析使用Mistune</w:t>
      </w:r>
      <w:r>
        <w:t xml:space="preserve"> </w:t>
      </w:r>
      <w:r>
        <w:rPr>
          <w:rFonts w:hint="eastAsia"/>
        </w:rPr>
        <w:t xml:space="preserve">AST重新解析全部助手消息，按标题块、列表条目和strong片段分别计数，排除代码和原始HTML节点，并逐消息累加。重解析只构成替代测量，不是人工金标准；两种口径均不等于结构质量或视觉效果。密度可以减少文本规模对格式总量的直接影响，但仍共享长度分母，不能据此认为长度与格式已完全分离。</w:t>
      </w:r>
    </w:p>
    <w:p>
      <w:pPr>
        <w:pStyle w:val="BodyText"/>
        <w:spacing w:line="288" w:lineRule="auto" w:after="80"/>
        <w:ind w:firstLine="420"/>
      </w:pPr>
      <w:r>
        <w:rPr>
          <w:rFonts w:hint="eastAsia"/>
        </w:rPr>
        <w:t xml:space="preserve">描述检验使用胜者减败者的差值；回归始终保持原始</w:t>
      </w:r>
      <w:r>
        <w:t xml:space="preserve"> A/B </w:t>
      </w:r>
      <w:r>
        <w:rPr>
          <w:rFonts w:hint="eastAsia"/>
        </w:rPr>
        <w:t xml:space="preserve">方向，不按照胜负重新排列解释变量。主模型将四个形式指标统一按全量明确胜负样本标准化，即</w:t>
      </w:r>
      <w:r>
        <w:t xml:space="preserve"> </w:t>
      </w:r>
      <m:oMath>
        <m:sSub>
          <m:e>
            <m:r>
              <m:t>z</m:t>
            </m:r>
          </m:e>
          <m:sub>
            <m:r>
              <m:t>k</m:t>
            </m:r>
            <m:r>
              <m:t>i</m:t>
            </m:r>
          </m:sub>
        </m:sSub>
        <m:r>
          <m:rPr>
            <m:sty m:val="p"/>
          </m:rPr>
          <m:t>=</m:t>
        </m:r>
        <m:r>
          <m:rPr>
            <m:sty m:val="p"/>
          </m:rPr>
          <m:t>(</m:t>
        </m:r>
        <m:sSub>
          <m:e>
            <m:r>
              <m:t>x</m:t>
            </m:r>
          </m:e>
          <m:sub>
            <m:r>
              <m:t>k</m:t>
            </m:r>
            <m:r>
              <m:t>i</m:t>
            </m:r>
          </m:sub>
        </m:sSub>
        <m:r>
          <m:rPr>
            <m:sty m:val="p"/>
          </m:rPr>
          <m:t>−</m:t>
        </m:r>
        <m:sSub>
          <m:e>
            <m:acc>
              <m:accPr>
                <m:chr m:val="‾"/>
              </m:accPr>
              <m:e>
                <m:r>
                  <m:t>x</m:t>
                </m:r>
              </m:e>
            </m:acc>
          </m:e>
          <m:sub>
            <m:r>
              <m:t>k</m:t>
            </m:r>
          </m:sub>
        </m:sSub>
        <m:r>
          <m:rPr>
            <m:sty m:val="p"/>
          </m:rPr>
          <m:t>)</m:t>
        </m:r>
        <m:r>
          <m:rPr>
            <m:sty m:val="p"/>
          </m:rPr>
          <m:t>/</m:t>
        </m:r>
        <m:sSub>
          <m:e>
            <m:r>
              <m:t>s</m:t>
            </m:r>
          </m:e>
          <m:sub>
            <m:r>
              <m:t>k</m:t>
            </m:r>
          </m:sub>
        </m:sSub>
      </m:oMath>
      <w:r>
        <w:rPr>
          <w:rFonts w:hint="eastAsia"/>
        </w:rPr>
        <w:t xml:space="preserve">，其中</w:t>
      </w:r>
      <w:r>
        <w:t xml:space="preserve"> </w:t>
      </w:r>
      <m:oMath>
        <m:sSub>
          <m:e>
            <m:r>
              <m:t>s</m:t>
            </m:r>
          </m:e>
          <m:sub>
            <m:r>
              <m:t>k</m:t>
            </m:r>
          </m:sub>
        </m:sSub>
      </m:oMath>
      <w:r>
        <w:t xml:space="preserve"> </w:t>
      </w:r>
      <w:r>
        <w:rPr>
          <w:rFonts w:hint="eastAsia"/>
        </w:rPr>
        <w:t xml:space="preserve">采用分母为78,959的标准差；英语、单轮和密度敏感性模型均沿用该尺度。</w:t>
      </w:r>
    </w:p>
    <w:bookmarkStart w:id="11" w:name="tab:vars"/>
    <w:p>
      <w:pPr>
        <w:pStyle w:val="TableCaption"/>
        <w:spacing w:line="288" w:lineRule="auto" w:after="80"/>
      </w:pPr>
      <w:r>
        <w:rPr>
          <w:rFonts w:hint="eastAsia"/>
        </w:rPr>
        <w:t xml:space="preserve">表1</w:t>
      </w:r>
      <w:r>
        <w:t xml:space="preserve"> </w:t>
      </w:r>
      <w:r>
        <w:rPr>
          <w:rFonts w:hint="eastAsia"/>
        </w:rPr>
        <w:t xml:space="preserve">主要变量及统计含义</w:t>
      </w:r>
    </w:p>
    <w:tbl>
      <w:tblPr>
        <w:tblStyle w:val="Table"/>
        <w:tblW w:type="auto" w:w="0"/>
        <w:tblLayout w:type="fixed"/>
        <w:tblLook w:firstRow="1" w:lastRow="0" w:firstColumn="0" w:lastColumn="0" w:noHBand="0" w:noVBand="0" w:val="0020"/>
        <w:tblCaption w:val="表1 主要变量及统计含义"/>
      </w:tblPr>
      <w:tblGrid>
        <w:gridCol w:w="2640"/>
        <w:gridCol w:w="2640"/>
        <w:gridCol w:w="2640"/>
      </w:tblGrid>
      <w:tr>
        <w:trPr>
          <w:tblHeader w:val="on"/>
          <w:tblHeader/>
          <w:cantSplit/>
        </w:trPr>
        <w:tc>
          <w:tcPr>
            <w:tcW w:type="dxa" w:w="1587"/>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pStyle w:val="Compact"/>
              <w:spacing w:after="40" w:line="264" w:lineRule="auto"/>
              <w:ind w:firstLine="0"/>
              <w:jc w:val="left"/>
            </w:pPr>
            <w:r>
              <w:rPr>
                <w:rFonts w:hint="eastAsia"/>
                <w:sz w:val="18"/>
              </w:rPr>
              <w:t xml:space="preserve">变量</w:t>
            </w:r>
          </w:p>
        </w:tc>
        <w:tc>
          <w:tcPr>
            <w:tcW w:type="dxa" w:w="3855"/>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pStyle w:val="Compact"/>
              <w:spacing w:after="40" w:line="264" w:lineRule="auto"/>
              <w:ind w:firstLine="0"/>
              <w:jc w:val="left"/>
            </w:pPr>
            <w:r>
              <w:rPr>
                <w:rFonts w:hint="eastAsia"/>
                <w:sz w:val="18"/>
              </w:rPr>
              <w:t xml:space="preserve">定义与来源</w:t>
            </w:r>
          </w:p>
        </w:tc>
        <w:tc>
          <w:tcPr>
            <w:tcW w:type="dxa" w:w="3855"/>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pStyle w:val="Compact"/>
              <w:spacing w:after="40" w:line="264" w:lineRule="auto"/>
              <w:ind w:firstLine="0"/>
              <w:jc w:val="left"/>
            </w:pPr>
            <w:r>
              <w:rPr>
                <w:rFonts w:hint="eastAsia"/>
                <w:sz w:val="18"/>
              </w:rPr>
              <w:t xml:space="preserve">解释边界</w:t>
            </w:r>
          </w:p>
        </w:tc>
      </w:tr>
      <w:tr>
        <w:trPr>
          <w:cantSplit/>
        </w:trPr>
        <w:tc>
          <w:tcPr>
            <w:tcW w:type="dxa" w:w="158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胜负</w:t>
            </w:r>
            <w:r>
              <w:rPr>
                <w:sz w:val="18"/>
              </w:rPr>
              <w:t xml:space="preserve"> </w:t>
            </w:r>
            <m:oMath>
              <m:sSub>
                <m:e>
                  <m:r>
                    <m:t>Y</m:t>
                  </m:r>
                </m:e>
                <m:sub>
                  <m:r>
                    <m:t>i</m:t>
                  </m:r>
                </m:sub>
              </m:sSub>
            </m:oMath>
          </w:p>
        </w:tc>
        <w:tc>
          <w:tcPr>
            <w:tcW w:type="dxa" w:w="3855"/>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sz w:val="18"/>
              </w:rPr>
              <w:t xml:space="preserve">A </w:t>
            </w:r>
            <w:r>
              <w:rPr>
                <w:rFonts w:hint="eastAsia"/>
                <w:sz w:val="18"/>
              </w:rPr>
              <w:t xml:space="preserve">胜为</w:t>
            </w:r>
            <w:r>
              <w:rPr>
                <w:sz w:val="18"/>
              </w:rPr>
              <w:t xml:space="preserve"> </w:t>
            </w:r>
            <w:r>
              <w:rPr>
                <w:rFonts w:hint="eastAsia"/>
                <w:sz w:val="18"/>
              </w:rPr>
              <w:t xml:space="preserve">1，B</w:t>
            </w:r>
            <w:r>
              <w:rPr>
                <w:sz w:val="18"/>
              </w:rPr>
              <w:t xml:space="preserve"> </w:t>
            </w:r>
            <w:r>
              <w:rPr>
                <w:rFonts w:hint="eastAsia"/>
                <w:sz w:val="18"/>
              </w:rPr>
              <w:t xml:space="preserve">胜为</w:t>
            </w:r>
            <w:r>
              <w:rPr>
                <w:sz w:val="18"/>
              </w:rPr>
              <w:t xml:space="preserve"> 0</w:t>
            </w:r>
          </w:p>
        </w:tc>
        <w:tc>
          <w:tcPr>
            <w:tcW w:type="dxa" w:w="3855"/>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排除平局与双方差后的条件总体</w:t>
            </w:r>
          </w:p>
        </w:tc>
      </w:tr>
      <w:tr>
        <w:trPr>
          <w:cantSplit/>
        </w:trPr>
        <w:tc>
          <w:tcPr>
            <w:tcW w:type="dxa" w:w="158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长度</w:t>
            </w:r>
            <w:r>
              <w:rPr>
                <w:sz w:val="18"/>
              </w:rPr>
              <w:t xml:space="preserve"> </w:t>
            </w:r>
            <m:oMath>
              <m:sSub>
                <m:e>
                  <m:r>
                    <m:t>x</m:t>
                  </m:r>
                </m:e>
                <m:sub>
                  <m:r>
                    <m:t>L</m:t>
                  </m:r>
                  <m:r>
                    <m:t>i</m:t>
                  </m:r>
                </m:sub>
              </m:sSub>
            </m:oMath>
          </w:p>
        </w:tc>
        <w:tc>
          <w:tcPr>
            <w:tcW w:type="dxa" w:w="3855"/>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双方</w:t>
            </w:r>
            <w:r>
              <w:rPr>
                <w:sz w:val="18"/>
              </w:rPr>
              <w:t xml:space="preserve"> token </w:t>
            </w:r>
            <w:r>
              <w:rPr>
                <w:rFonts w:hint="eastAsia"/>
                <w:sz w:val="18"/>
              </w:rPr>
              <w:t xml:space="preserve">总量的对数比</w:t>
            </w:r>
          </w:p>
        </w:tc>
        <w:tc>
          <w:tcPr>
            <w:tcW w:type="dxa" w:w="3855"/>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相对文本规模，不代表信息增益</w:t>
            </w:r>
          </w:p>
        </w:tc>
      </w:tr>
      <w:tr>
        <w:trPr>
          <w:cantSplit/>
        </w:trPr>
        <w:tc>
          <w:tcPr>
            <w:tcW w:type="dxa" w:w="158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格式</w:t>
            </w:r>
            <w:r>
              <w:rPr>
                <w:sz w:val="18"/>
              </w:rPr>
              <w:t xml:space="preserve"> </w:t>
            </w:r>
            <m:oMath>
              <m:sSub>
                <m:e>
                  <m:r>
                    <m:t>x</m:t>
                  </m:r>
                </m:e>
                <m:sub>
                  <m:r>
                    <m:t>f</m:t>
                  </m:r>
                  <m:r>
                    <m:t>i</m:t>
                  </m:r>
                </m:sub>
              </m:sSub>
            </m:oMath>
          </w:p>
        </w:tc>
        <w:tc>
          <w:tcPr>
            <w:tcW w:type="dxa" w:w="3855"/>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标题、粗体、列表每千</w:t>
            </w:r>
            <w:r>
              <w:rPr>
                <w:sz w:val="18"/>
              </w:rPr>
              <w:t xml:space="preserve"> token </w:t>
            </w:r>
            <w:r>
              <w:rPr>
                <w:rFonts w:hint="eastAsia"/>
                <w:sz w:val="18"/>
              </w:rPr>
              <w:t xml:space="preserve">密度差</w:t>
            </w:r>
          </w:p>
        </w:tc>
        <w:tc>
          <w:tcPr>
            <w:tcW w:type="dxa" w:w="3855"/>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依赖上游计数，共享长度分母</w:t>
            </w:r>
          </w:p>
        </w:tc>
      </w:tr>
      <w:tr>
        <w:trPr>
          <w:cantSplit/>
        </w:trPr>
        <w:tc>
          <w:tcPr>
            <w:tcW w:type="dxa" w:w="158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任务及提示词</w:t>
            </w:r>
          </w:p>
        </w:tc>
        <w:tc>
          <w:tcPr>
            <w:tcW w:type="dxa" w:w="3855"/>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任务标签、七类提示词属性、输入长度、轮数及语言</w:t>
            </w:r>
          </w:p>
        </w:tc>
        <w:tc>
          <w:tcPr>
            <w:tcW w:type="dxa" w:w="3855"/>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不是逐条回答内容质量评分</w:t>
            </w:r>
          </w:p>
        </w:tc>
      </w:tr>
      <w:tr>
        <w:trPr>
          <w:cantSplit/>
        </w:trPr>
        <w:tc>
          <w:tcPr>
            <w:tcW w:type="dxa" w:w="158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模型身份</w:t>
            </w:r>
          </w:p>
        </w:tc>
        <w:tc>
          <w:tcPr>
            <w:tcW w:type="dxa" w:w="3855"/>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sz w:val="18"/>
              </w:rPr>
              <w:t xml:space="preserve">A、B </w:t>
            </w:r>
            <w:r>
              <w:rPr>
                <w:rFonts w:hint="eastAsia"/>
                <w:sz w:val="18"/>
              </w:rPr>
              <w:t xml:space="preserve">两侧模型指示变量之差</w:t>
            </w:r>
          </w:p>
        </w:tc>
        <w:tc>
          <w:tcPr>
            <w:tcW w:type="dxa" w:w="3855"/>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控制模型间平均差异，不等于题目级质量控制</w:t>
            </w:r>
          </w:p>
        </w:tc>
      </w:tr>
    </w:tbl>
    <w:bookmarkEnd w:id="11"/>
    <w:bookmarkEnd w:id="12"/>
    <w:bookmarkStart w:id="13" w:name="控制变量与敏感性子集"/>
    <w:p>
      <w:pPr>
        <w:pStyle w:val="Heading2"/>
        <w:keepNext/>
        <w:spacing w:line="288" w:lineRule="auto" w:after="80"/>
      </w:pPr>
      <w:r>
        <w:rPr>
          <w:rStyle w:val="SectionNumber"/>
        </w:rPr>
        <w:t xml:space="preserve">2.3</w:t>
      </w:r>
      <w:r>
        <w:tab/>
      </w:r>
      <w:r>
        <w:rPr>
          <w:rFonts w:hint="eastAsia"/>
        </w:rPr>
        <w:t xml:space="preserve">控制变量与敏感性子集</w:t>
      </w:r>
    </w:p>
    <w:p>
      <w:pPr>
        <w:pStyle w:val="FirstParagraph"/>
        <w:spacing w:line="288" w:lineRule="auto" w:after="80"/>
        <w:ind w:firstLine="420"/>
      </w:pPr>
      <w:r>
        <w:rPr>
          <w:rFonts w:hint="eastAsia"/>
        </w:rPr>
        <w:t xml:space="preserve">任务信息包括创意写作、指令遵循、数学和代码标签。七类提示词属性对应复杂性、创造性、领域知识、问题求解、现实情境、具体性和技术准确性需求，其取值来自任务标注，不能解释为回答已达到相应质量标准。另纳入用户输入</w:t>
      </w:r>
      <w:r>
        <w:t xml:space="preserve"> token </w:t>
      </w:r>
      <w:r>
        <w:rPr>
          <w:rFonts w:hint="eastAsia"/>
        </w:rPr>
        <w:t xml:space="preserve">数的</w:t>
      </w:r>
      <w:r>
        <w:t xml:space="preserve"> </w:t>
      </w:r>
      <m:oMath>
        <m:r>
          <m:rPr>
            <m:sty m:val="p"/>
          </m:rPr>
          <m:t>log</m:t>
        </m:r>
        <m:r>
          <m:rPr>
            <m:sty m:val="p"/>
          </m:rPr>
          <m:t>(</m:t>
        </m:r>
        <m:r>
          <m:t>1</m:t>
        </m:r>
        <m:r>
          <m:rPr>
            <m:sty m:val="p"/>
          </m:rPr>
          <m:t>+</m:t>
        </m:r>
        <m:sSub>
          <m:e>
            <m:r>
              <m:t>L</m:t>
            </m:r>
          </m:e>
          <m:sub>
            <m:r>
              <m:t>U</m:t>
            </m:r>
          </m:sub>
        </m:sSub>
        <m:r>
          <m:rPr>
            <m:sty m:val="p"/>
          </m:rPr>
          <m:t>)</m:t>
        </m:r>
      </m:oMath>
      <w:r>
        <w:rPr>
          <w:rFonts w:hint="eastAsia"/>
        </w:rPr>
        <w:t xml:space="preserve">、对话轮数和语言虚拟变量；各分析子集中频数低于</w:t>
      </w:r>
      <w:r>
        <w:t xml:space="preserve"> 100 </w:t>
      </w:r>
      <w:r>
        <w:rPr>
          <w:rFonts w:hint="eastAsia"/>
        </w:rPr>
        <w:t xml:space="preserve">的语言合并为低频类别。</w:t>
      </w:r>
    </w:p>
    <w:p>
      <w:pPr>
        <w:pStyle w:val="BodyText"/>
        <w:spacing w:line="288" w:lineRule="auto" w:after="80"/>
        <w:ind w:firstLine="420"/>
      </w:pPr>
      <w:r>
        <w:rPr>
          <w:rFonts w:hint="eastAsia"/>
        </w:rPr>
        <w:t xml:space="preserve">模型身份采用双方模型指示变量的差表示，不使用由本批胜负标签估计的模型胜率作为解释变量。为检查语言混合及对话轮次口径的影响，另对英语样本</w:t>
      </w:r>
      <w:r>
        <w:t xml:space="preserve"> 42,001 </w:t>
      </w:r>
      <w:r>
        <w:rPr>
          <w:rFonts w:hint="eastAsia"/>
        </w:rPr>
        <w:t xml:space="preserve">对和单轮对话样本</w:t>
      </w:r>
      <w:r>
        <w:t xml:space="preserve"> 67,608 </w:t>
      </w:r>
      <w:r>
        <w:rPr>
          <w:rFonts w:hint="eastAsia"/>
        </w:rPr>
        <w:t xml:space="preserve">对拟合相同类型模型。二者与全量样本重叠，属于敏感性检查；本次统一标准化单位，但重叠子集的点估计差异仍不构成独立复制或正式异质性检验。</w:t>
      </w:r>
    </w:p>
    <w:p>
      <w:pPr>
        <w:pStyle w:val="BodyText"/>
        <w:spacing w:line="288" w:lineRule="auto" w:after="80"/>
        <w:ind w:firstLine="420"/>
      </w:pPr>
      <w:r>
        <w:rPr>
          <w:rFonts w:hint="eastAsia"/>
        </w:rPr>
        <w:t xml:space="preserve">按唯一记录id从原始分片连接时间及用户文本，全部108,154条记录匹配且时间无缺失，覆盖2025年4月17日至7月24日的4个自然月。原始schema没有稳定用户标识，不能把唯一会话视为唯一用户。</w:t>
      </w:r>
    </w:p>
    <w:bookmarkEnd w:id="13"/>
    <w:bookmarkEnd w:id="14"/>
    <w:bookmarkStart w:id="21" w:name="成对比较模型与推断方法"/>
    <w:p>
      <w:pPr>
        <w:pStyle w:val="Heading1"/>
        <w:keepNext/>
        <w:spacing w:line="288" w:lineRule="auto" w:after="80"/>
      </w:pPr>
      <w:r>
        <w:rPr>
          <w:rStyle w:val="SectionNumber"/>
        </w:rPr>
        <w:t xml:space="preserve">3</w:t>
      </w:r>
      <w:r>
        <w:tab/>
      </w:r>
      <w:r>
        <w:rPr>
          <w:rFonts w:hint="eastAsia"/>
        </w:rPr>
        <w:t xml:space="preserve">成对比较模型与推断方法</w:t>
      </w:r>
    </w:p>
    <w:bookmarkStart w:id="15" w:name="描述性配对比较"/>
    <w:p>
      <w:pPr>
        <w:pStyle w:val="Heading2"/>
        <w:keepNext/>
        <w:spacing w:line="288" w:lineRule="auto" w:after="80"/>
      </w:pPr>
      <w:r>
        <w:rPr>
          <w:rStyle w:val="SectionNumber"/>
        </w:rPr>
        <w:t xml:space="preserve">3.1</w:t>
      </w:r>
      <w:r>
        <w:tab/>
      </w:r>
      <w:r>
        <w:rPr>
          <w:rFonts w:hint="eastAsia"/>
        </w:rPr>
        <w:t xml:space="preserve">描述性配对比较</w:t>
      </w:r>
    </w:p>
    <w:p>
      <w:pPr>
        <w:pStyle w:val="FirstParagraph"/>
        <w:spacing w:line="288" w:lineRule="auto" w:after="80"/>
        <w:ind w:firstLine="420"/>
      </w:pPr>
      <w:r>
        <w:rPr>
          <w:rFonts w:hint="eastAsia"/>
        </w:rPr>
        <w:t xml:space="preserve">以胜者减败者的差值描述方向，报告非零差配对中正差比例、零差数及秩二列相关。符号检验及格式存在性的精确McNemar检验沿用冻结分析；全量、英语、单轮及任务组合的比较采用同一Holm家族校正[6]。这些描述检验以配对独立为工作假设，仅作背景，不替代下文的聚类回归推断。补充Wilcoxon结果不作无条件的中位数检验解释。</w:t>
      </w:r>
    </w:p>
    <w:bookmarkEnd w:id="15"/>
    <w:bookmarkStart w:id="16" w:name="含模型身份对比项的logistic模型"/>
    <w:p>
      <w:pPr>
        <w:pStyle w:val="Heading2"/>
        <w:keepNext/>
        <w:spacing w:line="288" w:lineRule="auto" w:after="80"/>
      </w:pPr>
      <w:r>
        <w:rPr>
          <w:rStyle w:val="SectionNumber"/>
        </w:rPr>
        <w:t xml:space="preserve">3.2</w:t>
      </w:r>
      <w:r>
        <w:tab/>
      </w:r>
      <w:r>
        <w:rPr>
          <w:rFonts w:hint="eastAsia"/>
        </w:rPr>
        <w:t xml:space="preserve">含模型身份对比项的Logistic模型</w:t>
      </w:r>
    </w:p>
    <w:p>
      <w:pPr>
        <w:pStyle w:val="FirstParagraph"/>
        <w:spacing w:line="288" w:lineRule="auto" w:after="80"/>
        <w:ind w:firstLine="420"/>
      </w:pPr>
      <w:r>
        <w:rPr>
          <w:rFonts w:hint="eastAsia"/>
        </w:rPr>
        <w:t xml:space="preserve">对明确胜负样本，令</w:t>
      </w:r>
      <m:oMath>
        <m:sSub>
          <m:e>
            <m:r>
              <m:t>p</m:t>
            </m:r>
          </m:e>
          <m:sub>
            <m:r>
              <m:t>i</m:t>
            </m:r>
          </m:sub>
        </m:sSub>
        <m:r>
          <m:rPr>
            <m:sty m:val="p"/>
          </m:rPr>
          <m:t>=</m:t>
        </m:r>
        <m:r>
          <m:rPr>
            <m:sty m:val="p"/>
          </m:rPr>
          <m:t>Pr</m:t>
        </m:r>
        <m:r>
          <m:rPr>
            <m:sty m:val="p"/>
          </m:rPr>
          <m:t>(</m:t>
        </m:r>
        <m:sSub>
          <m:e>
            <m:r>
              <m:t>Y</m:t>
            </m:r>
          </m:e>
          <m:sub>
            <m:r>
              <m:t>i</m:t>
            </m:r>
          </m:sub>
        </m:sSub>
        <m:r>
          <m:rPr>
            <m:sty m:val="p"/>
          </m:rPr>
          <m:t>=</m:t>
        </m:r>
        <m:r>
          <m:t>1</m:t>
        </m:r>
        <m:r>
          <m:rPr>
            <m:sty m:val="p"/>
          </m:rPr>
          <m:t>∣</m:t>
        </m:r>
        <m:sSub>
          <m:e>
            <m:r>
              <m:rPr>
                <m:sty m:val="b"/>
              </m:rPr>
              <m:t>z</m:t>
            </m:r>
          </m:e>
          <m:sub>
            <m:r>
              <m:t>i</m:t>
            </m:r>
          </m:sub>
        </m:sSub>
        <m:r>
          <m:rPr>
            <m:sty m:val="p"/>
          </m:rPr>
          <m:t>,</m:t>
        </m:r>
        <m:sSub>
          <m:e>
            <m:r>
              <m:rPr>
                <m:sty m:val="b"/>
              </m:rPr>
              <m:t>X</m:t>
            </m:r>
          </m:e>
          <m:sub>
            <m:r>
              <m:t>i</m:t>
            </m:r>
          </m:sub>
        </m:sSub>
        <m:r>
          <m:rPr>
            <m:sty m:val="p"/>
          </m:rPr>
          <m:t>,</m:t>
        </m:r>
        <m:sSub>
          <m:e>
            <m:r>
              <m:t>m</m:t>
            </m:r>
          </m:e>
          <m:sub>
            <m:r>
              <m:t>A</m:t>
            </m:r>
            <m:r>
              <m:t>i</m:t>
            </m:r>
          </m:sub>
        </m:sSub>
        <m:r>
          <m:rPr>
            <m:sty m:val="p"/>
          </m:rPr>
          <m:t>,</m:t>
        </m:r>
        <m:sSub>
          <m:e>
            <m:r>
              <m:t>m</m:t>
            </m:r>
          </m:e>
          <m:sub>
            <m:r>
              <m:t>B</m:t>
            </m:r>
            <m:r>
              <m:t>i</m:t>
            </m:r>
          </m:sub>
        </m:sSub>
        <m:r>
          <m:rPr>
            <m:sty m:val="p"/>
          </m:rPr>
          <m:t>)</m:t>
        </m:r>
      </m:oMath>
      <w:r>
        <w:rPr>
          <w:rFonts w:hint="eastAsia"/>
        </w:rPr>
        <w:t xml:space="preserve">，拟合</w:t>
      </w:r>
    </w:p>
    <w:p>
      <w:pPr>
        <w:pStyle w:val="BodyText"/>
        <w:spacing w:line="288" w:lineRule="auto" w:after="80"/>
        <w:ind w:firstLine="420"/>
      </w:pPr>
      <m:oMathPara>
        <m:oMathParaPr>
          <m:jc m:val="center"/>
        </m:oMathParaPr>
        <m:oMath>
          <m:r>
            <m:rPr>
              <m:sty m:val="p"/>
            </m:rPr>
            <m:t>log</m:t>
          </m:r>
          <m:f>
            <m:fPr>
              <m:type m:val="bar"/>
            </m:fPr>
            <m:num>
              <m:sSub>
                <m:e>
                  <m:r>
                    <m:t>p</m:t>
                  </m:r>
                </m:e>
                <m:sub>
                  <m:r>
                    <m:t>i</m:t>
                  </m:r>
                </m:sub>
              </m:sSub>
            </m:num>
            <m:den>
              <m:r>
                <m:t>1</m:t>
              </m:r>
              <m:r>
                <m:rPr>
                  <m:sty m:val="p"/>
                </m:rPr>
                <m:t>−</m:t>
              </m:r>
              <m:sSub>
                <m:e>
                  <m:r>
                    <m:t>p</m:t>
                  </m:r>
                </m:e>
                <m:sub>
                  <m:r>
                    <m:t>i</m:t>
                  </m:r>
                </m:sub>
              </m:sSub>
            </m:den>
          </m:f>
          <m:r>
            <m:rPr>
              <m:sty m:val="p"/>
            </m:rPr>
            <m:t>=</m:t>
          </m:r>
          <m:r>
            <m:t>α</m:t>
          </m:r>
          <m:r>
            <m:rPr>
              <m:sty m:val="p"/>
            </m:rPr>
            <m:t>+</m:t>
          </m:r>
          <m:sSub>
            <m:e>
              <m:r>
                <m:t>β</m:t>
              </m:r>
            </m:e>
            <m:sub>
              <m:r>
                <m:t>L</m:t>
              </m:r>
            </m:sub>
          </m:sSub>
          <m:sSub>
            <m:e>
              <m:r>
                <m:t>z</m:t>
              </m:r>
            </m:e>
            <m:sub>
              <m:r>
                <m:t>L</m:t>
              </m:r>
              <m:r>
                <m:t>i</m:t>
              </m:r>
            </m:sub>
          </m:sSub>
          <m:r>
            <m:rPr>
              <m:sty m:val="p"/>
            </m:rPr>
            <m:t>+</m:t>
          </m:r>
          <m:sSub>
            <m:e>
              <m:r>
                <m:t>β</m:t>
              </m:r>
            </m:e>
            <m:sub>
              <m:r>
                <m:t>H</m:t>
              </m:r>
            </m:sub>
          </m:sSub>
          <m:sSub>
            <m:e>
              <m:r>
                <m:t>z</m:t>
              </m:r>
            </m:e>
            <m:sub>
              <m:r>
                <m:t>H</m:t>
              </m:r>
              <m:r>
                <m:t>i</m:t>
              </m:r>
            </m:sub>
          </m:sSub>
          <m:r>
            <m:rPr>
              <m:sty m:val="p"/>
            </m:rPr>
            <m:t>+</m:t>
          </m:r>
          <m:sSub>
            <m:e>
              <m:r>
                <m:t>β</m:t>
              </m:r>
            </m:e>
            <m:sub>
              <m:r>
                <m:t>B</m:t>
              </m:r>
            </m:sub>
          </m:sSub>
          <m:sSub>
            <m:e>
              <m:r>
                <m:t>z</m:t>
              </m:r>
            </m:e>
            <m:sub>
              <m:r>
                <m:t>B</m:t>
              </m:r>
              <m:r>
                <m:t>i</m:t>
              </m:r>
            </m:sub>
          </m:sSub>
          <m:r>
            <m:rPr>
              <m:sty m:val="p"/>
            </m:rPr>
            <m:t>+</m:t>
          </m:r>
          <m:sSub>
            <m:e>
              <m:r>
                <m:t>β</m:t>
              </m:r>
            </m:e>
            <m:sub>
              <m:r>
                <m:t>S</m:t>
              </m:r>
            </m:sub>
          </m:sSub>
          <m:sSub>
            <m:e>
              <m:r>
                <m:t>z</m:t>
              </m:r>
            </m:e>
            <m:sub>
              <m:r>
                <m:t>S</m:t>
              </m:r>
              <m:r>
                <m:t>i</m:t>
              </m:r>
            </m:sub>
          </m:sSub>
          <m:r>
            <m:rPr>
              <m:sty m:val="p"/>
            </m:rPr>
            <m:t>+</m:t>
          </m:r>
          <m:sSup>
            <m:e>
              <m:r>
                <m:rPr>
                  <m:sty m:val="b"/>
                </m:rPr>
                <m:t>γ</m:t>
              </m:r>
            </m:e>
            <m:sup>
              <m:r>
                <m:rPr>
                  <m:sty m:val="p"/>
                </m:rPr>
                <m:t>⊤</m:t>
              </m:r>
            </m:sup>
          </m:sSup>
          <m:sSub>
            <m:e>
              <m:r>
                <m:rPr>
                  <m:sty m:val="b"/>
                </m:rPr>
                <m:t>X</m:t>
              </m:r>
            </m:e>
            <m:sub>
              <m:r>
                <m:t>i</m:t>
              </m:r>
            </m:sub>
          </m:sSub>
          <m:r>
            <m:rPr>
              <m:sty m:val="p"/>
            </m:rPr>
            <m:t>+</m:t>
          </m:r>
          <m:sSub>
            <m:e>
              <m:r>
                <m:t>θ</m:t>
              </m:r>
            </m:e>
            <m:sub>
              <m:sSub>
                <m:e>
                  <m:r>
                    <m:t>m</m:t>
                  </m:r>
                </m:e>
                <m:sub>
                  <m:r>
                    <m:t>A</m:t>
                  </m:r>
                  <m:r>
                    <m:t>i</m:t>
                  </m:r>
                </m:sub>
              </m:sSub>
            </m:sub>
          </m:sSub>
          <m:r>
            <m:rPr>
              <m:sty m:val="p"/>
            </m:rPr>
            <m:t>−</m:t>
          </m:r>
          <m:sSub>
            <m:e>
              <m:r>
                <m:t>θ</m:t>
              </m:r>
            </m:e>
            <m:sub>
              <m:sSub>
                <m:e>
                  <m:r>
                    <m:t>m</m:t>
                  </m:r>
                </m:e>
                <m:sub>
                  <m:r>
                    <m:t>B</m:t>
                  </m:r>
                  <m:r>
                    <m:t>i</m:t>
                  </m:r>
                </m:sub>
              </m:sSub>
            </m:sub>
          </m:sSub>
          <m:r>
            <m:rPr>
              <m:sty m:val="p"/>
            </m:rPr>
            <m:t>.</m:t>
          </m:r>
          <m:r>
            <m:t>  </m:t>
          </m:r>
          <m:r>
            <m:rPr>
              <m:nor/>
              <m:sty m:val="p"/>
            </m:rPr>
            <m:t>(3.1)</m:t>
          </m:r>
        </m:oMath>
      </m:oMathPara>
    </w:p>
    <w:p>
      <w:pPr>
        <w:pStyle w:val="FirstParagraph"/>
        <w:spacing w:line="288" w:lineRule="auto" w:after="80"/>
        <w:ind w:firstLine="420"/>
      </w:pPr>
      <w:r>
        <w:rPr>
          <w:rFonts w:hint="eastAsia"/>
        </w:rPr>
        <w:t xml:space="preserve">模型身份参数差沿用Bradley–Terry型结构[7,8]，通过指定参考模型识别。本文称其为含模型身份对比项的成对比较Logistic模型，区别于匹配病例的条件Logistic回归。共有任务变量及截距允许A侧优势随背景变化，不将模型宣称为严格交换对称的纯排名模型。参数通过最大化Bernoulli对数似然估计：</w:t>
      </w:r>
    </w:p>
    <w:p>
      <w:pPr>
        <w:pStyle w:val="BodyText"/>
        <w:spacing w:line="288" w:lineRule="auto" w:after="80"/>
        <w:ind w:firstLine="420"/>
      </w:pPr>
      <m:oMathPara>
        <m:oMathParaPr>
          <m:jc m:val="center"/>
        </m:oMathParaPr>
        <m:oMath>
          <m:r>
            <m:t>ℓ</m:t>
          </m:r>
          <m:r>
            <m:rPr>
              <m:sty m:val="p"/>
            </m:rPr>
            <m:t>(</m:t>
          </m:r>
          <m:r>
            <m:rPr>
              <m:sty m:val="b"/>
            </m:rPr>
            <m:t>η</m:t>
          </m:r>
          <m:r>
            <m:rPr>
              <m:sty m:val="p"/>
            </m:rPr>
            <m:t>)</m:t>
          </m:r>
          <m:r>
            <m:rPr>
              <m:sty m:val="p"/>
            </m:rPr>
            <m:t>=</m:t>
          </m:r>
          <m:nary>
            <m:naryPr>
              <m:chr m:val="∑"/>
              <m:limLoc m:val="undOvr"/>
              <m:subHide m:val="off"/>
              <m:supHide m:val="on"/>
            </m:naryPr>
            <m:sub>
              <m:r>
                <m:t>i</m:t>
              </m:r>
            </m:sub>
            <m:sup>
              <m:r>
                <m:t>​</m:t>
              </m:r>
            </m:sup>
            <m:e>
              <m:r>
                <m:rPr>
                  <m:sty m:val="p"/>
                </m:rPr>
                <m:t>{</m:t>
              </m:r>
            </m:e>
          </m:nary>
          <m:sSub>
            <m:e>
              <m:r>
                <m:t>Y</m:t>
              </m:r>
            </m:e>
            <m:sub>
              <m:r>
                <m:t>i</m:t>
              </m:r>
            </m:sub>
          </m:sSub>
          <m:sSubSup>
            <m:e>
              <m:r>
                <m:rPr>
                  <m:sty m:val="b"/>
                </m:rPr>
                <m:t>v</m:t>
              </m:r>
            </m:e>
            <m:sub>
              <m:r>
                <m:t>i</m:t>
              </m:r>
            </m:sub>
            <m:sup>
              <m:r>
                <m:rPr>
                  <m:sty m:val="p"/>
                </m:rPr>
                <m:t>⊤</m:t>
              </m:r>
            </m:sup>
          </m:sSubSup>
          <m:r>
            <m:rPr>
              <m:sty m:val="b"/>
            </m:rPr>
            <m:t>η</m:t>
          </m:r>
          <m:r>
            <m:rPr>
              <m:sty m:val="p"/>
            </m:rPr>
            <m:t>−</m:t>
          </m:r>
          <m:r>
            <m:rPr>
              <m:sty m:val="p"/>
            </m:rPr>
            <m:t>log</m:t>
          </m:r>
          <m:r>
            <m:rPr>
              <m:sty m:val="p"/>
            </m:rPr>
            <m:t>[</m:t>
          </m:r>
          <m:r>
            <m:t>1</m:t>
          </m:r>
          <m:r>
            <m:rPr>
              <m:sty m:val="p"/>
            </m:rPr>
            <m:t>+</m:t>
          </m:r>
          <m:r>
            <m:rPr>
              <m:sty m:val="p"/>
            </m:rPr>
            <m:t>exp</m:t>
          </m:r>
          <m:r>
            <m:rPr>
              <m:sty m:val="p"/>
            </m:rPr>
            <m:t>(</m:t>
          </m:r>
          <m:sSubSup>
            <m:e>
              <m:r>
                <m:rPr>
                  <m:sty m:val="b"/>
                </m:rPr>
                <m:t>v</m:t>
              </m:r>
            </m:e>
            <m:sub>
              <m:r>
                <m:t>i</m:t>
              </m:r>
            </m:sub>
            <m:sup>
              <m:r>
                <m:rPr>
                  <m:sty m:val="p"/>
                </m:rPr>
                <m:t>⊤</m:t>
              </m:r>
            </m:sup>
          </m:sSubSup>
          <m:r>
            <m:rPr>
              <m:sty m:val="b"/>
            </m:rPr>
            <m:t>η</m:t>
          </m:r>
          <m:r>
            <m:rPr>
              <m:sty m:val="p"/>
            </m:rPr>
            <m:t>)</m:t>
          </m:r>
          <m:r>
            <m:rPr>
              <m:sty m:val="p"/>
            </m:rPr>
            <m:t>]</m:t>
          </m:r>
          <m:r>
            <m:rPr>
              <m:sty m:val="p"/>
            </m:rPr>
            <m:t>}</m:t>
          </m:r>
          <m:r>
            <m:rPr>
              <m:sty m:val="p"/>
            </m:rPr>
            <m:t>.</m:t>
          </m:r>
          <m:r>
            <m:t>  </m:t>
          </m:r>
          <m:r>
            <m:rPr>
              <m:nor/>
              <m:sty m:val="p"/>
            </m:rPr>
            <m:t>(3.2)</m:t>
          </m:r>
        </m:oMath>
      </m:oMathPara>
    </w:p>
    <w:p>
      <w:pPr>
        <w:pStyle w:val="FirstParagraph"/>
        <w:spacing w:line="288" w:lineRule="auto" w:after="80"/>
        <w:ind w:firstLine="420"/>
      </w:pPr>
      <w:r>
        <w:rPr>
          <w:rFonts w:hint="eastAsia"/>
        </w:rPr>
        <w:t xml:space="preserve">检查比较图连通性、设计矩阵秩、收敛与参数有限性，并以替换参考模型核验焦点系数和预测概率不变。连通和收敛不等于模型设定正确；数值诊断也不替代完全分离的形式化证明。</w:t>
      </w:r>
    </w:p>
    <w:bookmarkEnd w:id="16"/>
    <w:bookmarkStart w:id="17" w:name="聚类协方差与多重比较"/>
    <w:p>
      <w:pPr>
        <w:pStyle w:val="Heading2"/>
        <w:keepNext/>
        <w:spacing w:line="288" w:lineRule="auto" w:after="80"/>
      </w:pPr>
      <w:r>
        <w:rPr>
          <w:rStyle w:val="SectionNumber"/>
        </w:rPr>
        <w:t xml:space="preserve">3.3</w:t>
      </w:r>
      <w:r>
        <w:tab/>
      </w:r>
      <w:r>
        <w:rPr>
          <w:rFonts w:hint="eastAsia"/>
        </w:rPr>
        <w:t xml:space="preserve">聚类协方差与多重比较</w:t>
      </w:r>
    </w:p>
    <w:p>
      <w:pPr>
        <w:pStyle w:val="FirstParagraph"/>
        <w:spacing w:line="288" w:lineRule="auto" w:after="80"/>
        <w:ind w:firstLine="420"/>
      </w:pPr>
      <w:r>
        <w:rPr>
          <w:rFonts w:hint="eastAsia"/>
        </w:rPr>
        <w:t xml:space="preserve">提示词分组先统一Unicode</w:t>
      </w:r>
      <w:r>
        <w:t xml:space="preserve"> </w:t>
      </w:r>
      <w:r>
        <w:rPr>
          <w:rFonts w:hint="eastAsia"/>
        </w:rPr>
        <w:t xml:space="preserve">NFC及换行符，再对消息序列计算哈希；保留空格和代码缩进，不作语义近似去重。主要推断按首条用户消息聚类，完整用户消息序列及无序模型对聚类作为另外两种敏感性方案。三种聚类分别计算，未进行多向聚类；它们均不能替代缺失的用户标识。</w:t>
      </w:r>
    </w:p>
    <w:p>
      <w:pPr>
        <w:pStyle w:val="BodyText"/>
        <w:spacing w:line="288" w:lineRule="auto" w:after="80"/>
        <w:ind w:firstLine="420"/>
      </w:pPr>
      <w:r>
        <w:rPr>
          <w:rFonts w:hint="eastAsia"/>
        </w:rPr>
        <w:t xml:space="preserve">设组</w:t>
      </w:r>
      <m:oMath>
        <m:r>
          <m:t>g</m:t>
        </m:r>
      </m:oMath>
      <w:r>
        <w:rPr>
          <w:rFonts w:hint="eastAsia"/>
        </w:rPr>
        <w:t xml:space="preserve">的得分和为</w:t>
      </w:r>
      <m:oMath>
        <m:sSub>
          <m:e>
            <m:r>
              <m:rPr>
                <m:sty m:val="b"/>
              </m:rPr>
              <m:t>s</m:t>
            </m:r>
          </m:e>
          <m:sub>
            <m:r>
              <m:t>g</m:t>
            </m:r>
          </m:sub>
        </m:sSub>
        <m:r>
          <m:rPr>
            <m:sty m:val="p"/>
          </m:rPr>
          <m:t>=</m:t>
        </m:r>
        <m:nary>
          <m:naryPr>
            <m:chr m:val="∑"/>
            <m:limLoc m:val="undOvr"/>
            <m:subHide m:val="off"/>
            <m:supHide m:val="on"/>
          </m:naryPr>
          <m:sub>
            <m:r>
              <m:t>i</m:t>
            </m:r>
            <m:r>
              <m:rPr>
                <m:sty m:val="p"/>
              </m:rPr>
              <m:t>∈</m:t>
            </m:r>
            <m:r>
              <m:t>g</m:t>
            </m:r>
          </m:sub>
          <m:sup>
            <m:r>
              <m:t>​</m:t>
            </m:r>
          </m:sup>
          <m:e>
            <m:sSub>
              <m:e>
                <m:r>
                  <m:rPr>
                    <m:sty m:val="b"/>
                  </m:rPr>
                  <m:t>v</m:t>
                </m:r>
              </m:e>
              <m:sub>
                <m:r>
                  <m:t>i</m:t>
                </m:r>
              </m:sub>
            </m:sSub>
          </m:e>
        </m:nary>
        <m:r>
          <m:rPr>
            <m:sty m:val="p"/>
          </m:rPr>
          <m:t>(</m:t>
        </m:r>
        <m:sSub>
          <m:e>
            <m:r>
              <m:t>Y</m:t>
            </m:r>
          </m:e>
          <m:sub>
            <m:r>
              <m:t>i</m:t>
            </m:r>
          </m:sub>
        </m:sSub>
        <m:r>
          <m:rPr>
            <m:sty m:val="p"/>
          </m:rPr>
          <m:t>−</m:t>
        </m:r>
        <m:sSub>
          <m:e>
            <m:acc>
              <m:accPr>
                <m:chr m:val="̂"/>
              </m:accPr>
              <m:e>
                <m:r>
                  <m:t>p</m:t>
                </m:r>
              </m:e>
            </m:acc>
          </m:e>
          <m:sub>
            <m:r>
              <m:t>i</m:t>
            </m:r>
          </m:sub>
        </m:sSub>
        <m:r>
          <m:rPr>
            <m:sty m:val="p"/>
          </m:rPr>
          <m:t>)</m:t>
        </m:r>
      </m:oMath>
      <w:r>
        <w:rPr>
          <w:rFonts w:hint="eastAsia"/>
        </w:rPr>
        <w:t xml:space="preserve">，</w:t>
      </w:r>
      <m:oMath>
        <m:r>
          <m:t>B</m:t>
        </m:r>
        <m:r>
          <m:rPr>
            <m:sty m:val="p"/>
          </m:rPr>
          <m:t>=</m:t>
        </m:r>
        <m:nary>
          <m:naryPr>
            <m:chr m:val="∑"/>
            <m:limLoc m:val="undOvr"/>
            <m:subHide m:val="off"/>
            <m:supHide m:val="on"/>
          </m:naryPr>
          <m:sub>
            <m:r>
              <m:t>i</m:t>
            </m:r>
          </m:sub>
          <m:sup>
            <m:r>
              <m:t>​</m:t>
            </m:r>
          </m:sup>
          <m:e>
            <m:sSub>
              <m:e>
                <m:acc>
                  <m:accPr>
                    <m:chr m:val="̂"/>
                  </m:accPr>
                  <m:e>
                    <m:r>
                      <m:t>p</m:t>
                    </m:r>
                  </m:e>
                </m:acc>
              </m:e>
              <m:sub>
                <m:r>
                  <m:t>i</m:t>
                </m:r>
              </m:sub>
            </m:sSub>
          </m:e>
        </m:nary>
        <m:r>
          <m:rPr>
            <m:sty m:val="p"/>
          </m:rPr>
          <m:t>(</m:t>
        </m:r>
        <m:r>
          <m:t>1</m:t>
        </m:r>
        <m:r>
          <m:rPr>
            <m:sty m:val="p"/>
          </m:rPr>
          <m:t>−</m:t>
        </m:r>
        <m:sSub>
          <m:e>
            <m:acc>
              <m:accPr>
                <m:chr m:val="̂"/>
              </m:accPr>
              <m:e>
                <m:r>
                  <m:t>p</m:t>
                </m:r>
              </m:e>
            </m:acc>
          </m:e>
          <m:sub>
            <m:r>
              <m:t>i</m:t>
            </m:r>
          </m:sub>
        </m:sSub>
        <m:r>
          <m:rPr>
            <m:sty m:val="p"/>
          </m:rPr>
          <m:t>)</m:t>
        </m:r>
        <m:sSub>
          <m:e>
            <m:r>
              <m:rPr>
                <m:sty m:val="b"/>
              </m:rPr>
              <m:t>v</m:t>
            </m:r>
          </m:e>
          <m:sub>
            <m:r>
              <m:t>i</m:t>
            </m:r>
          </m:sub>
        </m:sSub>
        <m:sSubSup>
          <m:e>
            <m:r>
              <m:rPr>
                <m:sty m:val="b"/>
              </m:rPr>
              <m:t>v</m:t>
            </m:r>
          </m:e>
          <m:sub>
            <m:r>
              <m:t>i</m:t>
            </m:r>
          </m:sub>
          <m:sup>
            <m:r>
              <m:rPr>
                <m:sty m:val="p"/>
              </m:rPr>
              <m:t>⊤</m:t>
            </m:r>
          </m:sup>
        </m:sSubSup>
      </m:oMath>
      <w:r>
        <w:rPr>
          <w:rFonts w:hint="eastAsia"/>
        </w:rPr>
        <w:t xml:space="preserve">，聚类协方差为[9]</w:t>
      </w:r>
    </w:p>
    <w:p>
      <w:pPr>
        <w:pStyle w:val="BodyText"/>
        <w:spacing w:line="288" w:lineRule="auto" w:after="80"/>
        <w:ind w:firstLine="420"/>
      </w:pPr>
      <m:oMathPara>
        <m:oMathParaPr>
          <m:jc m:val="center"/>
        </m:oMathParaPr>
        <m:oMath>
          <m:sSub>
            <m:e>
              <m:acc>
                <m:accPr>
                  <m:chr m:val="̂"/>
                </m:accPr>
                <m:e>
                  <m:r>
                    <m:t>V</m:t>
                  </m:r>
                </m:e>
              </m:acc>
            </m:e>
            <m:sub>
              <m:r>
                <m:rPr>
                  <m:sty m:val="p"/>
                </m:rPr>
                <m:t>c</m:t>
              </m:r>
              <m:r>
                <m:rPr>
                  <m:sty m:val="p"/>
                </m:rPr>
                <m:t>l</m:t>
              </m:r>
            </m:sub>
          </m:sSub>
          <m:r>
            <m:rPr>
              <m:sty m:val="p"/>
            </m:rPr>
            <m:t>=</m:t>
          </m:r>
          <m:f>
            <m:fPr>
              <m:type m:val="bar"/>
            </m:fPr>
            <m:num>
              <m:r>
                <m:t>G</m:t>
              </m:r>
            </m:num>
            <m:den>
              <m:r>
                <m:t>G</m:t>
              </m:r>
              <m:r>
                <m:rPr>
                  <m:sty m:val="p"/>
                </m:rPr>
                <m:t>−</m:t>
              </m:r>
              <m:r>
                <m:t>1</m:t>
              </m:r>
            </m:den>
          </m:f>
          <m:f>
            <m:fPr>
              <m:type m:val="bar"/>
            </m:fPr>
            <m:num>
              <m:r>
                <m:t>n</m:t>
              </m:r>
              <m:r>
                <m:rPr>
                  <m:sty m:val="p"/>
                </m:rPr>
                <m:t>−</m:t>
              </m:r>
              <m:r>
                <m:t>1</m:t>
              </m:r>
            </m:num>
            <m:den>
              <m:r>
                <m:t>n</m:t>
              </m:r>
              <m:r>
                <m:rPr>
                  <m:sty m:val="p"/>
                </m:rPr>
                <m:t>−</m:t>
              </m:r>
              <m:r>
                <m:t>K</m:t>
              </m:r>
            </m:den>
          </m:f>
          <m:sSup>
            <m:e>
              <m:r>
                <m:t>B</m:t>
              </m:r>
            </m:e>
            <m:sup>
              <m:r>
                <m:rPr>
                  <m:sty m:val="p"/>
                </m:rPr>
                <m:t>−</m:t>
              </m:r>
              <m:r>
                <m:t>1</m:t>
              </m:r>
            </m:sup>
          </m:sSup>
          <m:d>
            <m:dPr>
              <m:begChr m:val="("/>
              <m:sepChr m:val=""/>
              <m:endChr m:val=")"/>
              <m:grow/>
            </m:dPr>
            <m:e>
              <m:nary>
                <m:naryPr>
                  <m:chr m:val="∑"/>
                  <m:limLoc m:val="undOvr"/>
                  <m:subHide m:val="off"/>
                  <m:supHide m:val="off"/>
                </m:naryPr>
                <m:sub>
                  <m:r>
                    <m:t>g</m:t>
                  </m:r>
                  <m:r>
                    <m:rPr>
                      <m:sty m:val="p"/>
                    </m:rPr>
                    <m:t>=</m:t>
                  </m:r>
                  <m:r>
                    <m:t>1</m:t>
                  </m:r>
                </m:sub>
                <m:sup>
                  <m:r>
                    <m:t>G</m:t>
                  </m:r>
                </m:sup>
                <m:e>
                  <m:sSub>
                    <m:e>
                      <m:r>
                        <m:rPr>
                          <m:sty m:val="b"/>
                        </m:rPr>
                        <m:t>s</m:t>
                      </m:r>
                    </m:e>
                    <m:sub>
                      <m:r>
                        <m:t>g</m:t>
                      </m:r>
                    </m:sub>
                  </m:sSub>
                </m:e>
              </m:nary>
              <m:sSubSup>
                <m:e>
                  <m:r>
                    <m:rPr>
                      <m:sty m:val="b"/>
                    </m:rPr>
                    <m:t>s</m:t>
                  </m:r>
                </m:e>
                <m:sub>
                  <m:r>
                    <m:t>g</m:t>
                  </m:r>
                </m:sub>
                <m:sup>
                  <m:r>
                    <m:rPr>
                      <m:sty m:val="p"/>
                    </m:rPr>
                    <m:t>⊤</m:t>
                  </m:r>
                </m:sup>
              </m:sSubSup>
            </m:e>
          </m:d>
          <m:sSup>
            <m:e>
              <m:r>
                <m:t>B</m:t>
              </m:r>
            </m:e>
            <m:sup>
              <m:r>
                <m:rPr>
                  <m:sty m:val="p"/>
                </m:rPr>
                <m:t>−</m:t>
              </m:r>
              <m:r>
                <m:t>1</m:t>
              </m:r>
            </m:sup>
          </m:sSup>
          <m:r>
            <m:rPr>
              <m:sty m:val="p"/>
            </m:rPr>
            <m:t>,</m:t>
          </m:r>
          <m:r>
            <m:t>  </m:t>
          </m:r>
          <m:r>
            <m:rPr>
              <m:nor/>
              <m:sty m:val="p"/>
            </m:rPr>
            <m:t>(3.3)</m:t>
          </m:r>
        </m:oMath>
      </m:oMathPara>
    </w:p>
    <w:p>
      <w:pPr>
        <w:pStyle w:val="FirstParagraph"/>
        <w:spacing w:line="288" w:lineRule="auto" w:after="80"/>
        <w:ind w:firstLine="420"/>
      </w:pPr>
      <w:r>
        <w:rPr>
          <w:rFonts w:hint="eastAsia"/>
        </w:rPr>
        <w:t xml:space="preserve">其中</w:t>
      </w:r>
      <m:oMath>
        <m:r>
          <m:t>G</m:t>
        </m:r>
      </m:oMath>
      <w:r>
        <w:rPr>
          <w:rFonts w:hint="eastAsia"/>
        </w:rPr>
        <w:t xml:space="preserve">为簇数，</w:t>
      </w:r>
      <m:oMath>
        <m:r>
          <m:t>K</m:t>
        </m:r>
      </m:oMath>
      <w:r>
        <w:rPr>
          <w:rFonts w:hint="eastAsia"/>
        </w:rPr>
        <w:t xml:space="preserve">为参数数目。系数区间和双侧检验采用</w:t>
      </w:r>
      <m:oMath>
        <m:sSub>
          <m:e>
            <m:r>
              <m:t>t</m:t>
            </m:r>
          </m:e>
          <m:sub>
            <m:r>
              <m:t>G</m:t>
            </m:r>
            <m:r>
              <m:rPr>
                <m:sty m:val="p"/>
              </m:rPr>
              <m:t>−</m:t>
            </m:r>
            <m:r>
              <m:t>1</m:t>
            </m:r>
          </m:sub>
        </m:sSub>
      </m:oMath>
      <w:r>
        <w:rPr>
          <w:rFonts w:hint="eastAsia"/>
        </w:rPr>
        <w:t xml:space="preserve">近似；HC0使用正态近似作为对照。组内可相关而组间独立仍是工作假设。簇规模不均衡及模型对间共享同一模型的相关性可能影响近似，不能将任一方案视为全面消除依赖。</w:t>
      </w:r>
    </w:p>
    <w:p>
      <w:pPr>
        <w:pStyle w:val="BodyText"/>
        <w:spacing w:line="288" w:lineRule="auto" w:after="80"/>
        <w:ind w:firstLine="420"/>
      </w:pPr>
      <w:r>
        <w:rPr>
          <w:rFonts w:hint="eastAsia"/>
        </w:rPr>
        <w:t xml:space="preserve">主分析在全量、英语、单轮三个模型的12个焦点系数间实施Holm校正，各协方差方案分别构成一族。月份、替代解析、格式存在性和截尾四种补充模型的16个系数构成另一族；明确胜负状态模型的4项构成独立家族。95%区间均为逐项区间。优势比</w:t>
      </w:r>
      <m:oMath>
        <m:r>
          <m:rPr>
            <m:sty m:val="p"/>
          </m:rPr>
          <m:t>exp</m:t>
        </m:r>
        <m:r>
          <m:rPr>
            <m:sty m:val="p"/>
          </m:rPr>
          <m:t>(</m:t>
        </m:r>
        <m:sSub>
          <m:e>
            <m:r>
              <m:t>β</m:t>
            </m:r>
          </m:e>
          <m:sub>
            <m:r>
              <m:t>k</m:t>
            </m:r>
          </m:sub>
        </m:sSub>
        <m:r>
          <m:rPr>
            <m:sty m:val="p"/>
          </m:rPr>
          <m:t>)</m:t>
        </m:r>
      </m:oMath>
      <w:r>
        <w:rPr>
          <w:rFonts w:hint="eastAsia"/>
        </w:rPr>
        <w:t xml:space="preserve">对应全量明确胜负样本一个标准差，不能解释为编辑文本后的因果收益。格式存在性模型另用该二元差值的全量标准差，不能与密度OR直接比较。</w:t>
      </w:r>
    </w:p>
    <w:bookmarkEnd w:id="17"/>
    <w:bookmarkStart w:id="18" w:name="非线性及其他敏感性设定"/>
    <w:p>
      <w:pPr>
        <w:pStyle w:val="Heading2"/>
        <w:keepNext/>
        <w:spacing w:line="288" w:lineRule="auto" w:after="80"/>
      </w:pPr>
      <w:r>
        <w:rPr>
          <w:rStyle w:val="SectionNumber"/>
        </w:rPr>
        <w:t xml:space="preserve">3.4</w:t>
      </w:r>
      <w:r>
        <w:tab/>
      </w:r>
      <w:r>
        <w:rPr>
          <w:rFonts w:hint="eastAsia"/>
        </w:rPr>
        <w:t xml:space="preserve">非线性及其他敏感性设定</w:t>
      </w:r>
    </w:p>
    <w:p>
      <w:pPr>
        <w:pStyle w:val="FirstParagraph"/>
        <w:spacing w:line="288" w:lineRule="auto" w:after="80"/>
        <w:ind w:firstLine="420"/>
      </w:pPr>
      <w:r>
        <w:rPr>
          <w:rFonts w:hint="eastAsia"/>
        </w:rPr>
        <w:t xml:space="preserve">长度项使用四节点限制性三次样条[10]，节点规则在拟合前固定为全量长度指标的5%、35%、65%、95%分位数；保留线性项并增加两个非线性基函数。对两个非线性系数联合检验，聚类方案采用</w:t>
      </w:r>
      <m:oMath>
        <m:sSub>
          <m:e>
            <m:r>
              <m:t>F</m:t>
            </m:r>
          </m:e>
          <m:sub>
            <m:r>
              <m:t>2</m:t>
            </m:r>
            <m:r>
              <m:rPr>
                <m:sty m:val="p"/>
              </m:rPr>
              <m:t>,</m:t>
            </m:r>
            <m:r>
              <m:t>G</m:t>
            </m:r>
            <m:r>
              <m:rPr>
                <m:sty m:val="p"/>
              </m:rPr>
              <m:t>−</m:t>
            </m:r>
            <m:r>
              <m:t>1</m:t>
            </m:r>
          </m:sub>
        </m:sSub>
      </m:oMath>
      <w:r>
        <w:rPr>
          <w:rFonts w:hint="eastAsia"/>
        </w:rPr>
        <w:t xml:space="preserve">近似。AIC只作为条件独立似然下的辅助描述。</w:t>
      </w:r>
    </w:p>
    <w:p>
      <w:pPr>
        <w:pStyle w:val="BodyText"/>
        <w:spacing w:line="288" w:lineRule="auto" w:after="80"/>
        <w:ind w:firstLine="420"/>
      </w:pPr>
      <w:r>
        <w:rPr>
          <w:rFonts w:hint="eastAsia"/>
        </w:rPr>
        <w:t xml:space="preserve">预测曲线将有方向长度比</w:t>
      </w:r>
      <m:oMath>
        <m:r>
          <m:t>r</m:t>
        </m:r>
        <m:r>
          <m:rPr>
            <m:sty m:val="p"/>
          </m:rPr>
          <m:t>=</m:t>
        </m:r>
        <m:sSub>
          <m:e>
            <m:r>
              <m:t>L</m:t>
            </m:r>
          </m:e>
          <m:sub>
            <m:r>
              <m:t>A</m:t>
            </m:r>
          </m:sub>
        </m:sSub>
        <m:r>
          <m:rPr>
            <m:sty m:val="p"/>
          </m:rPr>
          <m:t>/</m:t>
        </m:r>
        <m:sSub>
          <m:e>
            <m:r>
              <m:t>L</m:t>
            </m:r>
          </m:e>
          <m:sub>
            <m:r>
              <m:t>B</m:t>
            </m:r>
          </m:sub>
        </m:sSub>
      </m:oMath>
      <w:r>
        <w:rPr>
          <w:rFonts w:hint="eastAsia"/>
        </w:rPr>
        <w:t xml:space="preserve">固定在给定值，对观察样本其余协变量分布平均：</w:t>
      </w:r>
    </w:p>
    <w:p>
      <w:pPr>
        <w:pStyle w:val="BodyText"/>
        <w:spacing w:line="288" w:lineRule="auto" w:after="80"/>
        <w:ind w:firstLine="420"/>
      </w:pPr>
      <m:oMathPara>
        <m:oMathParaPr>
          <m:jc m:val="center"/>
        </m:oMathParaPr>
        <m:oMath>
          <m:acc>
            <m:accPr>
              <m:chr m:val="̂"/>
            </m:accPr>
            <m:e>
              <m:r>
                <m:t>P</m:t>
              </m:r>
            </m:e>
          </m:acc>
          <m:r>
            <m:rPr>
              <m:sty m:val="p"/>
            </m:rPr>
            <m:t>(</m:t>
          </m:r>
          <m:r>
            <m:t>r</m:t>
          </m:r>
          <m:r>
            <m:rPr>
              <m:sty m:val="p"/>
            </m:rPr>
            <m:t>)</m:t>
          </m:r>
          <m:r>
            <m:rPr>
              <m:sty m:val="p"/>
            </m:rPr>
            <m:t>=</m:t>
          </m:r>
          <m:f>
            <m:fPr>
              <m:type m:val="bar"/>
            </m:fPr>
            <m:num>
              <m:r>
                <m:t>1</m:t>
              </m:r>
            </m:num>
            <m:den>
              <m:r>
                <m:t>n</m:t>
              </m:r>
            </m:den>
          </m:f>
          <m:nary>
            <m:naryPr>
              <m:chr m:val="∑"/>
              <m:limLoc m:val="undOvr"/>
              <m:subHide m:val="off"/>
              <m:supHide m:val="on"/>
            </m:naryPr>
            <m:sub>
              <m:r>
                <m:t>i</m:t>
              </m:r>
            </m:sub>
            <m:sup>
              <m:r>
                <m:t>​</m:t>
              </m:r>
            </m:sup>
            <m:e>
              <m:sSup>
                <m:e>
                  <m:r>
                    <m:rPr>
                      <m:sty m:val="p"/>
                    </m:rPr>
                    <m:t>logit</m:t>
                  </m:r>
                </m:e>
                <m:sup>
                  <m:r>
                    <m:rPr>
                      <m:sty m:val="p"/>
                    </m:rPr>
                    <m:t>−</m:t>
                  </m:r>
                  <m:r>
                    <m:t>1</m:t>
                  </m:r>
                </m:sup>
              </m:sSup>
            </m:e>
          </m:nary>
          <m:r>
            <m:rPr>
              <m:sty m:val="p"/>
            </m:rPr>
            <m:t>{</m:t>
          </m:r>
          <m:sSub>
            <m:e>
              <m:acc>
                <m:accPr>
                  <m:chr m:val="̂"/>
                </m:accPr>
                <m:e>
                  <m:r>
                    <m:t>η</m:t>
                  </m:r>
                </m:e>
              </m:acc>
            </m:e>
            <m:sub>
              <m:r>
                <m:t>i</m:t>
              </m:r>
            </m:sub>
          </m:sSub>
          <m:r>
            <m:rPr>
              <m:sty m:val="p"/>
            </m:rPr>
            <m:t>+</m:t>
          </m:r>
          <m:acc>
            <m:accPr>
              <m:chr m:val="̂"/>
            </m:accPr>
            <m:e>
              <m:r>
                <m:t>f</m:t>
              </m:r>
            </m:e>
          </m:acc>
          <m:r>
            <m:rPr>
              <m:sty m:val="p"/>
            </m:rPr>
            <m:t>(</m:t>
          </m:r>
          <m:sSub>
            <m:e>
              <m:r>
                <m:t>z</m:t>
              </m:r>
            </m:e>
            <m:sub>
              <m:r>
                <m:t>L</m:t>
              </m:r>
            </m:sub>
          </m:sSub>
          <m:r>
            <m:rPr>
              <m:sty m:val="p"/>
            </m:rPr>
            <m:t>(</m:t>
          </m:r>
          <m:r>
            <m:t>r</m:t>
          </m:r>
          <m:r>
            <m:rPr>
              <m:sty m:val="p"/>
            </m:rPr>
            <m:t>)</m:t>
          </m:r>
          <m:r>
            <m:rPr>
              <m:sty m:val="p"/>
            </m:rPr>
            <m:t>)</m:t>
          </m:r>
          <m:r>
            <m:rPr>
              <m:sty m:val="p"/>
            </m:rPr>
            <m:t>−</m:t>
          </m:r>
          <m:acc>
            <m:accPr>
              <m:chr m:val="̂"/>
            </m:accPr>
            <m:e>
              <m:r>
                <m:t>f</m:t>
              </m:r>
            </m:e>
          </m:acc>
          <m:r>
            <m:rPr>
              <m:sty m:val="p"/>
            </m:rPr>
            <m:t>(</m:t>
          </m:r>
          <m:sSub>
            <m:e>
              <m:r>
                <m:t>z</m:t>
              </m:r>
            </m:e>
            <m:sub>
              <m:r>
                <m:t>L</m:t>
              </m:r>
              <m:r>
                <m:t>i</m:t>
              </m:r>
            </m:sub>
          </m:sSub>
          <m:r>
            <m:rPr>
              <m:sty m:val="p"/>
            </m:rPr>
            <m:t>)</m:t>
          </m:r>
          <m:r>
            <m:rPr>
              <m:sty m:val="p"/>
            </m:rPr>
            <m:t>}</m:t>
          </m:r>
          <m:r>
            <m:rPr>
              <m:sty m:val="p"/>
            </m:rPr>
            <m:t>.</m:t>
          </m:r>
          <m:r>
            <m:t>  </m:t>
          </m:r>
          <m:r>
            <m:rPr>
              <m:nor/>
              <m:sty m:val="p"/>
            </m:rPr>
            <m:t>(3.4)</m:t>
          </m:r>
        </m:oMath>
      </m:oMathPara>
    </w:p>
    <w:p>
      <w:pPr>
        <w:pStyle w:val="FirstParagraph"/>
        <w:spacing w:line="288" w:lineRule="auto" w:after="80"/>
        <w:ind w:firstLine="420"/>
      </w:pPr>
      <w:r>
        <w:rPr>
          <w:rFonts w:hint="eastAsia"/>
        </w:rPr>
        <w:t xml:space="preserve">区间采用首提示词聚类协方差与Delta法，为逐点区间。曲线保留格式密度不变，只表示模型标准化预测关联；固定密度而改变长度隐含计数变化，不能理解为保持回答其余内容不变的长度干预。</w:t>
      </w:r>
    </w:p>
    <w:p>
      <w:pPr>
        <w:pStyle w:val="BodyText"/>
        <w:spacing w:line="288" w:lineRule="auto" w:after="80"/>
        <w:ind w:firstLine="420"/>
      </w:pPr>
      <w:r>
        <w:rPr>
          <w:rFonts w:hint="eastAsia"/>
        </w:rPr>
        <w:t xml:space="preserve">其他检查分别加入月份固定效应、用AST重解析计数替换上游格式计数、改用格式有无差，以及排除长度对数比两端各1%的配对。替代计数使用原密度尺度以便解释，存在性模型单独标准化。敏感性设定一次改变一个方面，没有依据显著性筛选变量。月份主效应不代表控制了所有模型随时间变化的异质性。</w:t>
      </w:r>
    </w:p>
    <w:bookmarkEnd w:id="18"/>
    <w:bookmarkStart w:id="19" w:name="明确胜负与未决状态"/>
    <w:p>
      <w:pPr>
        <w:pStyle w:val="Heading2"/>
        <w:keepNext/>
        <w:spacing w:line="288" w:lineRule="auto" w:after="80"/>
      </w:pPr>
      <w:r>
        <w:rPr>
          <w:rStyle w:val="SectionNumber"/>
        </w:rPr>
        <w:t xml:space="preserve">3.5</w:t>
      </w:r>
      <w:r>
        <w:tab/>
      </w:r>
      <w:r>
        <w:rPr>
          <w:rFonts w:hint="eastAsia"/>
        </w:rPr>
        <w:t xml:space="preserve">明确胜负与未决状态</w:t>
      </w:r>
    </w:p>
    <w:p>
      <w:pPr>
        <w:pStyle w:val="FirstParagraph"/>
        <w:spacing w:line="288" w:lineRule="auto" w:after="80"/>
        <w:ind w:firstLine="420"/>
      </w:pPr>
      <w:r>
        <w:rPr>
          <w:rFonts w:hint="eastAsia"/>
        </w:rPr>
        <w:t xml:space="preserve">令</w:t>
      </w:r>
      <m:oMath>
        <m:sSub>
          <m:e>
            <m:r>
              <m:t>D</m:t>
            </m:r>
          </m:e>
          <m:sub>
            <m:r>
              <m:t>i</m:t>
            </m:r>
          </m:sub>
        </m:sSub>
        <m:r>
          <m:rPr>
            <m:sty m:val="p"/>
          </m:rPr>
          <m:t>=</m:t>
        </m:r>
        <m:r>
          <m:t>1</m:t>
        </m:r>
      </m:oMath>
      <w:r>
        <w:rPr>
          <w:rFonts w:hint="eastAsia"/>
        </w:rPr>
        <w:t xml:space="preserve">表示明确胜负，平局和双方差对应</w:t>
      </w:r>
      <m:oMath>
        <m:sSub>
          <m:e>
            <m:r>
              <m:t>D</m:t>
            </m:r>
          </m:e>
          <m:sub>
            <m:r>
              <m:t>i</m:t>
            </m:r>
          </m:sub>
        </m:sSub>
        <m:r>
          <m:rPr>
            <m:sty m:val="p"/>
          </m:rPr>
          <m:t>=</m:t>
        </m:r>
        <m:r>
          <m:t>0</m:t>
        </m:r>
      </m:oMath>
      <w:r>
        <w:rPr>
          <w:rFonts w:hint="eastAsia"/>
        </w:rPr>
        <w:t xml:space="preserve">。全部保留记录上拟合</w:t>
      </w:r>
    </w:p>
    <w:p>
      <w:pPr>
        <w:pStyle w:val="BodyText"/>
        <w:spacing w:line="288" w:lineRule="auto" w:after="80"/>
        <w:ind w:firstLine="420"/>
      </w:pPr>
      <m:oMathPara>
        <m:oMathParaPr>
          <m:jc m:val="center"/>
        </m:oMathParaPr>
        <m:oMath>
          <m:r>
            <m:rPr>
              <m:sty m:val="p"/>
            </m:rPr>
            <m:t>logit</m:t>
          </m:r>
          <m:r>
            <m:rPr>
              <m:sty m:val="p"/>
            </m:rPr>
            <m:t>Pr</m:t>
          </m:r>
          <m:r>
            <m:rPr>
              <m:sty m:val="p"/>
            </m:rPr>
            <m:t>(</m:t>
          </m:r>
          <m:sSub>
            <m:e>
              <m:r>
                <m:t>D</m:t>
              </m:r>
            </m:e>
            <m:sub>
              <m:r>
                <m:t>i</m:t>
              </m:r>
            </m:sub>
          </m:sSub>
          <m:r>
            <m:rPr>
              <m:sty m:val="p"/>
            </m:rPr>
            <m:t>=</m:t>
          </m:r>
          <m:r>
            <m:t>1</m:t>
          </m:r>
          <m:r>
            <m:rPr>
              <m:sty m:val="p"/>
            </m:rPr>
            <m:t>)</m:t>
          </m:r>
          <m:r>
            <m:rPr>
              <m:sty m:val="p"/>
            </m:rPr>
            <m:t>=</m:t>
          </m:r>
          <m:sSub>
            <m:e>
              <m:r>
                <m:t>α</m:t>
              </m:r>
            </m:e>
            <m:sub>
              <m:r>
                <m:t>D</m:t>
              </m:r>
            </m:sub>
          </m:sSub>
          <m:r>
            <m:rPr>
              <m:sty m:val="p"/>
            </m:rPr>
            <m:t>+</m:t>
          </m:r>
          <m:sSub>
            <m:e>
              <m:r>
                <m:t>δ</m:t>
              </m:r>
            </m:e>
            <m:sub>
              <m:r>
                <m:t>L</m:t>
              </m:r>
            </m:sub>
          </m:sSub>
          <m:sSub>
            <m:e>
              <m:r>
                <m:t>w</m:t>
              </m:r>
            </m:e>
            <m:sub>
              <m:r>
                <m:t>L</m:t>
              </m:r>
              <m:r>
                <m:t>i</m:t>
              </m:r>
            </m:sub>
          </m:sSub>
          <m:r>
            <m:rPr>
              <m:sty m:val="p"/>
            </m:rPr>
            <m:t>+</m:t>
          </m:r>
          <m:nary>
            <m:naryPr>
              <m:chr m:val="∑"/>
              <m:limLoc m:val="undOvr"/>
              <m:subHide m:val="off"/>
              <m:supHide m:val="on"/>
            </m:naryPr>
            <m:sub>
              <m:r>
                <m:t>f</m:t>
              </m:r>
            </m:sub>
            <m:sup>
              <m:r>
                <m:t>​</m:t>
              </m:r>
            </m:sup>
            <m:e>
              <m:sSub>
                <m:e>
                  <m:r>
                    <m:t>δ</m:t>
                  </m:r>
                </m:e>
                <m:sub>
                  <m:r>
                    <m:t>f</m:t>
                  </m:r>
                </m:sub>
              </m:sSub>
            </m:e>
          </m:nary>
          <m:sSub>
            <m:e>
              <m:r>
                <m:t>w</m:t>
              </m:r>
            </m:e>
            <m:sub>
              <m:r>
                <m:t>f</m:t>
              </m:r>
              <m:r>
                <m:t>i</m:t>
              </m:r>
            </m:sub>
          </m:sSub>
          <m:r>
            <m:rPr>
              <m:sty m:val="p"/>
            </m:rPr>
            <m:t>+</m:t>
          </m:r>
          <m:sSubSup>
            <m:e>
              <m:r>
                <m:rPr>
                  <m:sty m:val="b"/>
                </m:rPr>
                <m:t>γ</m:t>
              </m:r>
            </m:e>
            <m:sub>
              <m:r>
                <m:t>D</m:t>
              </m:r>
            </m:sub>
            <m:sup>
              <m:r>
                <m:rPr>
                  <m:sty m:val="p"/>
                </m:rPr>
                <m:t>⊤</m:t>
              </m:r>
            </m:sup>
          </m:sSubSup>
          <m:sSub>
            <m:e>
              <m:r>
                <m:rPr>
                  <m:sty m:val="b"/>
                </m:rPr>
                <m:t>X</m:t>
              </m:r>
            </m:e>
            <m:sub>
              <m:r>
                <m:t>i</m:t>
              </m:r>
            </m:sub>
          </m:sSub>
          <m:r>
            <m:rPr>
              <m:sty m:val="p"/>
            </m:rPr>
            <m:t>+</m:t>
          </m:r>
          <m:sSub>
            <m:e>
              <m:r>
                <m:t>ϕ</m:t>
              </m:r>
            </m:e>
            <m:sub>
              <m:sSub>
                <m:e>
                  <m:r>
                    <m:t>m</m:t>
                  </m:r>
                </m:e>
                <m:sub>
                  <m:r>
                    <m:t>A</m:t>
                  </m:r>
                  <m:r>
                    <m:t>i</m:t>
                  </m:r>
                </m:sub>
              </m:sSub>
            </m:sub>
          </m:sSub>
          <m:r>
            <m:rPr>
              <m:sty m:val="p"/>
            </m:rPr>
            <m:t>+</m:t>
          </m:r>
          <m:sSub>
            <m:e>
              <m:r>
                <m:t>ϕ</m:t>
              </m:r>
            </m:e>
            <m:sub>
              <m:sSub>
                <m:e>
                  <m:r>
                    <m:t>m</m:t>
                  </m:r>
                </m:e>
                <m:sub>
                  <m:r>
                    <m:t>B</m:t>
                  </m:r>
                  <m:r>
                    <m:t>i</m:t>
                  </m:r>
                </m:sub>
              </m:sSub>
            </m:sub>
          </m:sSub>
          <m:r>
            <m:rPr>
              <m:sty m:val="p"/>
            </m:rPr>
            <m:t>+</m:t>
          </m:r>
          <m:sSub>
            <m:e>
              <m:r>
                <m:t>λ</m:t>
              </m:r>
            </m:e>
            <m:sub>
              <m:sSub>
                <m:e>
                  <m:r>
                    <m:t>t</m:t>
                  </m:r>
                </m:e>
                <m:sub>
                  <m:r>
                    <m:t>i</m:t>
                  </m:r>
                </m:sub>
              </m:sSub>
            </m:sub>
          </m:sSub>
          <m:r>
            <m:rPr>
              <m:sty m:val="p"/>
            </m:rPr>
            <m:t>,</m:t>
          </m:r>
          <m:r>
            <m:t>  </m:t>
          </m:r>
          <m:r>
            <m:rPr>
              <m:nor/>
              <m:sty m:val="p"/>
            </m:rPr>
            <m:t>(3.5)</m:t>
          </m:r>
        </m:oMath>
      </m:oMathPara>
    </w:p>
    <w:p>
      <w:pPr>
        <w:pStyle w:val="FirstParagraph"/>
        <w:spacing w:line="288" w:lineRule="auto" w:after="80"/>
        <w:ind w:firstLine="420"/>
      </w:pPr>
      <w:r>
        <w:rPr>
          <w:rFonts w:hint="eastAsia"/>
        </w:rPr>
        <w:t xml:space="preserve">其中</w:t>
      </w:r>
      <m:oMath>
        <m:r>
          <m:t>w</m:t>
        </m:r>
      </m:oMath>
      <w:r>
        <w:rPr>
          <w:rFonts w:hint="eastAsia"/>
        </w:rPr>
        <w:t xml:space="preserve">为长度对数比及格式密度差绝对值在全部保留样本中的标准化量，</w:t>
      </w:r>
      <m:oMath>
        <m:sSub>
          <m:e>
            <m:r>
              <m:t>λ</m:t>
            </m:r>
          </m:e>
          <m:sub>
            <m:sSub>
              <m:e>
                <m:r>
                  <m:t>t</m:t>
                </m:r>
              </m:e>
              <m:sub>
                <m:r>
                  <m:t>i</m:t>
                </m:r>
              </m:sub>
            </m:sSub>
          </m:sub>
        </m:sSub>
      </m:oMath>
      <w:r>
        <w:rPr>
          <w:rFonts w:hint="eastAsia"/>
        </w:rPr>
        <w:t xml:space="preserve">为月份项；模型身份以加和而非差分编码，使方程在A/B交换后不变。此方程描述是否形成明确选择，与条件胜负模型共同区分两个研究对象。虽然</w:t>
      </w:r>
      <m:oMath>
        <m:r>
          <m:rPr>
            <m:sty m:val="p"/>
          </m:rPr>
          <m:t>Pr</m:t>
        </m:r>
        <m:r>
          <m:rPr>
            <m:sty m:val="p"/>
          </m:rPr>
          <m:t>(</m:t>
        </m:r>
        <m:r>
          <m:rPr>
            <m:nor/>
            <m:sty m:val="p"/>
          </m:rPr>
          <m:t>A胜</m:t>
        </m:r>
        <m:r>
          <m:rPr>
            <m:sty m:val="p"/>
          </m:rPr>
          <m:t>)</m:t>
        </m:r>
        <m:r>
          <m:rPr>
            <m:sty m:val="p"/>
          </m:rPr>
          <m:t>=</m:t>
        </m:r>
        <m:r>
          <m:rPr>
            <m:sty m:val="p"/>
          </m:rPr>
          <m:t>Pr</m:t>
        </m:r>
        <m:r>
          <m:rPr>
            <m:sty m:val="p"/>
          </m:rPr>
          <m:t>(</m:t>
        </m:r>
        <m:r>
          <m:t>D</m:t>
        </m:r>
        <m:r>
          <m:rPr>
            <m:sty m:val="p"/>
          </m:rPr>
          <m:t>=</m:t>
        </m:r>
        <m:r>
          <m:t>1</m:t>
        </m:r>
        <m:r>
          <m:rPr>
            <m:sty m:val="p"/>
          </m:rPr>
          <m:t>)</m:t>
        </m:r>
        <m:r>
          <m:rPr>
            <m:sty m:val="p"/>
          </m:rPr>
          <m:t>Pr</m:t>
        </m:r>
        <m:r>
          <m:rPr>
            <m:sty m:val="p"/>
          </m:rPr>
          <m:t>(</m:t>
        </m:r>
        <m:r>
          <m:rPr>
            <m:nor/>
            <m:sty m:val="p"/>
          </m:rPr>
          <m:t>A胜</m:t>
        </m:r>
        <m:r>
          <m:rPr>
            <m:sty m:val="p"/>
          </m:rPr>
          <m:t>∣</m:t>
        </m:r>
        <m:r>
          <m:t>D</m:t>
        </m:r>
        <m:r>
          <m:rPr>
            <m:sty m:val="p"/>
          </m:rPr>
          <m:t>=</m:t>
        </m:r>
        <m:r>
          <m:t>1</m:t>
        </m:r>
        <m:r>
          <m:rPr>
            <m:sty m:val="p"/>
          </m:rPr>
          <m:t>)</m:t>
        </m:r>
      </m:oMath>
      <w:r>
        <w:rPr>
          <w:rFonts w:hint="eastAsia"/>
        </w:rPr>
        <w:t xml:space="preserve">，增加状态方程并不能自动纠正未观测混杂或样本选择偏差。平局和双方差仍分别报告，不把二者解释为同一种评价。</w:t>
      </w:r>
    </w:p>
    <w:bookmarkEnd w:id="19"/>
    <w:bookmarkStart w:id="20" w:name="审计分层"/>
    <w:p>
      <w:pPr>
        <w:pStyle w:val="Heading2"/>
        <w:keepNext/>
        <w:spacing w:line="288" w:lineRule="auto" w:after="80"/>
      </w:pPr>
      <w:r>
        <w:rPr>
          <w:rStyle w:val="SectionNumber"/>
        </w:rPr>
        <w:t xml:space="preserve">3.6</w:t>
      </w:r>
      <w:r>
        <w:tab/>
      </w:r>
      <w:r>
        <w:rPr>
          <w:rFonts w:hint="eastAsia"/>
        </w:rPr>
        <w:t xml:space="preserve">审计分层</w:t>
      </w:r>
    </w:p>
    <w:p>
      <w:pPr>
        <w:pStyle w:val="FirstParagraph"/>
        <w:spacing w:line="288" w:lineRule="auto" w:after="80"/>
        <w:ind w:firstLine="420"/>
      </w:pPr>
      <w:r>
        <w:rPr>
          <w:rFonts w:hint="eastAsia"/>
        </w:rPr>
        <w:t xml:space="preserve">定义无方向长度比</w:t>
      </w:r>
    </w:p>
    <w:p>
      <w:pPr>
        <w:pStyle w:val="BodyText"/>
        <w:spacing w:line="288" w:lineRule="auto" w:after="80"/>
        <w:ind w:firstLine="420"/>
      </w:pPr>
      <m:oMathPara>
        <m:oMathParaPr>
          <m:jc m:val="center"/>
        </m:oMathParaPr>
        <m:oMath>
          <m:sSub>
            <m:e>
              <m:r>
                <m:t>R</m:t>
              </m:r>
            </m:e>
            <m:sub>
              <m:r>
                <m:t>i</m:t>
              </m:r>
            </m:sub>
          </m:sSub>
          <m:r>
            <m:rPr>
              <m:sty m:val="p"/>
            </m:rPr>
            <m:t>=</m:t>
          </m:r>
          <m:f>
            <m:fPr>
              <m:type m:val="bar"/>
            </m:fPr>
            <m:num>
              <m:r>
                <m:rPr>
                  <m:sty m:val="p"/>
                </m:rPr>
                <m:t>max</m:t>
              </m:r>
              <m:r>
                <m:rPr>
                  <m:sty m:val="p"/>
                </m:rPr>
                <m:t>(</m:t>
              </m:r>
              <m:sSub>
                <m:e>
                  <m:r>
                    <m:t>L</m:t>
                  </m:r>
                </m:e>
                <m:sub>
                  <m:r>
                    <m:t>A</m:t>
                  </m:r>
                  <m:r>
                    <m:t>i</m:t>
                  </m:r>
                </m:sub>
              </m:sSub>
              <m:r>
                <m:rPr>
                  <m:sty m:val="p"/>
                </m:rPr>
                <m:t>,</m:t>
              </m:r>
              <m:sSub>
                <m:e>
                  <m:r>
                    <m:t>L</m:t>
                  </m:r>
                </m:e>
                <m:sub>
                  <m:r>
                    <m:t>B</m:t>
                  </m:r>
                  <m:r>
                    <m:t>i</m:t>
                  </m:r>
                </m:sub>
              </m:sSub>
              <m:r>
                <m:rPr>
                  <m:sty m:val="p"/>
                </m:rPr>
                <m:t>)</m:t>
              </m:r>
            </m:num>
            <m:den>
              <m:r>
                <m:rPr>
                  <m:sty m:val="p"/>
                </m:rPr>
                <m:t>min</m:t>
              </m:r>
              <m:r>
                <m:rPr>
                  <m:sty m:val="p"/>
                </m:rPr>
                <m:t>(</m:t>
              </m:r>
              <m:sSub>
                <m:e>
                  <m:r>
                    <m:t>L</m:t>
                  </m:r>
                </m:e>
                <m:sub>
                  <m:r>
                    <m:t>A</m:t>
                  </m:r>
                  <m:r>
                    <m:t>i</m:t>
                  </m:r>
                </m:sub>
              </m:sSub>
              <m:r>
                <m:rPr>
                  <m:sty m:val="p"/>
                </m:rPr>
                <m:t>,</m:t>
              </m:r>
              <m:sSub>
                <m:e>
                  <m:r>
                    <m:t>L</m:t>
                  </m:r>
                </m:e>
                <m:sub>
                  <m:r>
                    <m:t>B</m:t>
                  </m:r>
                  <m:r>
                    <m:t>i</m:t>
                  </m:r>
                </m:sub>
              </m:sSub>
              <m:r>
                <m:rPr>
                  <m:sty m:val="p"/>
                </m:rPr>
                <m:t>)</m:t>
              </m:r>
            </m:den>
          </m:f>
          <m:r>
            <m:rPr>
              <m:sty m:val="p"/>
            </m:rPr>
            <m:t>,</m:t>
          </m:r>
          <m:r>
            <m:t>  </m:t>
          </m:r>
          <m:r>
            <m:rPr>
              <m:nor/>
              <m:sty m:val="p"/>
            </m:rPr>
            <m:t>(3.6)</m:t>
          </m:r>
        </m:oMath>
      </m:oMathPara>
    </w:p>
    <w:p>
      <w:pPr>
        <w:pStyle w:val="FirstParagraph"/>
        <w:spacing w:line="288" w:lineRule="auto" w:after="80"/>
        <w:ind w:firstLine="420"/>
      </w:pPr>
      <w:r>
        <w:rPr>
          <w:rFonts w:hint="eastAsia"/>
        </w:rPr>
        <w:t xml:space="preserve">按</w:t>
      </w:r>
      <m:oMath>
        <m:r>
          <m:t>R</m:t>
        </m:r>
        <m:r>
          <m:rPr>
            <m:sty m:val="p"/>
          </m:rPr>
          <m:t>≤</m:t>
        </m:r>
        <m:r>
          <m:t>1.25</m:t>
        </m:r>
      </m:oMath>
      <w:r>
        <w:t xml:space="preserve">、</w:t>
      </w:r>
      <m:oMath>
        <m:r>
          <m:t>1.25</m:t>
        </m:r>
        <m:r>
          <m:rPr>
            <m:sty m:val="p"/>
          </m:rPr>
          <m:t>&lt;</m:t>
        </m:r>
        <m:r>
          <m:t>R</m:t>
        </m:r>
        <m:r>
          <m:rPr>
            <m:sty m:val="p"/>
          </m:rPr>
          <m:t>≤</m:t>
        </m:r>
        <m:r>
          <m:t>2</m:t>
        </m:r>
      </m:oMath>
      <w:r>
        <w:t xml:space="preserve">、</w:t>
      </w:r>
      <m:oMath>
        <m:r>
          <m:t>R</m:t>
        </m:r>
        <m:r>
          <m:rPr>
            <m:sty m:val="p"/>
          </m:rPr>
          <m:t>&gt;</m:t>
        </m:r>
        <m:r>
          <m:t>2</m:t>
        </m:r>
      </m:oMath>
      <w:r>
        <w:rPr>
          <w:rFonts w:hint="eastAsia"/>
        </w:rPr>
        <w:t xml:space="preserve">形成三个复核层，并保留各层全部评价状态。阈值为事后解释性规则，未证明最优；关联强弱只提示复核方向，不判定标签错误。第6节区分层间比较与总体争议率估计，给出相应预算分配。</w:t>
      </w:r>
    </w:p>
    <w:bookmarkEnd w:id="20"/>
    <w:bookmarkEnd w:id="21"/>
    <w:bookmarkStart w:id="35" w:name="实证结果与敏感性分析"/>
    <w:p>
      <w:pPr>
        <w:pStyle w:val="Heading1"/>
        <w:keepNext/>
        <w:spacing w:line="288" w:lineRule="auto" w:after="80"/>
      </w:pPr>
      <w:r>
        <w:rPr>
          <w:rStyle w:val="SectionNumber"/>
        </w:rPr>
        <w:t xml:space="preserve">4</w:t>
      </w:r>
      <w:r>
        <w:tab/>
      </w:r>
      <w:r>
        <w:rPr>
          <w:rFonts w:hint="eastAsia"/>
        </w:rPr>
        <w:t xml:space="preserve">实证结果与敏感性分析</w:t>
      </w:r>
    </w:p>
    <w:bookmarkStart w:id="27" w:name="描述结果及主模型"/>
    <w:p>
      <w:pPr>
        <w:pStyle w:val="Heading2"/>
        <w:keepNext/>
        <w:spacing w:line="288" w:lineRule="auto" w:after="80"/>
      </w:pPr>
      <w:r>
        <w:rPr>
          <w:rStyle w:val="SectionNumber"/>
        </w:rPr>
        <w:t xml:space="preserve">4.1</w:t>
      </w:r>
      <w:r>
        <w:tab/>
      </w:r>
      <w:r>
        <w:rPr>
          <w:rFonts w:hint="eastAsia"/>
        </w:rPr>
        <w:t xml:space="preserve">描述结果及主模型</w:t>
      </w:r>
    </w:p>
    <w:p>
      <w:pPr>
        <w:pStyle w:val="FirstParagraph"/>
        <w:spacing w:line="288" w:lineRule="auto" w:after="80"/>
        <w:ind w:firstLine="420"/>
      </w:pPr>
      <w:r>
        <w:rPr>
          <w:rFonts w:hint="eastAsia"/>
        </w:rPr>
        <w:t xml:space="preserve">明确胜负样本中有187对等长，78,772对不等长；较长回答获胜49,130对，占62.37%。胜者减败者的中位长度差为125</w:t>
      </w:r>
      <w:r>
        <w:t xml:space="preserve"> </w:t>
      </w:r>
      <w:r>
        <w:rPr>
          <w:rFonts w:hint="eastAsia"/>
        </w:rPr>
        <w:t xml:space="preserve">tokens。标题、粗体、列表密度较高者的未调整获胜比例分别为55.30%、55.80%、50.33%，各自非零差分母为49,087、70,187和69,296。这些描述比例不衡量独立格式作用。</w:t>
      </w:r>
    </w:p>
    <w:p>
      <w:pPr>
        <w:pStyle w:val="BodyText"/>
        <w:spacing w:line="288" w:lineRule="auto" w:after="80"/>
        <w:ind w:firstLine="420"/>
      </w:pPr>
      <w:r>
        <w:rPr>
          <w:rFonts w:hint="eastAsia"/>
        </w:rPr>
        <w:t xml:space="preserve">全量比较图包含52个模型，形成一个连通分量；主设计矩阵秩为90，英语和单轮分别为69和89。拟合收敛，未出现分离警告，更换参考模型后焦点系数和预测概率保持数值一致；尚未完成线性规划式分离检验。首提示词有75,862簇，其中73,826为单例，最大簇10条；完整序列有76,213簇；无序模型对有1,201簇，最大簇267条。提示词重复较少解释了其标准误与HC0接近，但不能据此排除同用户跨提示词的依赖。</w:t>
      </w:r>
    </w:p>
    <w:p>
      <w:pPr>
        <w:pStyle w:val="BodyText"/>
        <w:spacing w:line="288" w:lineRule="auto" w:after="80"/>
        <w:ind w:firstLine="420"/>
      </w:pPr>
      <w:r>
        <w:rPr>
          <w:rFonts w:hint="eastAsia"/>
        </w:rPr>
        <w:t xml:space="preserve">表2采用首提示词聚类推断。全量长度OR为1.6196；其单位为长度对数比增加全量标准差1.0224，相当于原长度比乘以约2.780，不是增加一个token。该OR是线性设定的平均斜率摘要，后文的非线性检验表明不能将其视为所有长度区间共同适用的恒定关联。</w:t>
      </w:r>
    </w:p>
    <w:bookmarkStart w:id="22" w:name="tab:reg"/>
    <w:p>
      <w:pPr>
        <w:pStyle w:val="TableCaption"/>
        <w:spacing w:line="288" w:lineRule="auto" w:after="80"/>
      </w:pPr>
      <w:r>
        <w:rPr>
          <w:rFonts w:hint="eastAsia"/>
        </w:rPr>
        <w:t xml:space="preserve">表2</w:t>
      </w:r>
      <w:r>
        <w:t xml:space="preserve"> </w:t>
      </w:r>
      <w:r>
        <w:rPr>
          <w:rFonts w:hint="eastAsia"/>
        </w:rPr>
        <w:t xml:space="preserve">统一标准化下的条件选择关联</w:t>
      </w:r>
    </w:p>
    <w:tbl>
      <w:tblPr>
        <w:tblStyle w:val="Table"/>
        <w:tblW w:type="auto" w:w="0"/>
        <w:tblLayout w:type="fixed"/>
        <w:tblLook w:firstRow="1" w:lastRow="0" w:firstColumn="0" w:lastColumn="0" w:noHBand="0" w:noVBand="0" w:val="0020"/>
        <w:tblCaption w:val="表2 统一标准化下的条件选择关联"/>
      </w:tblPr>
      <w:tblGrid>
        <w:gridCol w:w="1584"/>
        <w:gridCol w:w="1584"/>
        <w:gridCol w:w="1584"/>
        <w:gridCol w:w="1584"/>
        <w:gridCol w:w="1584"/>
      </w:tblGrid>
      <w:tr>
        <w:trPr>
          <w:tblHeader w:val="on"/>
          <w:tblHeader/>
          <w:cantSplit/>
        </w:trPr>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pStyle w:val="Compact"/>
              <w:spacing w:after="40" w:line="264" w:lineRule="auto"/>
              <w:ind w:firstLine="0"/>
              <w:jc w:val="left"/>
            </w:pPr>
            <w:r>
              <w:rPr>
                <w:rFonts w:hint="eastAsia"/>
                <w:sz w:val="18"/>
              </w:rPr>
              <w:t xml:space="preserve">样本</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pStyle w:val="Compact"/>
              <w:spacing w:after="40" w:line="264" w:lineRule="auto"/>
              <w:ind w:firstLine="0"/>
              <w:jc w:val="left"/>
            </w:pPr>
            <w:r>
              <w:rPr>
                <w:rFonts w:hint="eastAsia"/>
                <w:sz w:val="18"/>
              </w:rPr>
              <w:t xml:space="preserve">特征</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pStyle w:val="Compact"/>
              <w:spacing w:after="40" w:line="264" w:lineRule="auto"/>
              <w:ind w:firstLine="0"/>
              <w:jc w:val="right"/>
            </w:pPr>
            <w:r>
              <w:rPr>
                <w:sz w:val="18"/>
              </w:rPr>
              <w:t xml:space="preserve">OR</w:t>
            </w:r>
          </w:p>
        </w:tc>
        <w:tc>
          <w:tcPr>
            <w:tcW w:type="dxa" w:w="3061"/>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pStyle w:val="Compact"/>
              <w:spacing w:after="40" w:line="264" w:lineRule="auto"/>
              <w:ind w:firstLine="0"/>
              <w:jc w:val="right"/>
            </w:pPr>
            <w:r>
              <w:rPr>
                <w:rFonts w:hint="eastAsia"/>
                <w:sz w:val="18"/>
              </w:rPr>
              <w:t xml:space="preserve">95%区间</w:t>
            </w:r>
          </w:p>
        </w:tc>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pStyle w:val="Compact"/>
              <w:spacing w:after="40" w:line="264" w:lineRule="auto"/>
              <w:ind w:firstLine="0"/>
              <w:jc w:val="right"/>
            </w:pPr>
            <w:r>
              <w:rPr>
                <w:sz w:val="18"/>
              </w:rPr>
              <w:t xml:space="preserve">Holm</w:t>
            </w:r>
            <w:r>
              <w:rPr>
                <w:sz w:val="18"/>
              </w:rPr>
              <w:t xml:space="preserve"> </w:t>
            </w:r>
            <m:oMath>
              <m:r>
                <m:t>p</m:t>
              </m:r>
            </m:oMath>
          </w:p>
        </w:tc>
      </w:tr>
      <w:tr>
        <w:trPr>
          <w:cantSplit/>
        </w:trPr>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全量</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长度对数比</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1.6196</w:t>
            </w:r>
          </w:p>
        </w:tc>
        <w:tc>
          <w:tcPr>
            <w:tcW w:type="dxa" w:w="306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[1.5798, 1.6603]</w:t>
            </w:r>
          </w:p>
        </w:tc>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m:oMath>
              <m:r>
                <m:rPr>
                  <m:sty m:val="p"/>
                </m:rPr>
                <m:t>&lt;</m:t>
              </m:r>
              <m:r>
                <m:t>0.001</m:t>
              </m:r>
            </m:oMath>
          </w:p>
        </w:tc>
      </w:tr>
      <w:tr>
        <w:trPr>
          <w:cantSplit/>
        </w:trPr>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全量</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标题密度差</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1.0282</w:t>
            </w:r>
          </w:p>
        </w:tc>
        <w:tc>
          <w:tcPr>
            <w:tcW w:type="dxa" w:w="306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[1.0091, 1.0477]</w:t>
            </w:r>
          </w:p>
        </w:tc>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0.0218</w:t>
            </w:r>
          </w:p>
        </w:tc>
      </w:tr>
      <w:tr>
        <w:trPr>
          <w:cantSplit/>
        </w:trPr>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全量</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粗体密度差</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1.0556</w:t>
            </w:r>
          </w:p>
        </w:tc>
        <w:tc>
          <w:tcPr>
            <w:tcW w:type="dxa" w:w="306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[1.0339, 1.0778]</w:t>
            </w:r>
          </w:p>
        </w:tc>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m:oMath>
              <m:r>
                <m:rPr>
                  <m:sty m:val="p"/>
                </m:rPr>
                <m:t>&lt;</m:t>
              </m:r>
              <m:r>
                <m:t>0.001</m:t>
              </m:r>
            </m:oMath>
          </w:p>
        </w:tc>
      </w:tr>
      <w:tr>
        <w:trPr>
          <w:cantSplit/>
        </w:trPr>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全量</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列表密度差</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0.9872</w:t>
            </w:r>
          </w:p>
        </w:tc>
        <w:tc>
          <w:tcPr>
            <w:tcW w:type="dxa" w:w="306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[0.9703, 1.0043]</w:t>
            </w:r>
          </w:p>
        </w:tc>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0.5652</w:t>
            </w:r>
          </w:p>
        </w:tc>
      </w:tr>
      <w:tr>
        <w:trPr>
          <w:cantSplit/>
        </w:trPr>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英语</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长度对数比</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1.5866</w:t>
            </w:r>
          </w:p>
        </w:tc>
        <w:tc>
          <w:tcPr>
            <w:tcW w:type="dxa" w:w="306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[1.5336, 1.6415]</w:t>
            </w:r>
          </w:p>
        </w:tc>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m:oMath>
              <m:r>
                <m:rPr>
                  <m:sty m:val="p"/>
                </m:rPr>
                <m:t>&lt;</m:t>
              </m:r>
              <m:r>
                <m:t>0.001</m:t>
              </m:r>
            </m:oMath>
          </w:p>
        </w:tc>
      </w:tr>
      <w:tr>
        <w:trPr>
          <w:cantSplit/>
        </w:trPr>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英语</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标题密度差</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1.0107</w:t>
            </w:r>
          </w:p>
        </w:tc>
        <w:tc>
          <w:tcPr>
            <w:tcW w:type="dxa" w:w="306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[0.9885, 1.0335]</w:t>
            </w:r>
          </w:p>
        </w:tc>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0.7162</w:t>
            </w:r>
          </w:p>
        </w:tc>
      </w:tr>
      <w:tr>
        <w:trPr>
          <w:cantSplit/>
        </w:trPr>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英语</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粗体密度差</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1.0701</w:t>
            </w:r>
          </w:p>
        </w:tc>
        <w:tc>
          <w:tcPr>
            <w:tcW w:type="dxa" w:w="306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[1.0438, 1.0971]</w:t>
            </w:r>
          </w:p>
        </w:tc>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m:oMath>
              <m:r>
                <m:rPr>
                  <m:sty m:val="p"/>
                </m:rPr>
                <m:t>&lt;</m:t>
              </m:r>
              <m:r>
                <m:t>0.001</m:t>
              </m:r>
            </m:oMath>
          </w:p>
        </w:tc>
      </w:tr>
      <w:tr>
        <w:trPr>
          <w:cantSplit/>
        </w:trPr>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英语</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列表密度差</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0.9894</w:t>
            </w:r>
          </w:p>
        </w:tc>
        <w:tc>
          <w:tcPr>
            <w:tcW w:type="dxa" w:w="306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[0.9695, 1.0098]</w:t>
            </w:r>
          </w:p>
        </w:tc>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0.7162</w:t>
            </w:r>
          </w:p>
        </w:tc>
      </w:tr>
      <w:tr>
        <w:trPr>
          <w:cantSplit/>
        </w:trPr>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单轮</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长度对数比</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1.6303</w:t>
            </w:r>
          </w:p>
        </w:tc>
        <w:tc>
          <w:tcPr>
            <w:tcW w:type="dxa" w:w="306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[1.5876, 1.6742]</w:t>
            </w:r>
          </w:p>
        </w:tc>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m:oMath>
              <m:r>
                <m:rPr>
                  <m:sty m:val="p"/>
                </m:rPr>
                <m:t>&lt;</m:t>
              </m:r>
              <m:r>
                <m:t>0.001</m:t>
              </m:r>
            </m:oMath>
          </w:p>
        </w:tc>
      </w:tr>
      <w:tr>
        <w:trPr>
          <w:cantSplit/>
        </w:trPr>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单轮</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标题密度差</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1.0211</w:t>
            </w:r>
          </w:p>
        </w:tc>
        <w:tc>
          <w:tcPr>
            <w:tcW w:type="dxa" w:w="306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[1.0010, 1.0417]</w:t>
            </w:r>
          </w:p>
        </w:tc>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0.1987</w:t>
            </w:r>
          </w:p>
        </w:tc>
      </w:tr>
      <w:tr>
        <w:trPr>
          <w:cantSplit/>
        </w:trPr>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单轮</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粗体密度差</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1.0574</w:t>
            </w:r>
          </w:p>
        </w:tc>
        <w:tc>
          <w:tcPr>
            <w:tcW w:type="dxa" w:w="306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[1.0343, 1.0811]</w:t>
            </w:r>
          </w:p>
        </w:tc>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m:oMath>
              <m:r>
                <m:rPr>
                  <m:sty m:val="p"/>
                </m:rPr>
                <m:t>&lt;</m:t>
              </m:r>
              <m:r>
                <m:t>0.001</m:t>
              </m:r>
            </m:oMath>
          </w:p>
        </w:tc>
      </w:tr>
      <w:tr>
        <w:trPr>
          <w:cantSplit/>
        </w:trPr>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单轮</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列表密度差</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0.9890</w:t>
            </w:r>
          </w:p>
        </w:tc>
        <w:tc>
          <w:tcPr>
            <w:tcW w:type="dxa" w:w="306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[0.9710, 1.0074]</w:t>
            </w:r>
          </w:p>
        </w:tc>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0.7162</w:t>
            </w:r>
          </w:p>
        </w:tc>
      </w:tr>
    </w:tbl>
    <w:bookmarkEnd w:id="22"/>
    <w:p>
      <w:pPr>
        <w:pStyle w:val="BodyText"/>
        <w:spacing w:line="288" w:lineRule="auto" w:after="80"/>
        <w:ind w:firstLine="420"/>
      </w:pPr>
      <w:r>
        <w:rPr>
          <w:rFonts w:hint="eastAsia"/>
        </w:rPr>
        <w:t xml:space="preserve">注：全量78,959对，英语42,001对，单轮67,608对；首提示词聚类。12项为一个校正家族。</w:t>
      </w:r>
    </w:p>
    <w:p>
      <w:pPr>
        <w:pStyle w:val="BodyText"/>
        <w:spacing w:line="288" w:lineRule="auto" w:after="80"/>
        <w:ind w:firstLine="420"/>
      </w:pPr>
      <w:r>
        <w:rPr>
          <w:rFonts w:hint="eastAsia"/>
        </w:rPr>
        <w:t xml:space="preserve">全量标题关联较弱，英语子集区间跨1，单轮标题虽逐项区间略高于1，Holm校正后仍不显著；粗体密度在三个样本中保持正关联，列表密度均缺乏明确支持。模型身份项只能吸收平均模型差异，不能测量具体回答的正确性或必要信息量。</w:t>
      </w:r>
    </w:p>
    <w:bookmarkStart w:id="26" w:name="fig:reg"/>
    <w:p>
      <w:pPr>
        <w:pStyle w:val="CaptionedFigure"/>
        <w:spacing w:line="288" w:lineRule="auto" w:after="80"/>
      </w:pPr>
      <w:r>
        <w:drawing>
          <wp:inline>
            <wp:extent cx="5334000" cy="2024050"/>
            <wp:effectExtent b="0" l="0" r="0" t="0"/>
            <wp:docPr descr="" title="" id="24" name="Picture"/>
            <a:graphic>
              <a:graphicData uri="http://schemas.openxmlformats.org/drawingml/2006/picture">
                <pic:pic>
                  <pic:nvPicPr>
                    <pic:cNvPr descr="assets/adjusted_associations.png" id="25" name="Picture"/>
                    <pic:cNvPicPr>
                      <a:picLocks noChangeArrowheads="1" noChangeAspect="1"/>
                    </pic:cNvPicPr>
                  </pic:nvPicPr>
                  <pic:blipFill>
                    <a:blip r:embed="rId23"/>
                    <a:stretch>
                      <a:fillRect/>
                    </a:stretch>
                  </pic:blipFill>
                  <pic:spPr bwMode="auto">
                    <a:xfrm>
                      <a:off x="0" y="0"/>
                      <a:ext cx="5334000" cy="2024050"/>
                    </a:xfrm>
                    <a:prstGeom prst="rect">
                      <a:avLst/>
                    </a:prstGeom>
                    <a:noFill/>
                    <a:ln w="9525">
                      <a:noFill/>
                      <a:headEnd/>
                      <a:tailEnd/>
                    </a:ln>
                  </pic:spPr>
                </pic:pic>
              </a:graphicData>
            </a:graphic>
          </wp:inline>
        </w:drawing>
      </w:r>
    </w:p>
    <w:p>
      <w:pPr>
        <w:pStyle w:val="ImageCaption"/>
        <w:spacing w:line="288" w:lineRule="auto" w:after="80"/>
      </w:pPr>
      <w:r>
        <w:rPr>
          <w:rFonts w:hint="eastAsia"/>
        </w:rPr>
        <w:t xml:space="preserve">图1</w:t>
      </w:r>
      <w:r>
        <w:t xml:space="preserve"> </w:t>
      </w:r>
      <w:r>
        <w:rPr>
          <w:rFonts w:hint="eastAsia"/>
        </w:rPr>
        <w:t xml:space="preserve">三个重叠样本的条件关联。统一标准化尺度，首提示词聚类逐项区间；左右面板横轴范围不同。</w:t>
      </w:r>
    </w:p>
    <w:bookmarkEnd w:id="26"/>
    <w:bookmarkEnd w:id="27"/>
    <w:bookmarkStart w:id="32" w:name="聚类-时间及函数形式"/>
    <w:p>
      <w:pPr>
        <w:pStyle w:val="Heading2"/>
        <w:keepNext/>
        <w:spacing w:line="288" w:lineRule="auto" w:after="80"/>
      </w:pPr>
      <w:r>
        <w:rPr>
          <w:rStyle w:val="SectionNumber"/>
        </w:rPr>
        <w:t xml:space="preserve">4.2</w:t>
      </w:r>
      <w:r>
        <w:tab/>
      </w:r>
      <w:r>
        <w:rPr>
          <w:rFonts w:hint="eastAsia"/>
        </w:rPr>
        <w:t xml:space="preserve">聚类</w:t>
      </w:r>
      <w:r>
        <w:t xml:space="preserve"> </w:t>
      </w:r>
      <w:r>
        <w:rPr>
          <w:rFonts w:hint="eastAsia"/>
        </w:rPr>
        <w:t xml:space="preserve">时间及函数形式</w:t>
      </w:r>
    </w:p>
    <w:p>
      <w:pPr>
        <w:pStyle w:val="FirstParagraph"/>
        <w:spacing w:line="288" w:lineRule="auto" w:after="80"/>
        <w:ind w:firstLine="420"/>
      </w:pPr>
      <w:r>
        <w:rPr>
          <w:rFonts w:hint="eastAsia"/>
        </w:rPr>
        <w:t xml:space="preserve">将首提示词聚类改为完整序列或模型对聚类后，全量标题仍通过各自方案的Holm校正；模型对方案的标题校正</w:t>
      </w:r>
      <m:oMath>
        <m:r>
          <m:t>p</m:t>
        </m:r>
        <m:r>
          <m:rPr>
            <m:sty m:val="p"/>
          </m:rPr>
          <m:t>=</m:t>
        </m:r>
        <m:r>
          <m:t>0.0275</m:t>
        </m:r>
      </m:oMath>
      <w:r>
        <w:rPr>
          <w:rFonts w:hint="eastAsia"/>
        </w:rPr>
        <w:t xml:space="preserve">，粗体为</w:t>
      </w:r>
      <m:oMath>
        <m:r>
          <m:t>p</m:t>
        </m:r>
        <m:r>
          <m:rPr>
            <m:sty m:val="p"/>
          </m:rPr>
          <m:t>&lt;</m:t>
        </m:r>
        <m:r>
          <m:t>0.001</m:t>
        </m:r>
      </m:oMath>
      <w:r>
        <w:rPr>
          <w:rFonts w:hint="eastAsia"/>
        </w:rPr>
        <w:t xml:space="preserve">。因此本次结果不支持</w:t>
      </w:r>
      <w:r>
        <w:rPr>
          <w:rFonts w:hint="eastAsia"/>
        </w:rPr>
        <w:t xml:space="preserve">“聚类必然使标题消失”</w:t>
      </w:r>
      <w:r>
        <w:rPr>
          <w:rFonts w:hint="eastAsia"/>
        </w:rPr>
        <w:t xml:space="preserve">的预设判断，但标题的子集敏感性仍然存在。</w:t>
      </w:r>
      <w:r>
        <w:t xml:space="preserve"> </w:t>
      </w:r>
      <w:r>
        <w:rPr>
          <w:rFonts w:hint="eastAsia"/>
        </w:rPr>
        <w:t xml:space="preserve">月份调整后的长度OR为1.6195，粗体密度为1.0556；去除长度比两端各1%后长度OR升至1.7630，说明总体线性斜率对尾部范围敏感。限制性三次样条的非线性联合检验在首提示词聚类下</w:t>
      </w:r>
      <m:oMath>
        <m:r>
          <m:t>p</m:t>
        </m:r>
        <m:r>
          <m:rPr>
            <m:sty m:val="p"/>
          </m:rPr>
          <m:t>&lt;</m:t>
        </m:r>
        <m:r>
          <m:t>0.001</m:t>
        </m:r>
      </m:oMath>
      <w:r>
        <w:rPr>
          <w:rFonts w:hint="eastAsia"/>
        </w:rPr>
        <w:t xml:space="preserve">，模型对聚类下亦</w:t>
      </w:r>
      <m:oMath>
        <m:r>
          <m:t>p</m:t>
        </m:r>
        <m:r>
          <m:rPr>
            <m:sty m:val="p"/>
          </m:rPr>
          <m:t>&lt;</m:t>
        </m:r>
        <m:r>
          <m:t>0.001</m:t>
        </m:r>
      </m:oMath>
      <w:r>
        <w:rPr>
          <w:rFonts w:hint="eastAsia"/>
        </w:rPr>
        <w:t xml:space="preserve">。原始对数比节点约为</w:t>
      </w:r>
      <m:oMath>
        <m:r>
          <m:rPr>
            <m:sty m:val="p"/>
          </m:rPr>
          <m:t>−</m:t>
        </m:r>
        <m:r>
          <m:t>1.6409</m:t>
        </m:r>
        <m:r>
          <m:rPr>
            <m:sty m:val="p"/>
          </m:rPr>
          <m:t>,</m:t>
        </m:r>
        <m:r>
          <m:rPr>
            <m:sty m:val="p"/>
          </m:rPr>
          <m:t>−</m:t>
        </m:r>
        <m:r>
          <m:t>0.3448</m:t>
        </m:r>
        <m:r>
          <m:rPr>
            <m:sty m:val="p"/>
          </m:rPr>
          <m:t>,</m:t>
        </m:r>
        <m:r>
          <m:t>0.3442</m:t>
        </m:r>
        <m:r>
          <m:rPr>
            <m:sty m:val="p"/>
          </m:rPr>
          <m:t>,</m:t>
        </m:r>
        <m:r>
          <m:t>1.6551</m:t>
        </m:r>
      </m:oMath>
      <w:r>
        <w:rPr>
          <w:rFonts w:hint="eastAsia"/>
        </w:rPr>
        <w:t xml:space="preserve">，对应长度比约为0.194、0.708、1.411、5.234。</w:t>
      </w:r>
    </w:p>
    <w:bookmarkStart w:id="31" w:name="fig:curve"/>
    <w:p>
      <w:pPr>
        <w:pStyle w:val="CaptionedFigure"/>
        <w:spacing w:line="288" w:lineRule="auto" w:after="80"/>
      </w:pPr>
      <w:r>
        <w:drawing>
          <wp:inline>
            <wp:extent cx="5334000" cy="2332463"/>
            <wp:effectExtent b="0" l="0" r="0" t="0"/>
            <wp:docPr descr="" title="" id="29" name="Picture"/>
            <a:graphic>
              <a:graphicData uri="http://schemas.openxmlformats.org/drawingml/2006/picture">
                <pic:pic>
                  <pic:nvPicPr>
                    <pic:cNvPr descr="assets/length_curve.png" id="30" name="Picture"/>
                    <pic:cNvPicPr>
                      <a:picLocks noChangeArrowheads="1" noChangeAspect="1"/>
                    </pic:cNvPicPr>
                  </pic:nvPicPr>
                  <pic:blipFill>
                    <a:blip r:embed="rId28"/>
                    <a:stretch>
                      <a:fillRect/>
                    </a:stretch>
                  </pic:blipFill>
                  <pic:spPr bwMode="auto">
                    <a:xfrm>
                      <a:off x="0" y="0"/>
                      <a:ext cx="5334000" cy="2332463"/>
                    </a:xfrm>
                    <a:prstGeom prst="rect">
                      <a:avLst/>
                    </a:prstGeom>
                    <a:noFill/>
                    <a:ln w="9525">
                      <a:noFill/>
                      <a:headEnd/>
                      <a:tailEnd/>
                    </a:ln>
                  </pic:spPr>
                </pic:pic>
              </a:graphicData>
            </a:graphic>
          </wp:inline>
        </w:drawing>
      </w:r>
    </w:p>
    <w:p>
      <w:pPr>
        <w:pStyle w:val="ImageCaption"/>
        <w:spacing w:line="288" w:lineRule="auto" w:after="80"/>
      </w:pPr>
      <w:r>
        <w:rPr>
          <w:rFonts w:hint="eastAsia"/>
        </w:rPr>
        <w:t xml:space="preserve">图2</w:t>
      </w:r>
      <w:r>
        <w:t xml:space="preserve"> </w:t>
      </w:r>
      <w:r>
        <w:rPr>
          <w:rFonts w:hint="eastAsia"/>
        </w:rPr>
        <w:t xml:space="preserve">长度与选择的标准化预测关联。阴影为首提示词聚类Delta法95%逐点区间，固定观察到的格式密度与其他协变量，横轴为A/B有方向长度比。</w:t>
      </w:r>
    </w:p>
    <w:bookmarkEnd w:id="31"/>
    <w:p>
      <w:pPr>
        <w:pStyle w:val="BodyText"/>
        <w:spacing w:line="288" w:lineRule="auto" w:after="80"/>
        <w:ind w:firstLine="420"/>
      </w:pPr>
      <w:r>
        <w:rPr>
          <w:rFonts w:hint="eastAsia"/>
        </w:rPr>
        <w:t xml:space="preserve">图2显示线性与样条在不同长度范围的拟合差异。曲线展示0.25至4的长度比，该区间位于观察长度比的1%至99%分位范围内；但边际范围内不保证全部协变量组合都有共同支持。非线性显著不自动确定最优复核阈值，也不证明某一长度比例是因果拐点。</w:t>
      </w:r>
    </w:p>
    <w:p>
      <w:pPr>
        <w:pStyle w:val="BodyText"/>
        <w:spacing w:line="288" w:lineRule="auto" w:after="80"/>
        <w:ind w:firstLine="420"/>
      </w:pPr>
      <w:r>
        <w:rPr>
          <w:rFonts w:hint="eastAsia"/>
        </w:rPr>
        <w:t xml:space="preserve">样条结果方程下，标题、粗体及列表密度OR分别为1.0297、1.0564、0.9924，三个格式项的Holm校正值依次为0.0045、</w:t>
      </w:r>
      <m:oMath>
        <m:r>
          <m:rPr>
            <m:sty m:val="p"/>
          </m:rPr>
          <m:t>&lt;</m:t>
        </m:r>
        <m:r>
          <m:t>0.001</m:t>
        </m:r>
      </m:oMath>
      <w:r>
        <w:rPr>
          <w:rFonts w:hint="eastAsia"/>
        </w:rPr>
        <w:t xml:space="preserve">、0.3855。完整敏感性表同时保留原线性基准，避免只报告符合预期的设定。</w:t>
      </w:r>
    </w:p>
    <w:bookmarkEnd w:id="32"/>
    <w:bookmarkStart w:id="34" w:name="明确选择状态与格式测量"/>
    <w:p>
      <w:pPr>
        <w:pStyle w:val="Heading2"/>
        <w:keepNext/>
        <w:spacing w:line="288" w:lineRule="auto" w:after="80"/>
      </w:pPr>
      <w:r>
        <w:rPr>
          <w:rStyle w:val="SectionNumber"/>
        </w:rPr>
        <w:t xml:space="preserve">4.3</w:t>
      </w:r>
      <w:r>
        <w:tab/>
      </w:r>
      <w:r>
        <w:rPr>
          <w:rFonts w:hint="eastAsia"/>
        </w:rPr>
        <w:t xml:space="preserve">明确选择状态与格式测量</w:t>
      </w:r>
    </w:p>
    <w:p>
      <w:pPr>
        <w:pStyle w:val="FirstParagraph"/>
        <w:spacing w:line="288" w:lineRule="auto" w:after="80"/>
        <w:ind w:firstLine="420"/>
      </w:pPr>
      <w:r>
        <w:rPr>
          <w:rFonts w:hint="eastAsia"/>
        </w:rPr>
        <w:t xml:space="preserve">平局和双方差合计29,195条，占保留样本约26.99%。表3考察是否产生明确胜负，单位为全部保留样本中绝对差指标的一个标准差。它与表2使用不同结果变量和尺度，不能横向比较OR大小或把状态模型称为选择偏差校正。</w:t>
      </w:r>
    </w:p>
    <w:bookmarkStart w:id="33" w:name="tab:decisive"/>
    <w:p>
      <w:pPr>
        <w:pStyle w:val="TableCaption"/>
        <w:spacing w:line="288" w:lineRule="auto" w:after="80"/>
      </w:pPr>
      <w:r>
        <w:rPr>
          <w:rFonts w:hint="eastAsia"/>
        </w:rPr>
        <w:t xml:space="preserve">表3</w:t>
      </w:r>
      <w:r>
        <w:t xml:space="preserve"> </w:t>
      </w:r>
      <w:r>
        <w:rPr>
          <w:rFonts w:hint="eastAsia"/>
        </w:rPr>
        <w:t xml:space="preserve">形成明确胜负的关联</w:t>
      </w:r>
    </w:p>
    <w:tbl>
      <w:tblPr>
        <w:tblStyle w:val="Table"/>
        <w:tblW w:type="auto" w:w="0"/>
        <w:tblLayout w:type="fixed"/>
        <w:tblLook w:firstRow="1" w:lastRow="0" w:firstColumn="0" w:lastColumn="0" w:noHBand="0" w:noVBand="0" w:val="0020"/>
        <w:tblCaption w:val="表3 形成明确胜负的关联"/>
      </w:tblPr>
      <w:tblGrid>
        <w:gridCol w:w="1980"/>
        <w:gridCol w:w="1980"/>
        <w:gridCol w:w="1980"/>
        <w:gridCol w:w="1980"/>
      </w:tblGrid>
      <w:tr>
        <w:trPr>
          <w:tblHeader w:val="on"/>
          <w:tblHeader/>
          <w:cantSplit/>
        </w:trPr>
        <w:tc>
          <w:tcPr>
            <w:tcW w:type="dxa" w:w="1984"/>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pStyle w:val="Compact"/>
              <w:spacing w:after="40" w:line="264" w:lineRule="auto"/>
              <w:ind w:firstLine="0"/>
              <w:jc w:val="left"/>
            </w:pPr>
            <w:r>
              <w:rPr>
                <w:rFonts w:hint="eastAsia"/>
                <w:sz w:val="18"/>
              </w:rPr>
              <w:t xml:space="preserve">特征</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pStyle w:val="Compact"/>
              <w:spacing w:after="40" w:line="264" w:lineRule="auto"/>
              <w:ind w:firstLine="0"/>
              <w:jc w:val="right"/>
            </w:pPr>
            <w:r>
              <w:rPr>
                <w:sz w:val="18"/>
              </w:rPr>
              <w:t xml:space="preserve">OR</w:t>
            </w:r>
          </w:p>
        </w:tc>
        <w:tc>
          <w:tcPr>
            <w:tcW w:type="dxa" w:w="2551"/>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pStyle w:val="Compact"/>
              <w:spacing w:after="40" w:line="264" w:lineRule="auto"/>
              <w:ind w:firstLine="0"/>
              <w:jc w:val="right"/>
            </w:pPr>
            <w:r>
              <w:rPr>
                <w:rFonts w:hint="eastAsia"/>
                <w:sz w:val="18"/>
              </w:rPr>
              <w:t xml:space="preserve">95%区间</w:t>
            </w:r>
          </w:p>
        </w:tc>
        <w:tc>
          <w:tcPr>
            <w:tcW w:type="dxa" w:w="2494"/>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pStyle w:val="Compact"/>
              <w:spacing w:after="40" w:line="264" w:lineRule="auto"/>
              <w:ind w:firstLine="0"/>
              <w:jc w:val="right"/>
            </w:pPr>
            <w:r>
              <w:rPr>
                <w:sz w:val="18"/>
              </w:rPr>
              <w:t xml:space="preserve">Holm</w:t>
            </w:r>
            <w:r>
              <w:rPr>
                <w:sz w:val="18"/>
              </w:rPr>
              <w:t xml:space="preserve"> </w:t>
            </w:r>
            <m:oMath>
              <m:r>
                <m:t>p</m:t>
              </m:r>
            </m:oMath>
          </w:p>
        </w:tc>
      </w:tr>
      <w:tr>
        <w:trPr>
          <w:cantSplit/>
        </w:trPr>
        <w:tc>
          <w:tcPr>
            <w:tcW w:type="dxa" w:w="198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长度对数比绝对值</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1.2137</w:t>
            </w:r>
          </w:p>
        </w:tc>
        <w:tc>
          <w:tcPr>
            <w:tcW w:type="dxa" w:w="255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[1.1923, 1.2354]</w:t>
            </w:r>
          </w:p>
        </w:tc>
        <w:tc>
          <w:tcPr>
            <w:tcW w:type="dxa" w:w="249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m:oMath>
              <m:r>
                <m:rPr>
                  <m:sty m:val="p"/>
                </m:rPr>
                <m:t>&lt;</m:t>
              </m:r>
              <m:r>
                <m:t>0.001</m:t>
              </m:r>
            </m:oMath>
          </w:p>
        </w:tc>
      </w:tr>
      <w:tr>
        <w:trPr>
          <w:cantSplit/>
        </w:trPr>
        <w:tc>
          <w:tcPr>
            <w:tcW w:type="dxa" w:w="198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标题密度差绝对值</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1.0357</w:t>
            </w:r>
          </w:p>
        </w:tc>
        <w:tc>
          <w:tcPr>
            <w:tcW w:type="dxa" w:w="255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[1.0200, 1.0517]</w:t>
            </w:r>
          </w:p>
        </w:tc>
        <w:tc>
          <w:tcPr>
            <w:tcW w:type="dxa" w:w="249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m:oMath>
              <m:r>
                <m:rPr>
                  <m:sty m:val="p"/>
                </m:rPr>
                <m:t>&lt;</m:t>
              </m:r>
              <m:r>
                <m:t>0.001</m:t>
              </m:r>
            </m:oMath>
          </w:p>
        </w:tc>
      </w:tr>
      <w:tr>
        <w:trPr>
          <w:cantSplit/>
        </w:trPr>
        <w:tc>
          <w:tcPr>
            <w:tcW w:type="dxa" w:w="198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粗体密度差绝对值</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0.9970</w:t>
            </w:r>
          </w:p>
        </w:tc>
        <w:tc>
          <w:tcPr>
            <w:tcW w:type="dxa" w:w="255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[0.9814, 1.0127]</w:t>
            </w:r>
          </w:p>
        </w:tc>
        <w:tc>
          <w:tcPr>
            <w:tcW w:type="dxa" w:w="249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0.7045</w:t>
            </w:r>
          </w:p>
        </w:tc>
      </w:tr>
      <w:tr>
        <w:trPr>
          <w:cantSplit/>
        </w:trPr>
        <w:tc>
          <w:tcPr>
            <w:tcW w:type="dxa" w:w="198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列表密度差绝对值</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1.0526</w:t>
            </w:r>
          </w:p>
        </w:tc>
        <w:tc>
          <w:tcPr>
            <w:tcW w:type="dxa" w:w="255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[1.0355, 1.0700]</w:t>
            </w:r>
          </w:p>
        </w:tc>
        <w:tc>
          <w:tcPr>
            <w:tcW w:type="dxa" w:w="249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m:oMath>
              <m:r>
                <m:rPr>
                  <m:sty m:val="p"/>
                </m:rPr>
                <m:t>&lt;</m:t>
              </m:r>
              <m:r>
                <m:t>0.001</m:t>
              </m:r>
            </m:oMath>
          </w:p>
        </w:tc>
      </w:tr>
    </w:tbl>
    <w:bookmarkEnd w:id="33"/>
    <w:p>
      <w:pPr>
        <w:pStyle w:val="BodyText"/>
        <w:spacing w:line="288" w:lineRule="auto" w:after="80"/>
        <w:ind w:firstLine="420"/>
      </w:pPr>
      <w:r>
        <w:rPr>
          <w:rFonts w:hint="eastAsia"/>
        </w:rPr>
        <w:t xml:space="preserve">注：108,154条，控制月份及对称模型身份项，首提示词聚类；4项校正。</w:t>
      </w:r>
    </w:p>
    <w:p>
      <w:pPr>
        <w:pStyle w:val="BodyText"/>
        <w:spacing w:line="288" w:lineRule="auto" w:after="80"/>
        <w:ind w:firstLine="420"/>
      </w:pPr>
      <w:r>
        <w:rPr>
          <w:rFonts w:hint="eastAsia"/>
        </w:rPr>
        <w:t xml:space="preserve">长度差异、标题及列表密度差异与形成明确选择正相关，粗体密度绝对差缺乏同样证据。这表明</w:t>
      </w:r>
      <w:r>
        <w:rPr>
          <w:rFonts w:hint="eastAsia"/>
        </w:rPr>
        <w:t xml:space="preserve">“是否明确选择”</w:t>
      </w:r>
      <w:r>
        <w:rPr>
          <w:rFonts w:hint="eastAsia"/>
        </w:rPr>
        <w:t xml:space="preserve">与</w:t>
      </w:r>
      <w:r>
        <w:rPr>
          <w:rFonts w:hint="eastAsia"/>
        </w:rPr>
        <w:t xml:space="preserve">“明确选择后哪侧获胜”</w:t>
      </w:r>
      <w:r>
        <w:rPr>
          <w:rFonts w:hint="eastAsia"/>
        </w:rPr>
        <w:t xml:space="preserve">应分开讨论。</w:t>
      </w:r>
    </w:p>
    <w:p>
      <w:pPr>
        <w:pStyle w:val="BodyText"/>
        <w:spacing w:line="288" w:lineRule="auto" w:after="80"/>
        <w:ind w:firstLine="420"/>
      </w:pPr>
      <w:r>
        <w:rPr>
          <w:rFonts w:hint="eastAsia"/>
        </w:rPr>
        <w:t xml:space="preserve">对216,308个侧别回答，AST重解析与上游计数的完全一致率，标题为98.96%、列表97.89%、粗体96.88%；存在性一致率分别为99.55%、99.68%、99.85%。这些是口径一致性，不是相对于人工真值的准确率。替代计数模型中，长度OR为1.6187、粗体密度OR为1.0569，主要方向与原计数接近。</w:t>
      </w:r>
    </w:p>
    <w:p>
      <w:pPr>
        <w:pStyle w:val="BodyText"/>
        <w:spacing w:line="288" w:lineRule="auto" w:after="80"/>
        <w:ind w:firstLine="420"/>
      </w:pPr>
      <w:r>
        <w:rPr>
          <w:rFonts w:hint="eastAsia"/>
        </w:rPr>
        <w:t xml:space="preserve">然而，改用格式存在性后，粗体差值OR为1.0088，95%区间[0.9869,</w:t>
      </w:r>
      <w:r>
        <w:t xml:space="preserve"> </w:t>
      </w:r>
      <w:r>
        <w:rPr>
          <w:rFonts w:hint="eastAsia"/>
        </w:rPr>
        <w:t xml:space="preserve">1.0312]，校正</w:t>
      </w:r>
      <m:oMath>
        <m:r>
          <m:t>p</m:t>
        </m:r>
        <m:r>
          <m:rPr>
            <m:sty m:val="p"/>
          </m:rPr>
          <m:t>=</m:t>
        </m:r>
        <m:r>
          <m:t>0.8660</m:t>
        </m:r>
      </m:oMath>
      <w:r>
        <w:rPr>
          <w:rFonts w:hint="eastAsia"/>
        </w:rPr>
        <w:t xml:space="preserve">，未获得明确关联证据。因而结论应限定为粗体密度，不能泛化成</w:t>
      </w:r>
      <w:r>
        <w:rPr>
          <w:rFonts w:hint="eastAsia"/>
        </w:rPr>
        <w:t xml:space="preserve">“使用粗体即可提高被选择概率”</w:t>
      </w:r>
      <w:r>
        <w:rPr>
          <w:rFonts w:hint="eastAsia"/>
        </w:rPr>
        <w:t xml:space="preserve">。存在性与密度的单位和研究问题不同。</w:t>
      </w:r>
    </w:p>
    <w:p>
      <w:pPr>
        <w:pStyle w:val="BodyText"/>
        <w:spacing w:line="288" w:lineRule="auto" w:after="80"/>
        <w:ind w:firstLine="420"/>
      </w:pPr>
      <w:r>
        <w:rPr>
          <w:rFonts w:hint="eastAsia"/>
        </w:rPr>
        <w:t xml:space="preserve">已按上游三种格式存在性组合分8层，每层随机抽取50个回答，共400个，隐藏模型、胜负与自动计数，准备独立双人复核和裁决。因尚未取得人工标注，本稿不报告人工precision、recall或内容质量改善。稀有语法边界另由可复现代码样例检查，不冒充概率样本的人工验证。</w:t>
      </w:r>
    </w:p>
    <w:bookmarkEnd w:id="34"/>
    <w:bookmarkEnd w:id="35"/>
    <w:bookmarkStart w:id="39" w:name="探索性路径分析"/>
    <w:p>
      <w:pPr>
        <w:pStyle w:val="Heading1"/>
        <w:keepNext/>
        <w:spacing w:line="288" w:lineRule="auto" w:after="80"/>
      </w:pPr>
      <w:r>
        <w:rPr>
          <w:rStyle w:val="SectionNumber"/>
        </w:rPr>
        <w:t xml:space="preserve">5</w:t>
      </w:r>
      <w:r>
        <w:tab/>
      </w:r>
      <w:r>
        <w:rPr>
          <w:rFonts w:hint="eastAsia"/>
        </w:rPr>
        <w:t xml:space="preserve">探索性路径分析</w:t>
      </w:r>
    </w:p>
    <w:bookmarkStart w:id="36" w:name="观测变量广义路径框架"/>
    <w:p>
      <w:pPr>
        <w:pStyle w:val="Heading2"/>
        <w:keepNext/>
        <w:spacing w:line="288" w:lineRule="auto" w:after="80"/>
      </w:pPr>
      <w:r>
        <w:rPr>
          <w:rStyle w:val="SectionNumber"/>
        </w:rPr>
        <w:t xml:space="preserve">5.1</w:t>
      </w:r>
      <w:r>
        <w:tab/>
      </w:r>
      <w:r>
        <w:rPr>
          <w:rFonts w:hint="eastAsia"/>
        </w:rPr>
        <w:t xml:space="preserve">观测变量广义路径框架</w:t>
      </w:r>
    </w:p>
    <w:p>
      <w:pPr>
        <w:pStyle w:val="FirstParagraph"/>
        <w:spacing w:line="288" w:lineRule="auto" w:after="80"/>
        <w:ind w:firstLine="420"/>
      </w:pPr>
      <w:r>
        <w:rPr>
          <w:rFonts w:hint="eastAsia"/>
        </w:rPr>
        <w:t xml:space="preserve">保留SEM框架下的探索性尝试，以长度指向标题、列表、粗体密度，再由格式指向选择，同时保留长度至选择的路径。这里没有潜变量或测量模型；三个连续格式方程采用OLS，二元选择方程采用Logistic，并允许格式残差相关。对</w:t>
      </w:r>
      <m:oMath>
        <m:r>
          <m:t>k</m:t>
        </m:r>
        <m:r>
          <m:rPr>
            <m:sty m:val="p"/>
          </m:rPr>
          <m:t>∈</m:t>
        </m:r>
        <m:r>
          <m:rPr>
            <m:sty m:val="p"/>
          </m:rPr>
          <m:t>{</m:t>
        </m:r>
        <m:r>
          <m:t>H</m:t>
        </m:r>
        <m:r>
          <m:rPr>
            <m:sty m:val="p"/>
          </m:rPr>
          <m:t>,</m:t>
        </m:r>
        <m:r>
          <m:t>S</m:t>
        </m:r>
        <m:r>
          <m:rPr>
            <m:sty m:val="p"/>
          </m:rPr>
          <m:t>,</m:t>
        </m:r>
        <m:r>
          <m:t>B</m:t>
        </m:r>
        <m:r>
          <m:rPr>
            <m:sty m:val="p"/>
          </m:rPr>
          <m:t>}</m:t>
        </m:r>
      </m:oMath>
      <w:r>
        <w:rPr>
          <w:rFonts w:hint="eastAsia"/>
        </w:rPr>
        <w:t xml:space="preserve">，有</w:t>
      </w:r>
    </w:p>
    <w:p>
      <w:pPr>
        <w:pStyle w:val="BodyText"/>
        <w:spacing w:line="288" w:lineRule="auto" w:after="80"/>
        <w:ind w:firstLine="420"/>
      </w:pPr>
      <m:oMathPara>
        <m:oMathParaPr>
          <m:jc m:val="center"/>
        </m:oMathParaPr>
        <m:oMath>
          <m:sSub>
            <m:e>
              <m:r>
                <m:t>z</m:t>
              </m:r>
            </m:e>
            <m:sub>
              <m:r>
                <m:t>k</m:t>
              </m:r>
              <m:r>
                <m:t>i</m:t>
              </m:r>
            </m:sub>
          </m:sSub>
          <m:r>
            <m:rPr>
              <m:sty m:val="p"/>
            </m:rPr>
            <m:t>=</m:t>
          </m:r>
          <m:sSub>
            <m:e>
              <m:r>
                <m:t>α</m:t>
              </m:r>
            </m:e>
            <m:sub>
              <m:r>
                <m:t>k</m:t>
              </m:r>
            </m:sub>
          </m:sSub>
          <m:r>
            <m:rPr>
              <m:sty m:val="p"/>
            </m:rPr>
            <m:t>+</m:t>
          </m:r>
          <m:sSub>
            <m:e>
              <m:r>
                <m:t>a</m:t>
              </m:r>
            </m:e>
            <m:sub>
              <m:r>
                <m:t>k</m:t>
              </m:r>
            </m:sub>
          </m:sSub>
          <m:sSub>
            <m:e>
              <m:r>
                <m:t>z</m:t>
              </m:r>
            </m:e>
            <m:sub>
              <m:r>
                <m:t>L</m:t>
              </m:r>
              <m:r>
                <m:t>i</m:t>
              </m:r>
            </m:sub>
          </m:sSub>
          <m:r>
            <m:rPr>
              <m:sty m:val="p"/>
            </m:rPr>
            <m:t>+</m:t>
          </m:r>
          <m:sSubSup>
            <m:e>
              <m:r>
                <m:rPr>
                  <m:sty m:val="b"/>
                </m:rPr>
                <m:t>γ</m:t>
              </m:r>
            </m:e>
            <m:sub>
              <m:r>
                <m:t>k</m:t>
              </m:r>
            </m:sub>
            <m:sup>
              <m:r>
                <m:rPr>
                  <m:sty m:val="p"/>
                </m:rPr>
                <m:t>⊤</m:t>
              </m:r>
            </m:sup>
          </m:sSubSup>
          <m:sSub>
            <m:e>
              <m:r>
                <m:rPr>
                  <m:sty m:val="b"/>
                </m:rPr>
                <m:t>X</m:t>
              </m:r>
            </m:e>
            <m:sub>
              <m:r>
                <m:t>i</m:t>
              </m:r>
            </m:sub>
          </m:sSub>
          <m:r>
            <m:rPr>
              <m:sty m:val="p"/>
            </m:rPr>
            <m:t>+</m:t>
          </m:r>
          <m:sSub>
            <m:e>
              <m:r>
                <m:t>θ</m:t>
              </m:r>
            </m:e>
            <m:sub>
              <m:r>
                <m:t>k</m:t>
              </m:r>
              <m:r>
                <m:rPr>
                  <m:sty m:val="p"/>
                </m:rPr>
                <m:t>,</m:t>
              </m:r>
              <m:sSub>
                <m:e>
                  <m:r>
                    <m:t>m</m:t>
                  </m:r>
                </m:e>
                <m:sub>
                  <m:r>
                    <m:t>A</m:t>
                  </m:r>
                  <m:r>
                    <m:t>i</m:t>
                  </m:r>
                </m:sub>
              </m:sSub>
            </m:sub>
          </m:sSub>
          <m:r>
            <m:rPr>
              <m:sty m:val="p"/>
            </m:rPr>
            <m:t>−</m:t>
          </m:r>
          <m:sSub>
            <m:e>
              <m:r>
                <m:t>θ</m:t>
              </m:r>
            </m:e>
            <m:sub>
              <m:r>
                <m:t>k</m:t>
              </m:r>
              <m:r>
                <m:rPr>
                  <m:sty m:val="p"/>
                </m:rPr>
                <m:t>,</m:t>
              </m:r>
              <m:sSub>
                <m:e>
                  <m:r>
                    <m:t>m</m:t>
                  </m:r>
                </m:e>
                <m:sub>
                  <m:r>
                    <m:t>B</m:t>
                  </m:r>
                  <m:r>
                    <m:t>i</m:t>
                  </m:r>
                </m:sub>
              </m:sSub>
            </m:sub>
          </m:sSub>
          <m:r>
            <m:rPr>
              <m:sty m:val="p"/>
            </m:rPr>
            <m:t>+</m:t>
          </m:r>
          <m:sSub>
            <m:e>
              <m:r>
                <m:t>ε</m:t>
              </m:r>
            </m:e>
            <m:sub>
              <m:r>
                <m:t>k</m:t>
              </m:r>
              <m:r>
                <m:t>i</m:t>
              </m:r>
            </m:sub>
          </m:sSub>
          <m:r>
            <m:rPr>
              <m:sty m:val="p"/>
            </m:rPr>
            <m:t>.</m:t>
          </m:r>
          <m:r>
            <m:t>  </m:t>
          </m:r>
          <m:r>
            <m:rPr>
              <m:nor/>
              <m:sty m:val="p"/>
            </m:rPr>
            <m:t>(5.1)</m:t>
          </m:r>
        </m:oMath>
      </m:oMathPara>
    </w:p>
    <w:p>
      <w:pPr>
        <w:pStyle w:val="FirstParagraph"/>
        <w:spacing w:line="288" w:lineRule="auto" w:after="80"/>
        <w:ind w:firstLine="420"/>
      </w:pPr>
      <w:r>
        <w:rPr>
          <w:rFonts w:hint="eastAsia"/>
        </w:rPr>
        <w:t xml:space="preserve">选择方程使用式(3.1)，格式系数记为</w:t>
      </w:r>
      <m:oMath>
        <m:sSub>
          <m:e>
            <m:r>
              <m:t>b</m:t>
            </m:r>
          </m:e>
          <m:sub>
            <m:r>
              <m:t>k</m:t>
            </m:r>
          </m:sub>
        </m:sSub>
      </m:oMath>
      <w:r>
        <w:rPr>
          <w:rFonts w:hint="eastAsia"/>
        </w:rPr>
        <w:t xml:space="preserve">。方向为事后探索设定，无时间先后或干预识别；不使用由同一样本胜率构造的能力代理，也不因列表不显著而删除其路径。</w:t>
      </w:r>
    </w:p>
    <w:p>
      <w:pPr>
        <w:pStyle w:val="BodyText"/>
        <w:spacing w:line="288" w:lineRule="auto" w:after="80"/>
        <w:ind w:firstLine="420"/>
      </w:pPr>
      <w:r>
        <w:rPr>
          <w:rFonts w:hint="eastAsia"/>
        </w:rPr>
        <w:t xml:space="preserve">对七个焦点系数，先计算同一配对对各方程估计的影响贡献，再按首提示词求和形成跨方程聚类夹心协方差；完整序列和模型对方案作敏感性分析。方程间使用各自参数数目进行有限样本修正，保留</w:t>
      </w:r>
      <m:oMath>
        <m:r>
          <m:t>a</m:t>
        </m:r>
      </m:oMath>
      <w:r>
        <w:rPr>
          <w:rFonts w:hint="eastAsia"/>
        </w:rPr>
        <w:t xml:space="preserve">与</w:t>
      </w:r>
      <m:oMath>
        <m:r>
          <m:t>b</m:t>
        </m:r>
      </m:oMath>
      <w:r>
        <w:rPr>
          <w:rFonts w:hint="eastAsia"/>
        </w:rPr>
        <w:t xml:space="preserve">的估计相关。三个子集共21条路径在每种协方差方案内实施Holm校正。</w:t>
      </w:r>
    </w:p>
    <w:p>
      <w:pPr>
        <w:pStyle w:val="BodyText"/>
        <w:spacing w:line="288" w:lineRule="auto" w:after="80"/>
        <w:ind w:firstLine="420"/>
      </w:pPr>
      <w:r>
        <w:rPr>
          <w:rFonts w:hint="eastAsia"/>
        </w:rPr>
        <w:t xml:space="preserve">从联合渐近正态分布模拟50,000次参数，种子20260921，取</w:t>
      </w:r>
      <m:oMath>
        <m:sSub>
          <m:e>
            <m:r>
              <m:t>a</m:t>
            </m:r>
          </m:e>
          <m:sub>
            <m:r>
              <m:t>k</m:t>
            </m:r>
          </m:sub>
        </m:sSub>
        <m:sSub>
          <m:e>
            <m:r>
              <m:t>b</m:t>
            </m:r>
          </m:e>
          <m:sub>
            <m:r>
              <m:t>k</m:t>
            </m:r>
          </m:sub>
        </m:sSub>
      </m:oMath>
      <w:r>
        <w:rPr>
          <w:rFonts w:hint="eastAsia"/>
        </w:rPr>
        <w:t xml:space="preserve">的2.5%及97.5%分位数。该区间条件于观察到的标准化尺度，为逐项参数模拟区间，不是Bootstrap，也未经多重校正。</w:t>
      </w:r>
      <m:oMath>
        <m:sSub>
          <m:e>
            <m:r>
              <m:t>a</m:t>
            </m:r>
          </m:e>
          <m:sub>
            <m:r>
              <m:t>k</m:t>
            </m:r>
          </m:sub>
        </m:sSub>
        <m:sSub>
          <m:e>
            <m:r>
              <m:t>b</m:t>
            </m:r>
          </m:e>
          <m:sub>
            <m:r>
              <m:t>k</m:t>
            </m:r>
          </m:sub>
        </m:sSub>
      </m:oMath>
      <w:r>
        <w:rPr>
          <w:rFonts w:hint="eastAsia"/>
        </w:rPr>
        <w:t xml:space="preserve">只用于描述线性工作模型中的候选关联通路，不是概率变化、自然间接效应或中介比例；不将其与长度系数相加解释为约简Logistic模型的总效应。</w:t>
      </w:r>
    </w:p>
    <w:bookmarkEnd w:id="36"/>
    <w:bookmarkStart w:id="38" w:name="路径结果与模型依赖"/>
    <w:p>
      <w:pPr>
        <w:pStyle w:val="Heading2"/>
        <w:keepNext/>
        <w:spacing w:line="288" w:lineRule="auto" w:after="80"/>
      </w:pPr>
      <w:r>
        <w:rPr>
          <w:rStyle w:val="SectionNumber"/>
        </w:rPr>
        <w:t xml:space="preserve">5.2</w:t>
      </w:r>
      <w:r>
        <w:tab/>
      </w:r>
      <w:r>
        <w:rPr>
          <w:rFonts w:hint="eastAsia"/>
        </w:rPr>
        <w:t xml:space="preserve">路径结果与模型依赖</w:t>
      </w:r>
    </w:p>
    <w:bookmarkStart w:id="37" w:name="tab:paths"/>
    <w:p>
      <w:pPr>
        <w:pStyle w:val="TableCaption"/>
        <w:spacing w:line="288" w:lineRule="auto" w:after="80"/>
      </w:pPr>
      <w:r>
        <w:rPr>
          <w:rFonts w:hint="eastAsia"/>
        </w:rPr>
        <w:t xml:space="preserve">表4</w:t>
      </w:r>
      <w:r>
        <w:t xml:space="preserve"> </w:t>
      </w:r>
      <w:r>
        <w:rPr>
          <w:rFonts w:hint="eastAsia"/>
        </w:rPr>
        <w:t xml:space="preserve">探索性路径乘积</w:t>
      </w:r>
    </w:p>
    <w:tbl>
      <w:tblPr>
        <w:tblStyle w:val="Table"/>
        <w:tblW w:type="auto" w:w="0"/>
        <w:tblLayout w:type="fixed"/>
        <w:tblLook w:firstRow="1" w:lastRow="0" w:firstColumn="0" w:lastColumn="0" w:noHBand="0" w:noVBand="0" w:val="0020"/>
        <w:tblCaption w:val="表4 探索性路径乘积"/>
      </w:tblPr>
      <w:tblGrid>
        <w:gridCol w:w="1980"/>
        <w:gridCol w:w="1980"/>
        <w:gridCol w:w="1980"/>
        <w:gridCol w:w="1980"/>
      </w:tblGrid>
      <w:tr>
        <w:trPr>
          <w:tblHeader w:val="on"/>
          <w:tblHeader/>
          <w:cantSplit/>
        </w:trPr>
        <w:tc>
          <w:tcPr>
            <w:tcW w:type="dxa" w:w="1984"/>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pStyle w:val="Compact"/>
              <w:spacing w:after="40" w:line="264" w:lineRule="auto"/>
              <w:ind w:firstLine="0"/>
              <w:jc w:val="left"/>
            </w:pPr>
            <w:r>
              <w:rPr>
                <w:rFonts w:hint="eastAsia"/>
                <w:sz w:val="18"/>
              </w:rPr>
              <w:t xml:space="preserve">样本</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pStyle w:val="Compact"/>
              <w:spacing w:after="40" w:line="264" w:lineRule="auto"/>
              <w:ind w:firstLine="0"/>
              <w:jc w:val="left"/>
            </w:pPr>
            <w:r>
              <w:rPr>
                <w:rFonts w:hint="eastAsia"/>
                <w:sz w:val="18"/>
              </w:rPr>
              <w:t xml:space="preserve">候选通路</w:t>
            </w:r>
          </w:p>
        </w:tc>
        <w:tc>
          <w:tcPr>
            <w:tcW w:type="dxa" w:w="2551"/>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pStyle w:val="Compact"/>
              <w:spacing w:after="40" w:line="264" w:lineRule="auto"/>
              <w:ind w:firstLine="0"/>
              <w:jc w:val="right"/>
            </w:pPr>
            <w:r>
              <w:rPr>
                <w:rFonts w:hint="eastAsia"/>
                <w:sz w:val="18"/>
              </w:rPr>
              <w:t xml:space="preserve">乘积</w:t>
            </w:r>
          </w:p>
        </w:tc>
        <w:tc>
          <w:tcPr>
            <w:tcW w:type="dxa" w:w="2494"/>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pStyle w:val="Compact"/>
              <w:spacing w:after="40" w:line="264" w:lineRule="auto"/>
              <w:ind w:firstLine="0"/>
              <w:jc w:val="right"/>
            </w:pPr>
            <w:r>
              <w:rPr>
                <w:rFonts w:hint="eastAsia"/>
                <w:sz w:val="18"/>
              </w:rPr>
              <w:t xml:space="preserve">95%模拟区间</w:t>
            </w:r>
          </w:p>
        </w:tc>
      </w:tr>
      <w:tr>
        <w:trPr>
          <w:cantSplit/>
        </w:trPr>
        <w:tc>
          <w:tcPr>
            <w:tcW w:type="dxa" w:w="198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全量</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长度</w:t>
            </w:r>
            <m:oMath>
              <m:r>
                <m:rPr>
                  <m:sty m:val="p"/>
                </m:rPr>
                <m:t>→</m:t>
              </m:r>
            </m:oMath>
            <w:r>
              <w:rPr>
                <w:rFonts w:hint="eastAsia"/>
                <w:sz w:val="18"/>
              </w:rPr>
              <w:t xml:space="preserve">标题</w:t>
            </w:r>
            <m:oMath>
              <m:r>
                <m:rPr>
                  <m:sty m:val="p"/>
                </m:rPr>
                <m:t>→</m:t>
              </m:r>
            </m:oMath>
            <w:r>
              <w:rPr>
                <w:rFonts w:hint="eastAsia"/>
                <w:sz w:val="18"/>
              </w:rPr>
              <w:t xml:space="preserve">选择</w:t>
            </w:r>
          </w:p>
        </w:tc>
        <w:tc>
          <w:tcPr>
            <w:tcW w:type="dxa" w:w="255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0.00429</w:t>
            </w:r>
          </w:p>
        </w:tc>
        <w:tc>
          <w:tcPr>
            <w:tcW w:type="dxa" w:w="249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[0.00141, 0.00718]</w:t>
            </w:r>
          </w:p>
        </w:tc>
      </w:tr>
      <w:tr>
        <w:trPr>
          <w:cantSplit/>
        </w:trPr>
        <w:tc>
          <w:tcPr>
            <w:tcW w:type="dxa" w:w="198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全量</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长度</w:t>
            </w:r>
            <m:oMath>
              <m:r>
                <m:rPr>
                  <m:sty m:val="p"/>
                </m:rPr>
                <m:t>→</m:t>
              </m:r>
            </m:oMath>
            <w:r>
              <w:rPr>
                <w:rFonts w:hint="eastAsia"/>
                <w:sz w:val="18"/>
              </w:rPr>
              <w:t xml:space="preserve">粗体</w:t>
            </w:r>
            <m:oMath>
              <m:r>
                <m:rPr>
                  <m:sty m:val="p"/>
                </m:rPr>
                <m:t>→</m:t>
              </m:r>
            </m:oMath>
            <w:r>
              <w:rPr>
                <w:rFonts w:hint="eastAsia"/>
                <w:sz w:val="18"/>
              </w:rPr>
              <w:t xml:space="preserve">选择</w:t>
            </w:r>
          </w:p>
        </w:tc>
        <w:tc>
          <w:tcPr>
            <w:tcW w:type="dxa" w:w="255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0.00753</w:t>
            </w:r>
          </w:p>
        </w:tc>
        <w:tc>
          <w:tcPr>
            <w:tcW w:type="dxa" w:w="249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[0.00468, 0.01045]</w:t>
            </w:r>
          </w:p>
        </w:tc>
      </w:tr>
      <w:tr>
        <w:trPr>
          <w:cantSplit/>
        </w:trPr>
        <w:tc>
          <w:tcPr>
            <w:tcW w:type="dxa" w:w="198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全量</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长度</w:t>
            </w:r>
            <m:oMath>
              <m:r>
                <m:rPr>
                  <m:sty m:val="p"/>
                </m:rPr>
                <m:t>→</m:t>
              </m:r>
            </m:oMath>
            <w:r>
              <w:rPr>
                <w:rFonts w:hint="eastAsia"/>
                <w:sz w:val="18"/>
              </w:rPr>
              <w:t xml:space="preserve">列表</w:t>
            </w:r>
            <m:oMath>
              <m:r>
                <m:rPr>
                  <m:sty m:val="p"/>
                </m:rPr>
                <m:t>→</m:t>
              </m:r>
            </m:oMath>
            <w:r>
              <w:rPr>
                <w:rFonts w:hint="eastAsia"/>
                <w:sz w:val="18"/>
              </w:rPr>
              <w:t xml:space="preserve">选择</w:t>
            </w:r>
          </w:p>
        </w:tc>
        <w:tc>
          <w:tcPr>
            <w:tcW w:type="dxa" w:w="255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-0.00175</w:t>
            </w:r>
          </w:p>
        </w:tc>
        <w:tc>
          <w:tcPr>
            <w:tcW w:type="dxa" w:w="249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[-0.00411, 0.00057]</w:t>
            </w:r>
          </w:p>
        </w:tc>
      </w:tr>
      <w:tr>
        <w:trPr>
          <w:cantSplit/>
        </w:trPr>
        <w:tc>
          <w:tcPr>
            <w:tcW w:type="dxa" w:w="198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英语</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长度</w:t>
            </w:r>
            <m:oMath>
              <m:r>
                <m:rPr>
                  <m:sty m:val="p"/>
                </m:rPr>
                <m:t>→</m:t>
              </m:r>
            </m:oMath>
            <w:r>
              <w:rPr>
                <w:rFonts w:hint="eastAsia"/>
                <w:sz w:val="18"/>
              </w:rPr>
              <w:t xml:space="preserve">标题</w:t>
            </w:r>
            <m:oMath>
              <m:r>
                <m:rPr>
                  <m:sty m:val="p"/>
                </m:rPr>
                <m:t>→</m:t>
              </m:r>
            </m:oMath>
            <w:r>
              <w:rPr>
                <w:rFonts w:hint="eastAsia"/>
                <w:sz w:val="18"/>
              </w:rPr>
              <w:t xml:space="preserve">选择</w:t>
            </w:r>
          </w:p>
        </w:tc>
        <w:tc>
          <w:tcPr>
            <w:tcW w:type="dxa" w:w="255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0.00199</w:t>
            </w:r>
          </w:p>
        </w:tc>
        <w:tc>
          <w:tcPr>
            <w:tcW w:type="dxa" w:w="249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[-0.00214, 0.00615]</w:t>
            </w:r>
          </w:p>
        </w:tc>
      </w:tr>
      <w:tr>
        <w:trPr>
          <w:cantSplit/>
        </w:trPr>
        <w:tc>
          <w:tcPr>
            <w:tcW w:type="dxa" w:w="198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英语</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长度</w:t>
            </w:r>
            <m:oMath>
              <m:r>
                <m:rPr>
                  <m:sty m:val="p"/>
                </m:rPr>
                <m:t>→</m:t>
              </m:r>
            </m:oMath>
            <w:r>
              <w:rPr>
                <w:rFonts w:hint="eastAsia"/>
                <w:sz w:val="18"/>
              </w:rPr>
              <w:t xml:space="preserve">粗体</w:t>
            </w:r>
            <m:oMath>
              <m:r>
                <m:rPr>
                  <m:sty m:val="p"/>
                </m:rPr>
                <m:t>→</m:t>
              </m:r>
            </m:oMath>
            <w:r>
              <w:rPr>
                <w:rFonts w:hint="eastAsia"/>
                <w:sz w:val="18"/>
              </w:rPr>
              <w:t xml:space="preserve">选择</w:t>
            </w:r>
          </w:p>
        </w:tc>
        <w:tc>
          <w:tcPr>
            <w:tcW w:type="dxa" w:w="255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0.01002</w:t>
            </w:r>
          </w:p>
        </w:tc>
        <w:tc>
          <w:tcPr>
            <w:tcW w:type="dxa" w:w="249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[0.00627, 0.01392]</w:t>
            </w:r>
          </w:p>
        </w:tc>
      </w:tr>
      <w:tr>
        <w:trPr>
          <w:cantSplit/>
        </w:trPr>
        <w:tc>
          <w:tcPr>
            <w:tcW w:type="dxa" w:w="198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英语</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长度</w:t>
            </w:r>
            <m:oMath>
              <m:r>
                <m:rPr>
                  <m:sty m:val="p"/>
                </m:rPr>
                <m:t>→</m:t>
              </m:r>
            </m:oMath>
            <w:r>
              <w:rPr>
                <w:rFonts w:hint="eastAsia"/>
                <w:sz w:val="18"/>
              </w:rPr>
              <w:t xml:space="preserve">列表</w:t>
            </w:r>
            <m:oMath>
              <m:r>
                <m:rPr>
                  <m:sty m:val="p"/>
                </m:rPr>
                <m:t>→</m:t>
              </m:r>
            </m:oMath>
            <w:r>
              <w:rPr>
                <w:rFonts w:hint="eastAsia"/>
                <w:sz w:val="18"/>
              </w:rPr>
              <w:t xml:space="preserve">选择</w:t>
            </w:r>
          </w:p>
        </w:tc>
        <w:tc>
          <w:tcPr>
            <w:tcW w:type="dxa" w:w="255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-0.00157</w:t>
            </w:r>
          </w:p>
        </w:tc>
        <w:tc>
          <w:tcPr>
            <w:tcW w:type="dxa" w:w="249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[-0.00462, 0.00145]</w:t>
            </w:r>
          </w:p>
        </w:tc>
      </w:tr>
      <w:tr>
        <w:trPr>
          <w:cantSplit/>
        </w:trPr>
        <w:tc>
          <w:tcPr>
            <w:tcW w:type="dxa" w:w="198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单轮</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长度</w:t>
            </w:r>
            <m:oMath>
              <m:r>
                <m:rPr>
                  <m:sty m:val="p"/>
                </m:rPr>
                <m:t>→</m:t>
              </m:r>
            </m:oMath>
            <w:r>
              <w:rPr>
                <w:rFonts w:hint="eastAsia"/>
                <w:sz w:val="18"/>
              </w:rPr>
              <w:t xml:space="preserve">标题</w:t>
            </w:r>
            <m:oMath>
              <m:r>
                <m:rPr>
                  <m:sty m:val="p"/>
                </m:rPr>
                <m:t>→</m:t>
              </m:r>
            </m:oMath>
            <w:r>
              <w:rPr>
                <w:rFonts w:hint="eastAsia"/>
                <w:sz w:val="18"/>
              </w:rPr>
              <w:t xml:space="preserve">选择</w:t>
            </w:r>
          </w:p>
        </w:tc>
        <w:tc>
          <w:tcPr>
            <w:tcW w:type="dxa" w:w="255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0.00312</w:t>
            </w:r>
          </w:p>
        </w:tc>
        <w:tc>
          <w:tcPr>
            <w:tcW w:type="dxa" w:w="249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[0.00014, 0.00611]</w:t>
            </w:r>
          </w:p>
        </w:tc>
      </w:tr>
      <w:tr>
        <w:trPr>
          <w:cantSplit/>
        </w:trPr>
        <w:tc>
          <w:tcPr>
            <w:tcW w:type="dxa" w:w="198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单轮</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长度</w:t>
            </w:r>
            <m:oMath>
              <m:r>
                <m:rPr>
                  <m:sty m:val="p"/>
                </m:rPr>
                <m:t>→</m:t>
              </m:r>
            </m:oMath>
            <w:r>
              <w:rPr>
                <w:rFonts w:hint="eastAsia"/>
                <w:sz w:val="18"/>
              </w:rPr>
              <w:t xml:space="preserve">粗体</w:t>
            </w:r>
            <m:oMath>
              <m:r>
                <m:rPr>
                  <m:sty m:val="p"/>
                </m:rPr>
                <m:t>→</m:t>
              </m:r>
            </m:oMath>
            <w:r>
              <w:rPr>
                <w:rFonts w:hint="eastAsia"/>
                <w:sz w:val="18"/>
              </w:rPr>
              <w:t xml:space="preserve">选择</w:t>
            </w:r>
          </w:p>
        </w:tc>
        <w:tc>
          <w:tcPr>
            <w:tcW w:type="dxa" w:w="255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0.00767</w:t>
            </w:r>
          </w:p>
        </w:tc>
        <w:tc>
          <w:tcPr>
            <w:tcW w:type="dxa" w:w="249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[0.00462, 0.01079]</w:t>
            </w:r>
          </w:p>
        </w:tc>
      </w:tr>
      <w:tr>
        <w:trPr>
          <w:cantSplit/>
        </w:trPr>
        <w:tc>
          <w:tcPr>
            <w:tcW w:type="dxa" w:w="198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单轮</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w:r>
              <w:rPr>
                <w:rFonts w:hint="eastAsia"/>
                <w:sz w:val="18"/>
              </w:rPr>
              <w:t xml:space="preserve">长度</w:t>
            </w:r>
            <m:oMath>
              <m:r>
                <m:rPr>
                  <m:sty m:val="p"/>
                </m:rPr>
                <m:t>→</m:t>
              </m:r>
            </m:oMath>
            <w:r>
              <w:rPr>
                <w:rFonts w:hint="eastAsia"/>
                <w:sz w:val="18"/>
              </w:rPr>
              <w:t xml:space="preserve">列表</w:t>
            </w:r>
            <m:oMath>
              <m:r>
                <m:rPr>
                  <m:sty m:val="p"/>
                </m:rPr>
                <m:t>→</m:t>
              </m:r>
            </m:oMath>
            <w:r>
              <w:rPr>
                <w:rFonts w:hint="eastAsia"/>
                <w:sz w:val="18"/>
              </w:rPr>
              <w:t xml:space="preserve">选择</w:t>
            </w:r>
          </w:p>
        </w:tc>
        <w:tc>
          <w:tcPr>
            <w:tcW w:type="dxa" w:w="255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-0.00156</w:t>
            </w:r>
          </w:p>
        </w:tc>
        <w:tc>
          <w:tcPr>
            <w:tcW w:type="dxa" w:w="2494"/>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[-0.00417, 0.00103]</w:t>
            </w:r>
          </w:p>
        </w:tc>
      </w:tr>
    </w:tbl>
    <w:bookmarkEnd w:id="37"/>
    <w:p>
      <w:pPr>
        <w:pStyle w:val="BodyText"/>
        <w:spacing w:line="288" w:lineRule="auto" w:after="80"/>
        <w:ind w:firstLine="420"/>
      </w:pPr>
      <w:r>
        <w:rPr>
          <w:rFonts w:hint="eastAsia"/>
        </w:rPr>
        <w:t xml:space="preserve">注：统一全量尺度，首提示词聚类协方差；子集重叠，区间逐项。箭头不证明因果方向。</w:t>
      </w:r>
    </w:p>
    <w:p>
      <w:pPr>
        <w:pStyle w:val="BodyText"/>
        <w:spacing w:line="288" w:lineRule="auto" w:after="80"/>
        <w:ind w:firstLine="420"/>
      </w:pPr>
      <w:r>
        <w:rPr>
          <w:rFonts w:hint="eastAsia"/>
        </w:rPr>
        <w:t xml:space="preserve">经粗体密度的乘积在三个样本中均为正，模型对聚类及AST替代计数下亦保持该方向；标题通路在英语子集中区间跨零，列表通路均跨零。单轮标题乘积逐项区间虽排除零，不能据此绕过其选择路径的多重校正判断。</w:t>
      </w:r>
    </w:p>
    <w:p>
      <w:pPr>
        <w:pStyle w:val="BodyText"/>
        <w:spacing w:line="288" w:lineRule="auto" w:after="80"/>
        <w:ind w:firstLine="420"/>
      </w:pPr>
      <w:r>
        <w:rPr>
          <w:rFonts w:hint="eastAsia"/>
        </w:rPr>
        <w:t xml:space="preserve">上述分解依赖线性格式方程及线性logit长度项，而主结果已检出明显非线性，因此本节是线性工作模型的探索性补充。样条方程中不存在适用于全部长度范围的单一</w:t>
      </w:r>
      <m:oMath>
        <m:sSub>
          <m:e>
            <m:r>
              <m:t>a</m:t>
            </m:r>
          </m:e>
          <m:sub>
            <m:r>
              <m:t>k</m:t>
            </m:r>
          </m:sub>
        </m:sSub>
        <m:sSub>
          <m:e>
            <m:r>
              <m:t>b</m:t>
            </m:r>
          </m:e>
          <m:sub>
            <m:r>
              <m:t>k</m:t>
            </m:r>
          </m:sub>
        </m:sSub>
      </m:oMath>
      <w:r>
        <w:rPr>
          <w:rFonts w:hint="eastAsia"/>
        </w:rPr>
        <w:t xml:space="preserve">，本稿不将原乘积包装成已通过非线性验证的机制。替代方向、格式间反馈、共享长度分母及未观测内容质量仍可产生相似关联。分方程估计没有整体协方差结构拟合检验，故不报告CFI、TLI或RMSEA。</w:t>
      </w:r>
    </w:p>
    <w:bookmarkEnd w:id="38"/>
    <w:bookmarkEnd w:id="39"/>
    <w:bookmarkStart w:id="48" w:name="偏好数据审计应用"/>
    <w:p>
      <w:pPr>
        <w:pStyle w:val="Heading1"/>
        <w:keepNext/>
        <w:spacing w:line="288" w:lineRule="auto" w:after="80"/>
      </w:pPr>
      <w:r>
        <w:rPr>
          <w:rStyle w:val="SectionNumber"/>
        </w:rPr>
        <w:t xml:space="preserve">6</w:t>
      </w:r>
      <w:r>
        <w:tab/>
      </w:r>
      <w:r>
        <w:rPr>
          <w:rFonts w:hint="eastAsia"/>
        </w:rPr>
        <w:t xml:space="preserve">偏好数据审计应用</w:t>
      </w:r>
    </w:p>
    <w:bookmarkStart w:id="45" w:name="包含未决评价的分层报告"/>
    <w:p>
      <w:pPr>
        <w:pStyle w:val="Heading2"/>
        <w:keepNext/>
        <w:spacing w:line="288" w:lineRule="auto" w:after="80"/>
      </w:pPr>
      <w:r>
        <w:rPr>
          <w:rStyle w:val="SectionNumber"/>
        </w:rPr>
        <w:t xml:space="preserve">6.1</w:t>
      </w:r>
      <w:r>
        <w:tab/>
      </w:r>
      <w:r>
        <w:rPr>
          <w:rFonts w:hint="eastAsia"/>
        </w:rPr>
        <w:t xml:space="preserve">包含未决评价的分层报告</w:t>
      </w:r>
    </w:p>
    <w:p>
      <w:pPr>
        <w:pStyle w:val="FirstParagraph"/>
        <w:spacing w:line="288" w:lineRule="auto" w:after="80"/>
        <w:ind w:firstLine="420"/>
      </w:pPr>
      <w:r>
        <w:rPr>
          <w:rFonts w:hint="eastAsia"/>
        </w:rPr>
        <w:t xml:space="preserve">按式(3.6)划分三层，保留明确胜负、平局和双方差。表5展示真实样本；较长者获胜的分母仅为本层不等长且明确胜负配对，分别为15,777、27,017、35,978。</w:t>
      </w:r>
    </w:p>
    <w:bookmarkStart w:id="40" w:name="tab:audit"/>
    <w:p>
      <w:pPr>
        <w:pStyle w:val="TableCaption"/>
        <w:spacing w:line="288" w:lineRule="auto" w:after="80"/>
      </w:pPr>
      <w:r>
        <w:rPr>
          <w:rFonts w:hint="eastAsia"/>
        </w:rPr>
        <w:t xml:space="preserve">表5</w:t>
      </w:r>
      <w:r>
        <w:t xml:space="preserve"> </w:t>
      </w:r>
      <w:r>
        <w:rPr>
          <w:rFonts w:hint="eastAsia"/>
        </w:rPr>
        <w:t xml:space="preserve">真实长度分层及评价构成</w:t>
      </w:r>
    </w:p>
    <w:tbl>
      <w:tblPr>
        <w:tblStyle w:val="Table"/>
        <w:tblW w:type="auto" w:w="0"/>
        <w:tblLayout w:type="fixed"/>
        <w:tblLook w:firstRow="1" w:lastRow="0" w:firstColumn="0" w:lastColumn="0" w:noHBand="0" w:noVBand="0" w:val="0020"/>
        <w:tblCaption w:val="表5 真实长度分层及评价构成"/>
      </w:tblPr>
      <w:tblGrid>
        <w:gridCol w:w="1584"/>
        <w:gridCol w:w="1584"/>
        <w:gridCol w:w="1584"/>
        <w:gridCol w:w="1584"/>
        <w:gridCol w:w="1584"/>
      </w:tblGrid>
      <w:tr>
        <w:trPr>
          <w:tblHeader w:val="on"/>
          <w:tblHeader/>
          <w:cantSplit/>
        </w:trPr>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pStyle w:val="Compact"/>
              <w:spacing w:after="40" w:line="264" w:lineRule="auto"/>
              <w:ind w:firstLine="0"/>
              <w:jc w:val="left"/>
            </w:pPr>
            <w:r>
              <w:rPr>
                <w:rFonts w:hint="eastAsia"/>
                <w:sz w:val="18"/>
              </w:rPr>
              <w:t xml:space="preserve">长度层</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pStyle w:val="Compact"/>
              <w:spacing w:after="40" w:line="264" w:lineRule="auto"/>
              <w:ind w:firstLine="0"/>
              <w:jc w:val="right"/>
            </w:pPr>
            <w:r>
              <w:rPr>
                <w:rFonts w:hint="eastAsia"/>
                <w:sz w:val="18"/>
              </w:rPr>
              <w:t xml:space="preserve">全部记录</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pStyle w:val="Compact"/>
              <w:spacing w:after="40" w:line="264" w:lineRule="auto"/>
              <w:ind w:firstLine="0"/>
              <w:jc w:val="right"/>
            </w:pPr>
            <w:r>
              <w:rPr>
                <w:rFonts w:hint="eastAsia"/>
                <w:sz w:val="18"/>
              </w:rPr>
              <w:t xml:space="preserve">明确胜负</w:t>
            </w:r>
          </w:p>
        </w:tc>
        <w:tc>
          <w:tcPr>
            <w:tcW w:type="dxa" w:w="3061"/>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pStyle w:val="Compact"/>
              <w:spacing w:after="40" w:line="264" w:lineRule="auto"/>
              <w:ind w:firstLine="0"/>
              <w:jc w:val="right"/>
            </w:pPr>
            <w:r>
              <w:rPr>
                <w:rFonts w:hint="eastAsia"/>
                <w:sz w:val="18"/>
              </w:rPr>
              <w:t xml:space="preserve">未决比例(%)</w:t>
            </w:r>
          </w:p>
        </w:tc>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shd w:fill="EEEEEE"/>
          </w:tcPr>
          <w:p>
            <w:pPr>
              <w:pStyle w:val="Compact"/>
              <w:spacing w:after="40" w:line="264" w:lineRule="auto"/>
              <w:ind w:firstLine="0"/>
              <w:jc w:val="right"/>
            </w:pPr>
            <w:r>
              <w:rPr>
                <w:rFonts w:hint="eastAsia"/>
                <w:sz w:val="18"/>
              </w:rPr>
              <w:t xml:space="preserve">较长者胜(%)</w:t>
            </w:r>
          </w:p>
        </w:tc>
      </w:tr>
      <w:tr>
        <w:trPr>
          <w:cantSplit/>
        </w:trPr>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m:oMath>
              <m:r>
                <m:t>R</m:t>
              </m:r>
              <m:r>
                <m:rPr>
                  <m:sty m:val="p"/>
                </m:rPr>
                <m:t>≤</m:t>
              </m:r>
              <m:r>
                <m:t>1.25</m:t>
              </m:r>
            </m:oMath>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23,536</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15,964</w:t>
            </w:r>
          </w:p>
        </w:tc>
        <w:tc>
          <w:tcPr>
            <w:tcW w:type="dxa" w:w="306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32.17</w:t>
            </w:r>
          </w:p>
        </w:tc>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52.46</w:t>
            </w:r>
          </w:p>
        </w:tc>
      </w:tr>
      <w:tr>
        <w:trPr>
          <w:cantSplit/>
        </w:trPr>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m:oMath>
              <m:r>
                <m:t>1.25</m:t>
              </m:r>
              <m:r>
                <m:rPr>
                  <m:sty m:val="p"/>
                </m:rPr>
                <m:t>&lt;</m:t>
              </m:r>
              <m:r>
                <m:t>R</m:t>
              </m:r>
              <m:r>
                <m:rPr>
                  <m:sty m:val="p"/>
                </m:rPr>
                <m:t>≤</m:t>
              </m:r>
              <m:r>
                <m:t>2</m:t>
              </m:r>
            </m:oMath>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37,992</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27,017</w:t>
            </w:r>
          </w:p>
        </w:tc>
        <w:tc>
          <w:tcPr>
            <w:tcW w:type="dxa" w:w="306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28.89</w:t>
            </w:r>
          </w:p>
        </w:tc>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59.26</w:t>
            </w:r>
          </w:p>
        </w:tc>
      </w:tr>
      <w:tr>
        <w:trPr>
          <w:cantSplit/>
        </w:trPr>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left"/>
            </w:pPr>
            <m:oMath>
              <m:r>
                <m:t>R</m:t>
              </m:r>
              <m:r>
                <m:rPr>
                  <m:sty m:val="p"/>
                </m:rPr>
                <m:t>&gt;</m:t>
              </m:r>
              <m:r>
                <m:t>2</m:t>
              </m:r>
            </m:oMath>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46,626</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35,978</w:t>
            </w:r>
          </w:p>
        </w:tc>
        <w:tc>
          <w:tcPr>
            <w:tcW w:type="dxa" w:w="3061"/>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22.84</w:t>
            </w:r>
          </w:p>
        </w:tc>
        <w:tc>
          <w:tcPr>
            <w:tcW w:type="dxa" w:w="1417"/>
            <w:tcBorders>
              <w:top w:val="single" w:sz="4" w:color="D9D9D9"/>
              <w:left w:val="single" w:sz="4" w:color="D9D9D9"/>
              <w:bottom w:val="single" w:sz="4" w:color="D9D9D9"/>
              <w:right w:val="single" w:sz="4" w:color="D9D9D9"/>
            </w:tcBorders>
            <w:tcMar>
              <w:top w:w="65" w:type="dxa"/>
              <w:left w:w="65" w:type="dxa"/>
              <w:bottom w:w="65" w:type="dxa"/>
              <w:right w:w="65" w:type="dxa"/>
            </w:tcMar>
          </w:tcPr>
          <w:p>
            <w:pPr>
              <w:pStyle w:val="Compact"/>
              <w:spacing w:after="40" w:line="264" w:lineRule="auto"/>
              <w:ind w:firstLine="0"/>
              <w:jc w:val="right"/>
            </w:pPr>
            <w:r>
              <w:rPr>
                <w:sz w:val="18"/>
              </w:rPr>
              <w:t xml:space="preserve">69.06</w:t>
            </w:r>
          </w:p>
        </w:tc>
      </w:tr>
    </w:tbl>
    <w:bookmarkEnd w:id="40"/>
    <w:p>
      <w:pPr>
        <w:pStyle w:val="BodyText"/>
        <w:spacing w:line="288" w:lineRule="auto" w:after="80"/>
        <w:ind w:firstLine="420"/>
      </w:pPr>
      <w:r>
        <w:rPr>
          <w:rFonts w:hint="eastAsia"/>
        </w:rPr>
        <w:t xml:space="preserve">注：未决包括平局与双方差，分母为本层全部记录。</w:t>
      </w:r>
    </w:p>
    <w:p>
      <w:pPr>
        <w:pStyle w:val="BodyText"/>
        <w:spacing w:line="288" w:lineRule="auto" w:after="80"/>
        <w:ind w:firstLine="420"/>
      </w:pPr>
      <w:r>
        <w:rPr>
          <w:rFonts w:hint="eastAsia"/>
        </w:rPr>
        <w:t xml:space="preserve">长度接近层未决比例为32.17%，长度比超过2的层为22.84%。若只复核明确胜负，将忽略与长度结构有关的未决记录。但分层比例上升可能反映内容充分性、任务或模型构成，不能把较大长度差直接判为错误标签。</w:t>
      </w:r>
    </w:p>
    <w:bookmarkStart w:id="44" w:name="fig:audit"/>
    <w:p>
      <w:pPr>
        <w:pStyle w:val="CaptionedFigure"/>
        <w:spacing w:line="288" w:lineRule="auto" w:after="80"/>
      </w:pPr>
      <w:r>
        <w:drawing>
          <wp:inline>
            <wp:extent cx="5334000" cy="2199268"/>
            <wp:effectExtent b="0" l="0" r="0" t="0"/>
            <wp:docPr descr="" title="" id="42" name="Picture"/>
            <a:graphic>
              <a:graphicData uri="http://schemas.openxmlformats.org/drawingml/2006/picture">
                <pic:pic>
                  <pic:nvPicPr>
                    <pic:cNvPr descr="assets/audit_strata.png" id="43" name="Picture"/>
                    <pic:cNvPicPr>
                      <a:picLocks noChangeArrowheads="1" noChangeAspect="1"/>
                    </pic:cNvPicPr>
                  </pic:nvPicPr>
                  <pic:blipFill>
                    <a:blip r:embed="rId41"/>
                    <a:stretch>
                      <a:fillRect/>
                    </a:stretch>
                  </pic:blipFill>
                  <pic:spPr bwMode="auto">
                    <a:xfrm>
                      <a:off x="0" y="0"/>
                      <a:ext cx="5334000" cy="2199268"/>
                    </a:xfrm>
                    <a:prstGeom prst="rect">
                      <a:avLst/>
                    </a:prstGeom>
                    <a:noFill/>
                    <a:ln w="9525">
                      <a:noFill/>
                      <a:headEnd/>
                      <a:tailEnd/>
                    </a:ln>
                  </pic:spPr>
                </pic:pic>
              </a:graphicData>
            </a:graphic>
          </wp:inline>
        </w:drawing>
      </w:r>
    </w:p>
    <w:p>
      <w:pPr>
        <w:pStyle w:val="ImageCaption"/>
        <w:spacing w:line="288" w:lineRule="auto" w:after="80"/>
      </w:pPr>
      <w:r>
        <w:rPr>
          <w:rFonts w:hint="eastAsia"/>
        </w:rPr>
        <w:t xml:space="preserve">图3</w:t>
      </w:r>
      <w:r>
        <w:t xml:space="preserve"> </w:t>
      </w:r>
      <w:r>
        <w:rPr>
          <w:rFonts w:hint="eastAsia"/>
        </w:rPr>
        <w:t xml:space="preserve">各长度层中较长回答获胜比例。精确二项区间仅为配对独立假设下的描述区间，未作聚类修正。</w:t>
      </w:r>
    </w:p>
    <w:bookmarkEnd w:id="44"/>
    <w:bookmarkEnd w:id="45"/>
    <w:bookmarkStart w:id="46" w:name="总体争议率估计及预算分配"/>
    <w:p>
      <w:pPr>
        <w:pStyle w:val="Heading2"/>
        <w:keepNext/>
        <w:spacing w:line="288" w:lineRule="auto" w:after="80"/>
      </w:pPr>
      <w:r>
        <w:rPr>
          <w:rStyle w:val="SectionNumber"/>
        </w:rPr>
        <w:t xml:space="preserve">6.2</w:t>
      </w:r>
      <w:r>
        <w:tab/>
      </w:r>
      <w:r>
        <w:rPr>
          <w:rFonts w:hint="eastAsia"/>
        </w:rPr>
        <w:t xml:space="preserve">总体争议率估计及预算分配</w:t>
      </w:r>
    </w:p>
    <w:p>
      <w:pPr>
        <w:pStyle w:val="FirstParagraph"/>
        <w:spacing w:line="288" w:lineRule="auto" w:after="80"/>
        <w:ind w:firstLine="420"/>
      </w:pPr>
      <w:r>
        <w:rPr>
          <w:rFonts w:hint="eastAsia"/>
        </w:rPr>
        <w:t xml:space="preserve">若目标是估计人工复核中的总体争议率，设层大小为</w:t>
      </w:r>
      <m:oMath>
        <m:sSub>
          <m:e>
            <m:r>
              <m:t>N</m:t>
            </m:r>
          </m:e>
          <m:sub>
            <m:r>
              <m:t>h</m:t>
            </m:r>
          </m:sub>
        </m:sSub>
      </m:oMath>
      <w:r>
        <w:rPr>
          <w:rFonts w:hint="eastAsia"/>
        </w:rPr>
        <w:t xml:space="preserve">，</w:t>
      </w:r>
      <m:oMath>
        <m:sSub>
          <m:e>
            <m:r>
              <m:t>W</m:t>
            </m:r>
          </m:e>
          <m:sub>
            <m:r>
              <m:t>h</m:t>
            </m:r>
          </m:sub>
        </m:sSub>
        <m:r>
          <m:rPr>
            <m:sty m:val="p"/>
          </m:rPr>
          <m:t>=</m:t>
        </m:r>
        <m:sSub>
          <m:e>
            <m:r>
              <m:t>N</m:t>
            </m:r>
          </m:e>
          <m:sub>
            <m:r>
              <m:t>h</m:t>
            </m:r>
          </m:sub>
        </m:sSub>
        <m:r>
          <m:rPr>
            <m:sty m:val="p"/>
          </m:rPr>
          <m:t>/</m:t>
        </m:r>
        <m:r>
          <m:t>N</m:t>
        </m:r>
      </m:oMath>
      <w:r>
        <w:rPr>
          <w:rFonts w:hint="eastAsia"/>
        </w:rPr>
        <w:t xml:space="preserve">，层内简单随机不放回抽样量为</w:t>
      </w:r>
      <m:oMath>
        <m:sSub>
          <m:e>
            <m:r>
              <m:t>b</m:t>
            </m:r>
          </m:e>
          <m:sub>
            <m:r>
              <m:t>h</m:t>
            </m:r>
          </m:sub>
        </m:sSub>
      </m:oMath>
      <w:r>
        <w:rPr>
          <w:rFonts w:hint="eastAsia"/>
        </w:rPr>
        <w:t xml:space="preserve">，争议指示为</w:t>
      </w:r>
      <m:oMath>
        <m:sSub>
          <m:e>
            <m:r>
              <m:t>a</m:t>
            </m:r>
          </m:e>
          <m:sub>
            <m:r>
              <m:t>h</m:t>
            </m:r>
            <m:r>
              <m:t>j</m:t>
            </m:r>
          </m:sub>
        </m:sSub>
      </m:oMath>
      <w:r>
        <w:rPr>
          <w:rFonts w:hint="eastAsia"/>
        </w:rPr>
        <w:t xml:space="preserve">，则</w:t>
      </w:r>
    </w:p>
    <w:p>
      <w:pPr>
        <w:pStyle w:val="BodyText"/>
        <w:spacing w:line="288" w:lineRule="auto" w:after="80"/>
        <w:ind w:firstLine="420"/>
      </w:pPr>
      <m:oMathPara>
        <m:oMathParaPr>
          <m:jc m:val="center"/>
        </m:oMathParaPr>
        <m:oMath>
          <m:acc>
            <m:accPr>
              <m:chr m:val="̂"/>
            </m:accPr>
            <m:e>
              <m:r>
                <m:t>A</m:t>
              </m:r>
            </m:e>
          </m:acc>
          <m:r>
            <m:rPr>
              <m:sty m:val="p"/>
            </m:rPr>
            <m:t>=</m:t>
          </m:r>
          <m:nary>
            <m:naryPr>
              <m:chr m:val="∑"/>
              <m:limLoc m:val="undOvr"/>
              <m:subHide m:val="off"/>
              <m:supHide m:val="on"/>
            </m:naryPr>
            <m:sub>
              <m:r>
                <m:t>h</m:t>
              </m:r>
            </m:sub>
            <m:sup>
              <m:r>
                <m:t>​</m:t>
              </m:r>
            </m:sup>
            <m:e>
              <m:sSub>
                <m:e>
                  <m:r>
                    <m:t>W</m:t>
                  </m:r>
                </m:e>
                <m:sub>
                  <m:r>
                    <m:t>h</m:t>
                  </m:r>
                </m:sub>
              </m:sSub>
            </m:e>
          </m:nary>
          <m:sSub>
            <m:e>
              <m:acc>
                <m:accPr>
                  <m:chr m:val="̂"/>
                </m:accPr>
                <m:e>
                  <m:r>
                    <m:t>p</m:t>
                  </m:r>
                </m:e>
              </m:acc>
            </m:e>
            <m:sub>
              <m:r>
                <m:t>h</m:t>
              </m:r>
            </m:sub>
          </m:sSub>
          <m:r>
            <m:rPr>
              <m:sty m:val="p"/>
            </m:rPr>
            <m:t>,</m:t>
          </m:r>
          <m:r>
            <m:t>  </m:t>
          </m:r>
          <m:sSub>
            <m:e>
              <m:acc>
                <m:accPr>
                  <m:chr m:val="̂"/>
                </m:accPr>
                <m:e>
                  <m:r>
                    <m:t>p</m:t>
                  </m:r>
                </m:e>
              </m:acc>
            </m:e>
            <m:sub>
              <m:r>
                <m:t>h</m:t>
              </m:r>
            </m:sub>
          </m:sSub>
          <m:r>
            <m:rPr>
              <m:sty m:val="p"/>
            </m:rPr>
            <m:t>=</m:t>
          </m:r>
          <m:sSubSup>
            <m:e>
              <m:r>
                <m:t>b</m:t>
              </m:r>
            </m:e>
            <m:sub>
              <m:r>
                <m:t>h</m:t>
              </m:r>
            </m:sub>
            <m:sup>
              <m:r>
                <m:rPr>
                  <m:sty m:val="p"/>
                </m:rPr>
                <m:t>−</m:t>
              </m:r>
              <m:r>
                <m:t>1</m:t>
              </m:r>
            </m:sup>
          </m:sSubSup>
          <m:nary>
            <m:naryPr>
              <m:chr m:val="∑"/>
              <m:limLoc m:val="undOvr"/>
              <m:subHide m:val="off"/>
              <m:supHide m:val="off"/>
            </m:naryPr>
            <m:sub>
              <m:r>
                <m:t>j</m:t>
              </m:r>
              <m:r>
                <m:rPr>
                  <m:sty m:val="p"/>
                </m:rPr>
                <m:t>=</m:t>
              </m:r>
              <m:r>
                <m:t>1</m:t>
              </m:r>
            </m:sub>
            <m:sup>
              <m:sSub>
                <m:e>
                  <m:r>
                    <m:t>b</m:t>
                  </m:r>
                </m:e>
                <m:sub>
                  <m:r>
                    <m:t>h</m:t>
                  </m:r>
                </m:sub>
              </m:sSub>
            </m:sup>
            <m:e>
              <m:sSub>
                <m:e>
                  <m:r>
                    <m:t>a</m:t>
                  </m:r>
                </m:e>
                <m:sub>
                  <m:r>
                    <m:t>h</m:t>
                  </m:r>
                  <m:r>
                    <m:t>j</m:t>
                  </m:r>
                </m:sub>
              </m:sSub>
            </m:e>
          </m:nary>
          <m:r>
            <m:rPr>
              <m:sty m:val="p"/>
            </m:rPr>
            <m:t>.</m:t>
          </m:r>
          <m:r>
            <m:t>  </m:t>
          </m:r>
          <m:r>
            <m:rPr>
              <m:nor/>
              <m:sty m:val="p"/>
            </m:rPr>
            <m:t>(6.1)</m:t>
          </m:r>
        </m:oMath>
      </m:oMathPara>
    </w:p>
    <w:p>
      <w:pPr>
        <w:pStyle w:val="FirstParagraph"/>
        <w:spacing w:line="288" w:lineRule="auto" w:after="80"/>
        <w:ind w:firstLine="420"/>
      </w:pPr>
      <w:r>
        <w:rPr>
          <w:rFonts w:hint="eastAsia"/>
        </w:rPr>
        <w:t xml:space="preserve">在各层独立抽样条件下，其设计方差为[11]</w:t>
      </w:r>
    </w:p>
    <w:p>
      <w:pPr>
        <w:pStyle w:val="BodyText"/>
        <w:spacing w:line="288" w:lineRule="auto" w:after="80"/>
        <w:ind w:firstLine="420"/>
      </w:pPr>
      <m:oMathPara>
        <m:oMathParaPr>
          <m:jc m:val="center"/>
        </m:oMathParaPr>
        <m:oMath>
          <m:r>
            <m:rPr>
              <m:sty m:val="p"/>
            </m:rPr>
            <m:t>Var</m:t>
          </m:r>
          <m:r>
            <m:rPr>
              <m:sty m:val="p"/>
            </m:rPr>
            <m:t>(</m:t>
          </m:r>
          <m:acc>
            <m:accPr>
              <m:chr m:val="̂"/>
            </m:accPr>
            <m:e>
              <m:r>
                <m:t>A</m:t>
              </m:r>
            </m:e>
          </m:acc>
          <m:r>
            <m:rPr>
              <m:sty m:val="p"/>
            </m:rPr>
            <m:t>)</m:t>
          </m:r>
          <m:r>
            <m:rPr>
              <m:sty m:val="p"/>
            </m:rPr>
            <m:t>=</m:t>
          </m:r>
          <m:nary>
            <m:naryPr>
              <m:chr m:val="∑"/>
              <m:limLoc m:val="undOvr"/>
              <m:subHide m:val="off"/>
              <m:supHide m:val="on"/>
            </m:naryPr>
            <m:sub>
              <m:r>
                <m:t>h</m:t>
              </m:r>
            </m:sub>
            <m:sup>
              <m:r>
                <m:t>​</m:t>
              </m:r>
            </m:sup>
            <m:e>
              <m:sSubSup>
                <m:e>
                  <m:r>
                    <m:t>W</m:t>
                  </m:r>
                </m:e>
                <m:sub>
                  <m:r>
                    <m:t>h</m:t>
                  </m:r>
                </m:sub>
                <m:sup>
                  <m:r>
                    <m:t>2</m:t>
                  </m:r>
                </m:sup>
              </m:sSubSup>
            </m:e>
          </m:nary>
          <m:d>
            <m:dPr>
              <m:begChr m:val="("/>
              <m:sepChr m:val=""/>
              <m:endChr m:val=")"/>
              <m:grow/>
            </m:dPr>
            <m:e>
              <m:r>
                <m:t>1</m:t>
              </m:r>
              <m:r>
                <m:rPr>
                  <m:sty m:val="p"/>
                </m:rPr>
                <m:t>−</m:t>
              </m:r>
              <m:f>
                <m:fPr>
                  <m:type m:val="bar"/>
                </m:fPr>
                <m:num>
                  <m:sSub>
                    <m:e>
                      <m:r>
                        <m:t>b</m:t>
                      </m:r>
                    </m:e>
                    <m:sub>
                      <m:r>
                        <m:t>h</m:t>
                      </m:r>
                    </m:sub>
                  </m:sSub>
                </m:num>
                <m:den>
                  <m:sSub>
                    <m:e>
                      <m:r>
                        <m:t>N</m:t>
                      </m:r>
                    </m:e>
                    <m:sub>
                      <m:r>
                        <m:t>h</m:t>
                      </m:r>
                    </m:sub>
                  </m:sSub>
                </m:den>
              </m:f>
            </m:e>
          </m:d>
          <m:f>
            <m:fPr>
              <m:type m:val="bar"/>
            </m:fPr>
            <m:num>
              <m:sSubSup>
                <m:e>
                  <m:r>
                    <m:t>S</m:t>
                  </m:r>
                </m:e>
                <m:sub>
                  <m:r>
                    <m:t>h</m:t>
                  </m:r>
                </m:sub>
                <m:sup>
                  <m:r>
                    <m:t>2</m:t>
                  </m:r>
                </m:sup>
              </m:sSubSup>
            </m:num>
            <m:den>
              <m:sSub>
                <m:e>
                  <m:r>
                    <m:t>b</m:t>
                  </m:r>
                </m:e>
                <m:sub>
                  <m:r>
                    <m:t>h</m:t>
                  </m:r>
                </m:sub>
              </m:sSub>
            </m:den>
          </m:f>
          <m:r>
            <m:rPr>
              <m:sty m:val="p"/>
            </m:rPr>
            <m:t>,</m:t>
          </m:r>
          <m:r>
            <m:t>  </m:t>
          </m:r>
          <m:sSubSup>
            <m:e>
              <m:r>
                <m:t>S</m:t>
              </m:r>
            </m:e>
            <m:sub>
              <m:r>
                <m:t>h</m:t>
              </m:r>
            </m:sub>
            <m:sup>
              <m:r>
                <m:t>2</m:t>
              </m:r>
            </m:sup>
          </m:sSubSup>
          <m:r>
            <m:rPr>
              <m:sty m:val="p"/>
            </m:rPr>
            <m:t>=</m:t>
          </m:r>
          <m:f>
            <m:fPr>
              <m:type m:val="bar"/>
            </m:fPr>
            <m:num>
              <m:r>
                <m:t>1</m:t>
              </m:r>
            </m:num>
            <m:den>
              <m:sSub>
                <m:e>
                  <m:r>
                    <m:t>N</m:t>
                  </m:r>
                </m:e>
                <m:sub>
                  <m:r>
                    <m:t>h</m:t>
                  </m:r>
                </m:sub>
              </m:sSub>
              <m:r>
                <m:rPr>
                  <m:sty m:val="p"/>
                </m:rPr>
                <m:t>−</m:t>
              </m:r>
              <m:r>
                <m:t>1</m:t>
              </m:r>
            </m:den>
          </m:f>
          <m:nary>
            <m:naryPr>
              <m:chr m:val="∑"/>
              <m:limLoc m:val="undOvr"/>
              <m:subHide m:val="off"/>
              <m:supHide m:val="off"/>
            </m:naryPr>
            <m:sub>
              <m:r>
                <m:t>j</m:t>
              </m:r>
              <m:r>
                <m:rPr>
                  <m:sty m:val="p"/>
                </m:rPr>
                <m:t>=</m:t>
              </m:r>
              <m:r>
                <m:t>1</m:t>
              </m:r>
            </m:sub>
            <m:sup>
              <m:sSub>
                <m:e>
                  <m:r>
                    <m:t>N</m:t>
                  </m:r>
                </m:e>
                <m:sub>
                  <m:r>
                    <m:t>h</m:t>
                  </m:r>
                </m:sub>
              </m:sSub>
            </m:sup>
            <m:e>
              <m:r>
                <m:rPr>
                  <m:sty m:val="p"/>
                </m:rPr>
                <m:t>(</m:t>
              </m:r>
            </m:e>
          </m:nary>
          <m:sSub>
            <m:e>
              <m:r>
                <m:t>a</m:t>
              </m:r>
            </m:e>
            <m:sub>
              <m:r>
                <m:t>h</m:t>
              </m:r>
              <m:r>
                <m:t>j</m:t>
              </m:r>
            </m:sub>
          </m:sSub>
          <m:r>
            <m:rPr>
              <m:sty m:val="p"/>
            </m:rPr>
            <m:t>−</m:t>
          </m:r>
          <m:sSub>
            <m:e>
              <m:r>
                <m:t>p</m:t>
              </m:r>
            </m:e>
            <m:sub>
              <m:r>
                <m:t>h</m:t>
              </m:r>
            </m:sub>
          </m:sSub>
          <m:sSup>
            <m:e>
              <m:r>
                <m:rPr>
                  <m:sty m:val="p"/>
                </m:rPr>
                <m:t>)</m:t>
              </m:r>
            </m:e>
            <m:sup>
              <m:r>
                <m:t>2</m:t>
              </m:r>
            </m:sup>
          </m:sSup>
          <m:r>
            <m:rPr>
              <m:sty m:val="p"/>
            </m:rPr>
            <m:t>.</m:t>
          </m:r>
          <m:r>
            <m:t>  </m:t>
          </m:r>
          <m:r>
            <m:rPr>
              <m:nor/>
              <m:sty m:val="p"/>
            </m:rPr>
            <m:t>(6.2)</m:t>
          </m:r>
        </m:oMath>
      </m:oMathPara>
    </w:p>
    <w:p>
      <w:pPr>
        <w:pStyle w:val="FirstParagraph"/>
        <w:spacing w:line="288" w:lineRule="auto" w:after="80"/>
        <w:ind w:firstLine="420"/>
      </w:pPr>
      <w:r>
        <w:rPr>
          <w:rFonts w:hint="eastAsia"/>
        </w:rPr>
        <w:t xml:space="preserve">实际估计以样本方差</w:t>
      </w:r>
      <m:oMath>
        <m:sSubSup>
          <m:e>
            <m:r>
              <m:t>s</m:t>
            </m:r>
          </m:e>
          <m:sub>
            <m:r>
              <m:t>h</m:t>
            </m:r>
          </m:sub>
          <m:sup>
            <m:r>
              <m:t>2</m:t>
            </m:r>
          </m:sup>
        </m:sSubSup>
      </m:oMath>
      <w:r>
        <w:rPr>
          <w:rFonts w:hint="eastAsia"/>
        </w:rPr>
        <w:t xml:space="preserve">代入，故每个用于估计方差的层需至少2条；小层或全同值样本的区间应谨慎处理。</w:t>
      </w:r>
      <m:oMath>
        <m:sSub>
          <m:e>
            <m:r>
              <m:t>S</m:t>
            </m:r>
          </m:e>
          <m:sub>
            <m:r>
              <m:t>h</m:t>
            </m:r>
          </m:sub>
        </m:sSub>
      </m:oMath>
      <w:r>
        <w:rPr>
          <w:rFonts w:hint="eastAsia"/>
        </w:rPr>
        <w:t xml:space="preserve">必须对应人工争议指标，不能用长度、胜率或未决率的变异冒充。</w:t>
      </w:r>
    </w:p>
    <w:p>
      <w:pPr>
        <w:pStyle w:val="BodyText"/>
        <w:spacing w:line="288" w:lineRule="auto" w:after="80"/>
        <w:ind w:firstLine="420"/>
      </w:pPr>
      <w:r>
        <w:rPr>
          <w:rFonts w:hint="eastAsia"/>
        </w:rPr>
        <w:t xml:space="preserve">等成本、固定总样本量</w:t>
      </w:r>
      <m:oMath>
        <m:nary>
          <m:naryPr>
            <m:chr m:val="∑"/>
            <m:limLoc m:val="undOvr"/>
            <m:subHide m:val="off"/>
            <m:supHide m:val="on"/>
          </m:naryPr>
          <m:sub>
            <m:r>
              <m:t>h</m:t>
            </m:r>
          </m:sub>
          <m:sup>
            <m:r>
              <m:t>​</m:t>
            </m:r>
          </m:sup>
          <m:e>
            <m:sSub>
              <m:e>
                <m:r>
                  <m:t>b</m:t>
                </m:r>
              </m:e>
              <m:sub>
                <m:r>
                  <m:t>h</m:t>
                </m:r>
              </m:sub>
            </m:sSub>
          </m:e>
        </m:nary>
        <m:r>
          <m:rPr>
            <m:sty m:val="p"/>
          </m:rPr>
          <m:t>=</m:t>
        </m:r>
        <m:r>
          <m:t>B</m:t>
        </m:r>
      </m:oMath>
      <w:r>
        <w:rPr>
          <w:rFonts w:hint="eastAsia"/>
        </w:rPr>
        <w:t xml:space="preserve">且忽略整数和容量限制时，最小化方差得到Neyman分配</w:t>
      </w:r>
    </w:p>
    <w:p>
      <w:pPr>
        <w:pStyle w:val="BodyText"/>
        <w:spacing w:line="288" w:lineRule="auto" w:after="80"/>
        <w:ind w:firstLine="420"/>
      </w:pPr>
      <m:oMathPara>
        <m:oMathParaPr>
          <m:jc m:val="center"/>
        </m:oMathParaPr>
        <m:oMath>
          <m:sSub>
            <m:e>
              <m:r>
                <m:t>b</m:t>
              </m:r>
            </m:e>
            <m:sub>
              <m:r>
                <m:t>h</m:t>
              </m:r>
            </m:sub>
          </m:sSub>
          <m:r>
            <m:rPr>
              <m:sty m:val="p"/>
            </m:rPr>
            <m:t>=</m:t>
          </m:r>
          <m:r>
            <m:t>B</m:t>
          </m:r>
          <m:f>
            <m:fPr>
              <m:type m:val="bar"/>
            </m:fPr>
            <m:num>
              <m:sSub>
                <m:e>
                  <m:r>
                    <m:t>N</m:t>
                  </m:r>
                </m:e>
                <m:sub>
                  <m:r>
                    <m:t>h</m:t>
                  </m:r>
                </m:sub>
              </m:sSub>
              <m:sSub>
                <m:e>
                  <m:r>
                    <m:t>S</m:t>
                  </m:r>
                </m:e>
                <m:sub>
                  <m:r>
                    <m:t>h</m:t>
                  </m:r>
                </m:sub>
              </m:sSub>
            </m:num>
            <m:den>
              <m:nary>
                <m:naryPr>
                  <m:chr m:val="∑"/>
                  <m:limLoc m:val="undOvr"/>
                  <m:subHide m:val="off"/>
                  <m:supHide m:val="on"/>
                </m:naryPr>
                <m:sub>
                  <m:r>
                    <m:t>k</m:t>
                  </m:r>
                </m:sub>
                <m:sup>
                  <m:r>
                    <m:t>​</m:t>
                  </m:r>
                </m:sup>
                <m:e>
                  <m:sSub>
                    <m:e>
                      <m:r>
                        <m:t>N</m:t>
                      </m:r>
                    </m:e>
                    <m:sub>
                      <m:r>
                        <m:t>k</m:t>
                      </m:r>
                    </m:sub>
                  </m:sSub>
                </m:e>
              </m:nary>
              <m:sSub>
                <m:e>
                  <m:r>
                    <m:t>S</m:t>
                  </m:r>
                </m:e>
                <m:sub>
                  <m:r>
                    <m:t>k</m:t>
                  </m:r>
                </m:sub>
              </m:sSub>
            </m:den>
          </m:f>
          <m:r>
            <m:rPr>
              <m:sty m:val="p"/>
            </m:rPr>
            <m:t>.</m:t>
          </m:r>
          <m:r>
            <m:t>  </m:t>
          </m:r>
          <m:r>
            <m:rPr>
              <m:nor/>
              <m:sty m:val="p"/>
            </m:rPr>
            <m:t>(6.3)</m:t>
          </m:r>
        </m:oMath>
      </m:oMathPara>
    </w:p>
    <w:p>
      <w:pPr>
        <w:pStyle w:val="FirstParagraph"/>
        <w:spacing w:line="288" w:lineRule="auto" w:after="80"/>
        <w:ind w:firstLine="420"/>
      </w:pPr>
      <w:r>
        <w:rPr>
          <w:rFonts w:hint="eastAsia"/>
        </w:rPr>
        <w:t xml:space="preserve">不同单位成本</w:t>
      </w:r>
      <m:oMath>
        <m:sSub>
          <m:e>
            <m:r>
              <m:t>c</m:t>
            </m:r>
          </m:e>
          <m:sub>
            <m:r>
              <m:t>h</m:t>
            </m:r>
          </m:sub>
        </m:sSub>
      </m:oMath>
      <w:r>
        <w:rPr>
          <w:rFonts w:hint="eastAsia"/>
        </w:rPr>
        <w:t xml:space="preserve">且约束为</w:t>
      </w:r>
      <m:oMath>
        <m:nary>
          <m:naryPr>
            <m:chr m:val="∑"/>
            <m:limLoc m:val="undOvr"/>
            <m:subHide m:val="off"/>
            <m:supHide m:val="on"/>
          </m:naryPr>
          <m:sub>
            <m:r>
              <m:t>h</m:t>
            </m:r>
          </m:sub>
          <m:sup>
            <m:r>
              <m:t>​</m:t>
            </m:r>
          </m:sup>
          <m:e>
            <m:sSub>
              <m:e>
                <m:r>
                  <m:t>c</m:t>
                </m:r>
              </m:e>
              <m:sub>
                <m:r>
                  <m:t>h</m:t>
                </m:r>
              </m:sub>
            </m:sSub>
          </m:e>
        </m:nary>
        <m:sSub>
          <m:e>
            <m:r>
              <m:t>b</m:t>
            </m:r>
          </m:e>
          <m:sub>
            <m:r>
              <m:t>h</m:t>
            </m:r>
          </m:sub>
        </m:sSub>
        <m:r>
          <m:rPr>
            <m:sty m:val="p"/>
          </m:rPr>
          <m:t>=</m:t>
        </m:r>
        <m:r>
          <m:t>C</m:t>
        </m:r>
      </m:oMath>
      <w:r>
        <w:rPr>
          <w:rFonts w:hint="eastAsia"/>
        </w:rPr>
        <w:t xml:space="preserve">时，连续解满足</w:t>
      </w:r>
      <m:oMath>
        <m:sSub>
          <m:e>
            <m:r>
              <m:t>b</m:t>
            </m:r>
          </m:e>
          <m:sub>
            <m:r>
              <m:t>h</m:t>
            </m:r>
          </m:sub>
        </m:sSub>
        <m:r>
          <m:rPr>
            <m:sty m:val="p"/>
          </m:rPr>
          <m:t>∝</m:t>
        </m:r>
        <m:sSub>
          <m:e>
            <m:r>
              <m:t>N</m:t>
            </m:r>
          </m:e>
          <m:sub>
            <m:r>
              <m:t>h</m:t>
            </m:r>
          </m:sub>
        </m:sSub>
        <m:sSub>
          <m:e>
            <m:r>
              <m:t>S</m:t>
            </m:r>
          </m:e>
          <m:sub>
            <m:r>
              <m:t>h</m:t>
            </m:r>
          </m:sub>
        </m:sSub>
        <m:r>
          <m:rPr>
            <m:sty m:val="p"/>
          </m:rPr>
          <m:t>/</m:t>
        </m:r>
        <m:rad>
          <m:radPr>
            <m:degHide m:val="on"/>
          </m:radPr>
          <m:deg/>
          <m:e>
            <m:sSub>
              <m:e>
                <m:r>
                  <m:t>c</m:t>
                </m:r>
              </m:e>
              <m:sub>
                <m:r>
                  <m:t>h</m:t>
                </m:r>
              </m:sub>
            </m:sSub>
          </m:e>
        </m:rad>
      </m:oMath>
      <w:r>
        <w:rPr>
          <w:rFonts w:hint="eastAsia"/>
        </w:rPr>
        <w:t xml:space="preserve">。实际执行需设置最低样本量、不超过层容量并按明确规则取整；若要求层间比较，不能只按总体估计精度配置预算。</w:t>
      </w:r>
    </w:p>
    <w:p>
      <w:pPr>
        <w:pStyle w:val="BodyText"/>
        <w:spacing w:line="288" w:lineRule="auto" w:after="80"/>
        <w:ind w:firstLine="420"/>
      </w:pPr>
      <w:r>
        <w:rPr>
          <w:rFonts w:hint="eastAsia"/>
        </w:rPr>
        <w:t xml:space="preserve">以300条内容复核预算为例，三层等额分配为100、100、100；按真实层大小比例分配并采用最大余数法取整为65、106、129。在未知争议率时，采用各层相同的保守方差假设，Neyman分配近似退化为比例分配；这只是设计情景。获得独立先导复核后，才能用各层争议方差计算针对该目标的Neyman配置。为避免自适应抽样解释复杂化，可将先导样本与正式估计样本分开，正式样本在方案冻结后抽取。</w:t>
      </w:r>
    </w:p>
    <w:p>
      <w:pPr>
        <w:pStyle w:val="BodyText"/>
        <w:spacing w:line="288" w:lineRule="auto" w:after="80"/>
        <w:ind w:firstLine="420"/>
      </w:pPr>
      <w:r>
        <w:rPr>
          <w:rFonts w:hint="eastAsia"/>
        </w:rPr>
        <w:t xml:space="preserve">若进一步按评价状态交叉分层，</w:t>
      </w:r>
      <m:oMath>
        <m:r>
          <m:t>h</m:t>
        </m:r>
      </m:oMath>
      <w:r>
        <w:rPr>
          <w:rFonts w:hint="eastAsia"/>
        </w:rPr>
        <w:t xml:space="preserve">应指长度层与状态的交叉层；不等概率抽样需记录纳入概率并据此估计总体。格式测量盲审的400个侧别回答与这里300条配对内容复核是不同任务和单位，不能相互替代。</w:t>
      </w:r>
    </w:p>
    <w:bookmarkEnd w:id="46"/>
    <w:bookmarkStart w:id="47" w:name="实际应用范围"/>
    <w:p>
      <w:pPr>
        <w:pStyle w:val="Heading2"/>
        <w:keepNext/>
        <w:spacing w:line="288" w:lineRule="auto" w:after="80"/>
      </w:pPr>
      <w:r>
        <w:rPr>
          <w:rStyle w:val="SectionNumber"/>
        </w:rPr>
        <w:t xml:space="preserve">6.3</w:t>
      </w:r>
      <w:r>
        <w:tab/>
      </w:r>
      <w:r>
        <w:rPr>
          <w:rFonts w:hint="eastAsia"/>
        </w:rPr>
        <w:t xml:space="preserve">实际应用范围</w:t>
      </w:r>
    </w:p>
    <w:p>
      <w:pPr>
        <w:pStyle w:val="FirstParagraph"/>
        <w:spacing w:line="288" w:lineRule="auto" w:after="80"/>
        <w:ind w:firstLine="420"/>
      </w:pPr>
      <w:r>
        <w:rPr>
          <w:rFonts w:hint="eastAsia"/>
        </w:rPr>
        <w:t xml:space="preserve">复核时应隐藏原始胜负，评价正确性、相关性、覆盖及组织方式，记录独立判断与依据；合理偏好分歧不自动等于错误标签。长度、粗体密度可作为候选监测特征，标题需结合场景，列表密度不宜单独作为剔除依据。不能为了使较长者胜率接近50%而删样，也不能从当前OR直接生成去偏权重。</w:t>
      </w:r>
    </w:p>
    <w:p>
      <w:pPr>
        <w:pStyle w:val="BodyText"/>
        <w:spacing w:line="288" w:lineRule="auto" w:after="80"/>
        <w:ind w:firstLine="420"/>
      </w:pPr>
      <w:r>
        <w:rPr>
          <w:rFonts w:hint="eastAsia"/>
        </w:rPr>
        <w:t xml:space="preserve">本文已完成真实分层、条件及状态模型、格式替代测量与抽样设计，尚未实施独立内容复核、抽样效率比较、奖励模型训练或榜单校准。应用贡献是可复现的审计步骤和统计设计，不是已验证的争议发现率或去偏收益。</w:t>
      </w:r>
    </w:p>
    <w:bookmarkEnd w:id="47"/>
    <w:bookmarkEnd w:id="48"/>
    <w:bookmarkStart w:id="59" w:name="结论与局限"/>
    <w:p>
      <w:pPr>
        <w:pStyle w:val="Heading1"/>
        <w:keepNext/>
        <w:spacing w:line="288" w:lineRule="auto" w:after="80"/>
      </w:pPr>
      <w:r>
        <w:rPr>
          <w:rStyle w:val="SectionNumber"/>
        </w:rPr>
        <w:t xml:space="preserve">7</w:t>
      </w:r>
      <w:r>
        <w:tab/>
      </w:r>
      <w:r>
        <w:rPr>
          <w:rFonts w:hint="eastAsia"/>
        </w:rPr>
        <w:t xml:space="preserve">结论与局限</w:t>
      </w:r>
    </w:p>
    <w:p>
      <w:pPr>
        <w:pStyle w:val="FirstParagraph"/>
        <w:spacing w:line="288" w:lineRule="auto" w:after="80"/>
        <w:ind w:firstLine="420"/>
      </w:pPr>
      <w:r>
        <w:rPr>
          <w:rFonts w:hint="eastAsia"/>
        </w:rPr>
        <w:t xml:space="preserve">成对比较模型显示长度与粗体密度同人类选择存在正关联，标题较弱且对子集敏感，列表密度证据不足。聚类、月份及替代解析检查保留主要密度结论，但长度存在明显非线性，截尾改变线性斜率，粗体存在性也未表现出同样支持。因此应报告模型和测量依赖，而不能把某一种格式概括为普遍有效的编辑策略。</w:t>
      </w:r>
    </w:p>
    <w:p>
      <w:pPr>
        <w:pStyle w:val="BodyText"/>
        <w:spacing w:line="288" w:lineRule="auto" w:after="80"/>
        <w:ind w:firstLine="420"/>
      </w:pPr>
      <w:r>
        <w:rPr>
          <w:rFonts w:hint="eastAsia"/>
        </w:rPr>
        <w:t xml:space="preserve">SEM观测变量路径分析作为探索保留：线性工作设定下，经粗体密度的关联乘积方向较一致，标题及列表的证据受限。该分解不识别因果机制，也未通过非线性路径模型验证。明确选择状态分析进一步说明未决评价应进入审计抽样框。</w:t>
      </w:r>
    </w:p>
    <w:p>
      <w:pPr>
        <w:pStyle w:val="BodyText"/>
        <w:spacing w:line="288" w:lineRule="auto" w:after="80"/>
        <w:ind w:firstLine="420"/>
      </w:pPr>
      <w:r>
        <w:rPr>
          <w:rFonts w:hint="eastAsia"/>
        </w:rPr>
        <w:t xml:space="preserve">分层估计方差和预算分配连接了统计分析与复核操作，但仍需人工格式与内容验证。单平台、未观测质量、未知用户依赖、提示词近似重复、模型随时间变化和密度分母耦合限制了推广；精确提示词及模型对聚类没有覆盖全部依赖来源。后续应优先完成已准备的盲审，并在独立数据上检验审计方案，不以增加统计模型数量代替应用验证。</w:t>
      </w:r>
    </w:p>
    <w:p>
      <w:pPr>
        <w:pStyle w:val="BodyText"/>
        <w:spacing w:line="288" w:lineRule="auto" w:after="80"/>
        <w:ind w:firstLine="420"/>
      </w:pPr>
      <w:r>
        <w:t xml:space="preserve">99</w:t>
      </w:r>
      <w:r>
        <w:t xml:space="preserve"> </w:t>
      </w:r>
      <w:r>
        <w:t xml:space="preserve">CHIANG W L, ZHENG L, SHENG Y, et al. Chatbot Arena: An Open Platform for Evaluating LLMs by Human Preference[C]//Proceedings of the 41st International Conference on Machine Learning. PMLR, 2024, 235: 8359–8388.</w:t>
      </w:r>
      <w:r>
        <w:t xml:space="preserve"> </w:t>
      </w:r>
      <w:hyperlink r:id="rId49">
        <w:r>
          <w:rPr>
            <w:rStyle w:val="Hyperlink"/>
          </w:rPr>
          <w:t xml:space="preserve">https://proceedings.mlr.press/v235/chiang24b.html</w:t>
        </w:r>
      </w:hyperlink>
      <w:r>
        <w:t xml:space="preserve">.</w:t>
      </w:r>
      <w:r>
        <w:t xml:space="preserve"> </w:t>
      </w:r>
      <w:r>
        <w:t xml:space="preserve">LI J, ZHOU F, SUN S, et al. Dissecting Human and LLM Preferences[C]//Proceedings of the 62nd Annual Meeting of the Association for Computational Linguistics (Volume 1: Long Papers). 2024: 1790–1811.</w:t>
      </w:r>
      <w:r>
        <w:t xml:space="preserve"> </w:t>
      </w:r>
      <w:hyperlink r:id="rId50">
        <w:r>
          <w:rPr>
            <w:rStyle w:val="Hyperlink"/>
          </w:rPr>
          <w:t xml:space="preserve">https://doi.org/10.18653/v1/2024.acl-long.99</w:t>
        </w:r>
      </w:hyperlink>
      <w:r>
        <w:t xml:space="preserve">.</w:t>
      </w:r>
      <w:r>
        <w:t xml:space="preserve"> </w:t>
      </w:r>
      <w:r>
        <w:t xml:space="preserve">DUBOIS Y, LIANG P, HASHIMOTO T B. Length-Controlled AlpacaEval: A Simple Way to Debias Automatic Evaluators[C]//Conference on Language Modeling. 2024.</w:t>
      </w:r>
      <w:r>
        <w:t xml:space="preserve"> </w:t>
      </w:r>
      <w:hyperlink r:id="rId51">
        <w:r>
          <w:rPr>
            <w:rStyle w:val="Hyperlink"/>
          </w:rPr>
          <w:t xml:space="preserve">https://openreview.net/pdf?id=CybBmzWBX0</w:t>
        </w:r>
      </w:hyperlink>
      <w:r>
        <w:t xml:space="preserve">.</w:t>
      </w:r>
      <w:r>
        <w:t xml:space="preserve"> </w:t>
      </w:r>
      <w:r>
        <w:t xml:space="preserve">ZHANG X, XIONG W, CHEN L, et al. From Lists to Emojis: How Format Bias Affects Model Alignment[C]//Proceedings of the 63rd Annual Meeting of the Association for Computational Linguistics (Volume 1: Long Papers). 2025: 26940–26961.</w:t>
      </w:r>
      <w:r>
        <w:t xml:space="preserve"> </w:t>
      </w:r>
      <w:hyperlink r:id="rId52">
        <w:r>
          <w:rPr>
            <w:rStyle w:val="Hyperlink"/>
          </w:rPr>
          <w:t xml:space="preserve">https://doi.org/10.18653/v1/2025.acl-long.1308</w:t>
        </w:r>
      </w:hyperlink>
      <w:r>
        <w:t xml:space="preserve">.</w:t>
      </w:r>
      <w:r>
        <w:t xml:space="preserve"> </w:t>
      </w:r>
      <w:r>
        <w:t xml:space="preserve">LMARENA AI. arena-human-preference-140k[DS/OL]. [2026-09-21].</w:t>
      </w:r>
      <w:r>
        <w:t xml:space="preserve"> </w:t>
      </w:r>
      <w:hyperlink r:id="rId53">
        <w:r>
          <w:rPr>
            <w:rStyle w:val="Hyperlink"/>
          </w:rPr>
          <w:t xml:space="preserve">https://huggingface.co/datasets/lmarena-ai/arena-human-preference-140k</w:t>
        </w:r>
      </w:hyperlink>
      <w:r>
        <w:t xml:space="preserve">.</w:t>
      </w:r>
      <w:r>
        <w:t xml:space="preserve"> </w:t>
      </w:r>
      <w:r>
        <w:t xml:space="preserve">HOLM S. A Simple Sequentially Rejective Multiple Test Procedure[J]. Scandinavian Journal of Statistics, 1979, 6(2): 65–70.</w:t>
      </w:r>
      <w:r>
        <w:t xml:space="preserve"> </w:t>
      </w:r>
      <w:hyperlink r:id="rId54">
        <w:r>
          <w:rPr>
            <w:rStyle w:val="Hyperlink"/>
          </w:rPr>
          <w:t xml:space="preserve">https://www.jstor.org/stable/4615733</w:t>
        </w:r>
      </w:hyperlink>
      <w:r>
        <w:t xml:space="preserve">.</w:t>
      </w:r>
      <w:r>
        <w:t xml:space="preserve"> </w:t>
      </w:r>
      <w:r>
        <w:t xml:space="preserve">BRADLEY R A, TERRY M E. Rank Analysis of Incomplete Block Designs: I. The Method of Paired Comparisons[J]. Biometrika, 1952, 39(3/4): 324–345.</w:t>
      </w:r>
      <w:r>
        <w:t xml:space="preserve"> </w:t>
      </w:r>
      <w:hyperlink r:id="rId55">
        <w:r>
          <w:rPr>
            <w:rStyle w:val="Hyperlink"/>
          </w:rPr>
          <w:t xml:space="preserve">https://doi.org/10.1093/biomet/39.3-4.324</w:t>
        </w:r>
      </w:hyperlink>
      <w:r>
        <w:t xml:space="preserve">.</w:t>
      </w:r>
      <w:r>
        <w:t xml:space="preserve"> </w:t>
      </w:r>
      <w:r>
        <w:t xml:space="preserve">FIRTH D. Bradley–Terry Models in R[J]. Journal of Statistical Software, 2005, 12(1): 1–12.</w:t>
      </w:r>
      <w:r>
        <w:t xml:space="preserve"> </w:t>
      </w:r>
      <w:hyperlink r:id="rId56">
        <w:r>
          <w:rPr>
            <w:rStyle w:val="Hyperlink"/>
          </w:rPr>
          <w:t xml:space="preserve">https://doi.org/10.18637/jss.v012.i01</w:t>
        </w:r>
      </w:hyperlink>
      <w:r>
        <w:t xml:space="preserve">.</w:t>
      </w:r>
      <w:r>
        <w:t xml:space="preserve"> </w:t>
      </w:r>
      <w:r>
        <w:t xml:space="preserve">CAMERON A C, MILLER D L. A Practitioner’s Guide to Cluster-Robust Inference[J]. Journal of Human Resources, 2015, 50(2): 317–372.</w:t>
      </w:r>
      <w:r>
        <w:t xml:space="preserve"> </w:t>
      </w:r>
      <w:hyperlink r:id="rId57">
        <w:r>
          <w:rPr>
            <w:rStyle w:val="Hyperlink"/>
          </w:rPr>
          <w:t xml:space="preserve">https://doi.org/10.3368/jhr.50.2.317</w:t>
        </w:r>
      </w:hyperlink>
      <w:r>
        <w:t xml:space="preserve">.</w:t>
      </w:r>
      <w:r>
        <w:t xml:space="preserve"> </w:t>
      </w:r>
      <w:r>
        <w:t xml:space="preserve">HARRELL F E. Regression Modeling Strategies[M]. 2nd ed. Cham: Springer, 2015.</w:t>
      </w:r>
      <w:r>
        <w:t xml:space="preserve"> </w:t>
      </w:r>
      <w:hyperlink r:id="rId58">
        <w:r>
          <w:rPr>
            <w:rStyle w:val="Hyperlink"/>
          </w:rPr>
          <w:t xml:space="preserve">https://doi.org/10.1007/978-3-319-19425-7</w:t>
        </w:r>
      </w:hyperlink>
      <w:r>
        <w:t xml:space="preserve">.</w:t>
      </w:r>
      <w:r>
        <w:t xml:space="preserve"> </w:t>
      </w:r>
      <w:r>
        <w:t xml:space="preserve">RICE J A. Mathematical Statistics and Data Analysis[M]. 3rd ed. Belmont: Thomson Brooks/Cole, 2007.</w:t>
      </w:r>
    </w:p>
    <w:bookmarkEnd w:id="59"/>
    <w:sectPr>
      <w:footerReference w:type="default" r:id="rId9"/>
      <w:footnotePr>
        <w:numRestart w:val="eachSect"/>
      </w:footnotePr>
      <w:pgSz w:w="11906" w:h="16838"/>
      <w:pgMar w:top="1247" w:bottom="1247" w:left="1276" w:right="12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color w:val="000000"/>
      <w:sz w:val="21"/>
    </w:rPr>
  </w:style>
  <w:style w:styleId="BodyText" w:type="paragraph">
    <w:name w:val="Body Text"/>
    <w:basedOn w:val="Normal"/>
    <w:link w:val="BodyTextChar"/>
    <w:qFormat/>
    <w:pPr>
      <w:spacing w:after="180" w:before="180"/>
    </w:pPr>
    <w:rPr>
      <w:rFonts w:ascii="Times New Roman" w:hAnsi="Times New Roman" w:eastAsia="宋体"/>
      <w:color w:val="000000"/>
      <w:sz w:val="21"/>
    </w:rPr>
  </w:style>
  <w:style w:customStyle="1" w:styleId="FirstParagraph" w:type="paragraph">
    <w:name w:val="First Paragraph"/>
    <w:basedOn w:val="BodyText"/>
    <w:next w:val="BodyText"/>
    <w:qFormat/>
    <w:rPr>
      <w:rFonts w:ascii="Times New Roman" w:hAnsi="Times New Roman" w:eastAsia="宋体"/>
      <w:color w:val="000000"/>
      <w:sz w:val="21"/>
    </w:rPr>
  </w:style>
  <w:style w:customStyle="1" w:styleId="Compact" w:type="paragraph">
    <w:name w:val="Compact"/>
    <w:basedOn w:val="BodyText"/>
    <w:qFormat/>
    <w:pPr>
      <w:spacing w:after="36" w:before="36"/>
    </w:pPr>
    <w:rPr>
      <w:rFonts w:ascii="Times New Roman" w:hAnsi="Times New Roman" w:eastAsia="宋体"/>
      <w:color w:val="000000"/>
      <w:sz w:val="21"/>
    </w:rPr>
  </w:style>
  <w:style w:styleId="Title" w:type="paragraph">
    <w:name w:val="Title"/>
    <w:basedOn w:val="Normal"/>
    <w:next w:val="BodyText"/>
    <w:link w:val="TitleChar"/>
    <w:uiPriority w:val="10"/>
    <w:qFormat/>
    <w:rsid w:val="00A10FD9"/>
    <w:pPr>
      <w:spacing w:after="120" w:line="240" w:lineRule="auto" w:before="200"/>
      <w:contextualSpacing/>
      <w:jc w:val="center"/>
    </w:pPr>
    <w:rPr>
      <w:rFonts w:cstheme="majorBidi" w:ascii="Times New Roman" w:hAnsi="Times New Roman" w:eastAsia="宋体"/>
      <w:b/>
      <w:color w:val="000000"/>
      <w:sz w:val="34"/>
      <w:szCs w:val="56"/>
    </w:rPr>
  </w:style>
  <w:style w:customStyle="1" w:styleId="TitleChar" w:type="character">
    <w:name w:val="Title Char"/>
    <w:basedOn w:val="DefaultParagraphFont"/>
    <w:link w:val="Title"/>
    <w:uiPriority w:val="10"/>
    <w:rsid w:val="00A10FD9"/>
    <w:rPr>
      <w:rFonts w:cstheme="majorBidi" w:ascii="Times New Roman" w:hAnsi="Times New Roman" w:eastAsia="宋体"/>
      <w:color w:val="000000"/>
      <w:sz w:val="21"/>
      <w:szCs w:val="56"/>
    </w:rPr>
  </w:style>
  <w:style w:styleId="Subtitle" w:type="paragraph">
    <w:name w:val="Subtitle"/>
    <w:basedOn w:val="Title"/>
    <w:next w:val="BodyText"/>
    <w:link w:val="SubtitleChar"/>
    <w:uiPriority w:val="11"/>
    <w:qFormat/>
    <w:rsid w:val="00A10FD9"/>
    <w:pPr>
      <w:numPr>
        <w:ilvl w:val="1"/>
      </w:numPr>
      <w:spacing w:before="200" w:after="120"/>
    </w:pPr>
    <w:rPr>
      <w:rFonts w:cstheme="majorBidi" w:ascii="Times New Roman" w:hAnsi="Times New Roman" w:eastAsia="宋体"/>
      <w:b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ascii="Times New Roman" w:hAnsi="Times New Roman" w:eastAsia="宋体"/>
      <w:color w:val="000000"/>
      <w:spacing w:val="15"/>
      <w:sz w:val="21"/>
      <w:szCs w:val="28"/>
    </w:rPr>
  </w:style>
  <w:style w:customStyle="1" w:styleId="Author" w:type="paragraph">
    <w:name w:val="Author"/>
    <w:basedOn w:val="Title"/>
    <w:next w:val="BodyText"/>
    <w:qFormat/>
    <w:pPr>
      <w:keepNext/>
      <w:keepLines/>
    </w:pPr>
    <w:rPr>
      <w:rFonts w:ascii="Times New Roman" w:hAnsi="Times New Roman" w:eastAsia="宋体"/>
      <w:color w:val="000000"/>
      <w:sz w:val="21"/>
      <w:szCs w:val="24"/>
    </w:rPr>
  </w:style>
  <w:style w:styleId="Date" w:type="paragraph">
    <w:name w:val="Date"/>
    <w:basedOn w:val="Title"/>
    <w:next w:val="BodyText"/>
    <w:qFormat/>
    <w:pPr>
      <w:keepNext/>
      <w:keepLines/>
    </w:pPr>
    <w:rPr>
      <w:rFonts w:ascii="Times New Roman" w:hAnsi="Times New Roman" w:eastAsia="宋体"/>
      <w:color w:val="000000"/>
      <w:sz w:val="21"/>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宋体"/>
      <w:b/>
      <w:color w:val="000000"/>
      <w:sz w:val="21"/>
      <w:szCs w:val="20"/>
    </w:rPr>
  </w:style>
  <w:style w:customStyle="1" w:styleId="Abstract" w:type="paragraph">
    <w:name w:val="Abstract"/>
    <w:basedOn w:val="Normal"/>
    <w:next w:val="BodyText"/>
    <w:qFormat/>
    <w:pPr>
      <w:keepNext/>
      <w:keepLines/>
      <w:spacing w:after="300" w:before="100"/>
    </w:pPr>
    <w:rPr>
      <w:rFonts w:ascii="Times New Roman" w:hAnsi="Times New Roman" w:eastAsia="宋体"/>
      <w:color w:val="000000"/>
      <w:sz w:val="21"/>
      <w:szCs w:val="20"/>
    </w:rPr>
  </w:style>
  <w:style w:styleId="Bibliography" w:type="paragraph">
    <w:name w:val="Bibliography"/>
    <w:basedOn w:val="Normal"/>
    <w:next w:val="Bibliography"/>
    <w:qFormat/>
    <w:pPr/>
    <w:rPr>
      <w:rFonts w:ascii="Times New Roman" w:hAnsi="Times New Roman" w:eastAsia="宋体"/>
      <w:color w:val="000000"/>
      <w:sz w:val="21"/>
    </w:rPr>
  </w:style>
  <w:style w:styleId="Heading1" w:type="paragraph">
    <w:name w:val="heading 1"/>
    <w:basedOn w:val="Normal"/>
    <w:next w:val="BodyText"/>
    <w:link w:val="Heading1Char"/>
    <w:uiPriority w:val="9"/>
    <w:qFormat/>
    <w:rsid w:val="00A10FD9"/>
    <w:pPr>
      <w:keepNext/>
      <w:keepLines/>
      <w:spacing w:after="120" w:before="200"/>
      <w:outlineLvl w:val="0"/>
    </w:pPr>
    <w:rPr>
      <w:rFonts w:cstheme="majorBidi" w:ascii="Times New Roman" w:hAnsi="Times New Roman" w:eastAsia="宋体"/>
      <w:b/>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120" w:before="200"/>
      <w:outlineLvl w:val="1"/>
    </w:pPr>
    <w:rPr>
      <w:rFonts w:cstheme="majorBidi" w:ascii="Times New Roman" w:hAnsi="Times New Roman" w:eastAsia="宋体"/>
      <w:b/>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ascii="Times New Roman" w:hAnsi="Times New Roman" w:eastAsia="宋体"/>
      <w:color w:val="000000"/>
      <w:sz w:val="21"/>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ascii="Times New Roman" w:hAnsi="Times New Roman" w:eastAsia="宋体"/>
      <w:i/>
      <w:iCs/>
      <w:color w:val="000000"/>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ascii="Times New Roman" w:hAnsi="Times New Roman" w:eastAsia="宋体"/>
      <w:color w:val="000000"/>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ascii="Times New Roman" w:hAnsi="Times New Roman" w:eastAsia="宋体"/>
      <w:i/>
      <w:iCs/>
      <w:color w:val="000000"/>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ascii="Times New Roman" w:hAnsi="Times New Roman" w:eastAsia="宋体"/>
      <w:color w:val="000000"/>
      <w:sz w:val="21"/>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ascii="Times New Roman" w:hAnsi="Times New Roman" w:eastAsia="宋体"/>
      <w:i/>
      <w:iCs/>
      <w:color w:val="000000"/>
      <w:sz w:val="21"/>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ascii="Times New Roman" w:hAnsi="Times New Roman" w:eastAsia="宋体"/>
      <w:color w:val="000000"/>
      <w:sz w:val="21"/>
    </w:rPr>
  </w:style>
  <w:style w:customStyle="1" w:styleId="Heading1Char" w:type="character">
    <w:name w:val="Heading 1 Char"/>
    <w:basedOn w:val="DefaultParagraphFont"/>
    <w:link w:val="Heading1"/>
    <w:uiPriority w:val="9"/>
    <w:rsid w:val="00A10FD9"/>
    <w:rPr>
      <w:rFonts w:cstheme="majorBidi" w:ascii="Times New Roman" w:hAnsi="Times New Roman" w:eastAsia="宋体"/>
      <w:color w:val="000000"/>
      <w:sz w:val="21"/>
      <w:szCs w:val="40"/>
    </w:rPr>
  </w:style>
  <w:style w:customStyle="1" w:styleId="Heading2Char" w:type="character">
    <w:name w:val="Heading 2 Char"/>
    <w:basedOn w:val="DefaultParagraphFont"/>
    <w:link w:val="Heading2"/>
    <w:uiPriority w:val="9"/>
    <w:semiHidden/>
    <w:rsid w:val="00A10FD9"/>
    <w:rPr>
      <w:rFonts w:cstheme="majorBidi" w:ascii="Times New Roman" w:hAnsi="Times New Roman" w:eastAsia="宋体"/>
      <w:color w:val="000000"/>
      <w:sz w:val="21"/>
      <w:szCs w:val="32"/>
    </w:rPr>
  </w:style>
  <w:style w:customStyle="1" w:styleId="Heading3Char" w:type="character">
    <w:name w:val="Heading 3 Char"/>
    <w:basedOn w:val="DefaultParagraphFont"/>
    <w:link w:val="Heading3"/>
    <w:uiPriority w:val="9"/>
    <w:semiHidden/>
    <w:rsid w:val="00A10FD9"/>
    <w:rPr>
      <w:rFonts w:cstheme="majorBidi" w:ascii="Times New Roman" w:hAnsi="Times New Roman" w:eastAsia="宋体"/>
      <w:color w:val="000000"/>
      <w:sz w:val="21"/>
      <w:szCs w:val="28"/>
    </w:rPr>
  </w:style>
  <w:style w:customStyle="1" w:styleId="Heading4Char" w:type="character">
    <w:name w:val="Heading 4 Char"/>
    <w:basedOn w:val="DefaultParagraphFont"/>
    <w:link w:val="Heading4"/>
    <w:uiPriority w:val="9"/>
    <w:semiHidden/>
    <w:rsid w:val="00A10FD9"/>
    <w:rPr>
      <w:rFonts w:cstheme="majorBidi" w:ascii="Times New Roman" w:hAnsi="Times New Roman" w:eastAsia="宋体"/>
      <w:i/>
      <w:iCs/>
      <w:color w:val="000000"/>
      <w:sz w:val="21"/>
    </w:rPr>
  </w:style>
  <w:style w:customStyle="1" w:styleId="Heading5Char" w:type="character">
    <w:name w:val="Heading 5 Char"/>
    <w:basedOn w:val="DefaultParagraphFont"/>
    <w:link w:val="Heading5"/>
    <w:uiPriority w:val="9"/>
    <w:semiHidden/>
    <w:rsid w:val="00A10FD9"/>
    <w:rPr>
      <w:rFonts w:cstheme="majorBidi" w:ascii="Times New Roman" w:hAnsi="Times New Roman" w:eastAsia="宋体"/>
      <w:color w:val="000000"/>
      <w:sz w:val="21"/>
    </w:rPr>
  </w:style>
  <w:style w:customStyle="1" w:styleId="Heading6Char" w:type="character">
    <w:name w:val="Heading 6 Char"/>
    <w:basedOn w:val="DefaultParagraphFont"/>
    <w:link w:val="Heading6"/>
    <w:uiPriority w:val="9"/>
    <w:semiHidden/>
    <w:rsid w:val="00A10FD9"/>
    <w:rPr>
      <w:rFonts w:cstheme="majorBidi" w:ascii="Times New Roman" w:hAnsi="Times New Roman" w:eastAsia="宋体"/>
      <w:i/>
      <w:iCs/>
      <w:color w:val="000000"/>
      <w:sz w:val="21"/>
    </w:rPr>
  </w:style>
  <w:style w:customStyle="1" w:styleId="Heading7Char" w:type="character">
    <w:name w:val="Heading 7 Char"/>
    <w:basedOn w:val="DefaultParagraphFont"/>
    <w:link w:val="Heading7"/>
    <w:uiPriority w:val="9"/>
    <w:semiHidden/>
    <w:rsid w:val="00A10FD9"/>
    <w:rPr>
      <w:rFonts w:cstheme="majorBidi" w:ascii="Times New Roman" w:hAnsi="Times New Roman" w:eastAsia="宋体"/>
      <w:color w:val="000000"/>
      <w:sz w:val="21"/>
    </w:rPr>
  </w:style>
  <w:style w:customStyle="1" w:styleId="Heading8Char" w:type="character">
    <w:name w:val="Heading 8 Char"/>
    <w:basedOn w:val="DefaultParagraphFont"/>
    <w:link w:val="Heading8"/>
    <w:uiPriority w:val="9"/>
    <w:semiHidden/>
    <w:rsid w:val="00A10FD9"/>
    <w:rPr>
      <w:rFonts w:cstheme="majorBidi" w:ascii="Times New Roman" w:hAnsi="Times New Roman" w:eastAsia="宋体"/>
      <w:i/>
      <w:iCs/>
      <w:color w:val="000000"/>
      <w:sz w:val="21"/>
    </w:rPr>
  </w:style>
  <w:style w:customStyle="1" w:styleId="Heading9Char" w:type="character">
    <w:name w:val="Heading 9 Char"/>
    <w:basedOn w:val="DefaultParagraphFont"/>
    <w:link w:val="Heading9"/>
    <w:uiPriority w:val="9"/>
    <w:semiHidden/>
    <w:rsid w:val="00A10FD9"/>
    <w:rPr>
      <w:rFonts w:cstheme="majorBidi" w:ascii="Times New Roman" w:hAnsi="Times New Roman" w:eastAsia="宋体"/>
      <w:color w:val="000000"/>
      <w:sz w:val="21"/>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宋体"/>
      <w:color w:val="000000"/>
      <w:sz w:val="21"/>
    </w:rPr>
  </w:style>
  <w:style w:styleId="FootnoteText" w:type="paragraph">
    <w:name w:val="Footnote Text"/>
    <w:basedOn w:val="Normal"/>
    <w:next w:val="FootnoteText"/>
    <w:uiPriority w:val="9"/>
    <w:unhideWhenUsed/>
    <w:qFormat/>
    <w:rPr>
      <w:rFonts w:ascii="Times New Roman" w:hAnsi="Times New Roman" w:eastAsia="宋体"/>
      <w:color w:val="000000"/>
      <w:sz w:val="21"/>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宋体"/>
      <w:color w:val="000000"/>
      <w:sz w:val="21"/>
    </w:rPr>
  </w:style>
  <w:style w:default="1" w:styleId="DefaultParagraphFont" w:type="character">
    <w:name w:val="Default Paragraph Font"/>
    <w:semiHidden/>
    <w:unhideWhenUsed/>
    <w:rPr>
      <w:rFonts w:ascii="Times New Roman" w:hAnsi="Times New Roman" w:eastAsia="宋体"/>
      <w:color w:val="000000"/>
      <w:sz w:val="21"/>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宋体"/>
      <w:b/>
      <w:color w:val="000000"/>
      <w:sz w:val="21"/>
    </w:rPr>
  </w:style>
  <w:style w:customStyle="1" w:styleId="Definition" w:type="paragraph">
    <w:name w:val="Definition"/>
    <w:basedOn w:val="Normal"/>
    <w:rPr>
      <w:rFonts w:ascii="Times New Roman" w:hAnsi="Times New Roman" w:eastAsia="宋体"/>
      <w:color w:val="000000"/>
      <w:sz w:val="21"/>
    </w:rPr>
  </w:style>
  <w:style w:styleId="Caption" w:type="paragraph">
    <w:name w:val="Caption"/>
    <w:basedOn w:val="Normal"/>
    <w:link w:val="BodyTextChar"/>
    <w:pPr>
      <w:spacing w:after="120" w:before="0"/>
    </w:pPr>
    <w:rPr>
      <w:rFonts w:ascii="Times New Roman" w:hAnsi="Times New Roman" w:eastAsia="宋体"/>
      <w:i/>
      <w:color w:val="000000"/>
      <w:sz w:val="21"/>
    </w:rPr>
  </w:style>
  <w:style w:customStyle="1" w:styleId="TableCaption" w:type="paragraph">
    <w:name w:val="Table Caption"/>
    <w:basedOn w:val="Caption"/>
    <w:pPr>
      <w:keepNext/>
    </w:pPr>
    <w:rPr>
      <w:rFonts w:ascii="Times New Roman" w:hAnsi="Times New Roman" w:eastAsia="宋体"/>
      <w:color w:val="000000"/>
      <w:sz w:val="21"/>
    </w:rPr>
  </w:style>
  <w:style w:customStyle="1" w:styleId="ImageCaption" w:type="paragraph">
    <w:name w:val="Image Caption"/>
    <w:basedOn w:val="Caption"/>
    <w:rPr>
      <w:rFonts w:ascii="Times New Roman" w:hAnsi="Times New Roman" w:eastAsia="宋体"/>
      <w:color w:val="000000"/>
      <w:sz w:val="21"/>
    </w:rPr>
  </w:style>
  <w:style w:customStyle="1" w:styleId="Figure" w:type="paragraph">
    <w:name w:val="Figure"/>
    <w:basedOn w:val="Normal"/>
    <w:rPr>
      <w:rFonts w:ascii="Times New Roman" w:hAnsi="Times New Roman" w:eastAsia="宋体"/>
      <w:color w:val="000000"/>
      <w:sz w:val="21"/>
    </w:rPr>
  </w:style>
  <w:style w:customStyle="1" w:styleId="CaptionedFigure" w:type="paragraph">
    <w:name w:val="Captioned Figure"/>
    <w:basedOn w:val="Figure"/>
    <w:pPr>
      <w:keepNext/>
    </w:pPr>
    <w:rPr>
      <w:rFonts w:ascii="Times New Roman" w:hAnsi="Times New Roman" w:eastAsia="宋体"/>
      <w:color w:val="000000"/>
      <w:sz w:val="21"/>
    </w:rPr>
  </w:style>
  <w:style w:customStyle="1" w:styleId="BodyTextChar" w:type="character">
    <w:name w:val="Body Text Char"/>
    <w:basedOn w:val="DefaultParagraphFont"/>
    <w:link w:val="BodyText"/>
    <w:rPr>
      <w:rFonts w:ascii="Times New Roman" w:hAnsi="Times New Roman" w:eastAsia="宋体"/>
      <w:color w:val="000000"/>
      <w:sz w:val="21"/>
    </w:rPr>
  </w:style>
  <w:style w:customStyle="1" w:styleId="VerbatimChar" w:type="character">
    <w:name w:val="Verbatim Char"/>
    <w:basedOn w:val="BodyTextChar"/>
    <w:rPr>
      <w:rFonts w:ascii="Times New Roman" w:hAnsi="Times New Roman" w:eastAsia="宋体"/>
      <w:color w:val="000000"/>
      <w:sz w:val="21"/>
    </w:rPr>
  </w:style>
  <w:style w:customStyle="1" w:styleId="SectionNumber" w:type="character">
    <w:name w:val="Section Number"/>
    <w:basedOn w:val="BodyTextChar"/>
    <w:rPr>
      <w:rFonts w:ascii="Times New Roman" w:hAnsi="Times New Roman" w:eastAsia="宋体"/>
      <w:color w:val="000000"/>
      <w:sz w:val="21"/>
    </w:rPr>
  </w:style>
  <w:style w:styleId="FootnoteReference" w:type="character">
    <w:name w:val="Footnote Reference"/>
    <w:basedOn w:val="BodyTextChar"/>
    <w:rPr>
      <w:rFonts w:ascii="Times New Roman" w:hAnsi="Times New Roman" w:eastAsia="宋体"/>
      <w:color w:val="000000"/>
      <w:sz w:val="21"/>
      <w:vertAlign w:val="superscript"/>
    </w:rPr>
  </w:style>
  <w:style w:styleId="Hyperlink" w:type="character">
    <w:name w:val="Hyperlink"/>
    <w:basedOn w:val="BodyTextChar"/>
    <w:rPr>
      <w:rFonts w:ascii="Times New Roman" w:hAnsi="Times New Roman" w:eastAsia="宋体"/>
      <w:color w:val="000000"/>
      <w:sz w:val="21"/>
    </w:rPr>
  </w:style>
  <w:style w:styleId="TOCHeading" w:type="paragraph">
    <w:name w:val="TOC Heading"/>
    <w:basedOn w:val="Heading1"/>
    <w:next w:val="BodyText"/>
    <w:uiPriority w:val="39"/>
    <w:unhideWhenUsed/>
    <w:qFormat/>
    <w:pPr>
      <w:spacing w:before="240" w:line="259" w:lineRule="auto"/>
      <w:outlineLvl w:val="9"/>
    </w:pPr>
    <w:rPr>
      <w:rFonts w:cstheme="majorBidi" w:ascii="Times New Roman" w:hAnsi="Times New Roman" w:eastAsia="宋体"/>
      <w:b w:val="0"/>
      <w:bCs w:val="0"/>
      <w:color w:val="000000"/>
      <w:sz w:val="21"/>
    </w:rPr>
  </w:style>
  <w:style w:type="paragraph" w:customStyle="1" w:styleId="SourceCode">
    <w:name w:val="Source Code"/>
    <w:basedOn w:val="Normal"/>
    <w:link w:val="VerbatimChar"/>
    <w:pPr>
      <w:wordWrap w:val="off"/>
    </w:pPr>
    <w:rPr>
      <w:rFonts w:ascii="Times New Roman" w:hAnsi="Times New Roman" w:eastAsia="宋体"/>
      <w:color w:val="000000"/>
      <w:sz w:val="21"/>
    </w:rPr>
  </w:style>
  <w:style w:type="character" w:customStyle="1" w:styleId="KeywordTok">
    <w:name w:val="KeywordTok"/>
    <w:basedOn w:val="VerbatimChar"/>
    <w:rPr>
      <w:rFonts w:ascii="Times New Roman" w:hAnsi="Times New Roman" w:eastAsia="宋体"/>
      <w:b/>
      <w:color w:val="000000"/>
      <w:sz w:val="21"/>
    </w:rPr>
  </w:style>
  <w:style w:type="character" w:customStyle="1" w:styleId="DataTypeTok">
    <w:name w:val="DataTypeTok"/>
    <w:basedOn w:val="VerbatimChar"/>
    <w:rPr>
      <w:rFonts w:ascii="Times New Roman" w:hAnsi="Times New Roman" w:eastAsia="宋体"/>
      <w:color w:val="000000"/>
      <w:sz w:val="21"/>
    </w:rPr>
  </w:style>
  <w:style w:type="character" w:customStyle="1" w:styleId="DecValTok">
    <w:name w:val="DecValTok"/>
    <w:basedOn w:val="VerbatimChar"/>
    <w:rPr>
      <w:rFonts w:ascii="Times New Roman" w:hAnsi="Times New Roman" w:eastAsia="宋体"/>
      <w:color w:val="000000"/>
      <w:sz w:val="21"/>
    </w:rPr>
  </w:style>
  <w:style w:type="character" w:customStyle="1" w:styleId="BaseNTok">
    <w:name w:val="BaseNTok"/>
    <w:basedOn w:val="VerbatimChar"/>
    <w:rPr>
      <w:rFonts w:ascii="Times New Roman" w:hAnsi="Times New Roman" w:eastAsia="宋体"/>
      <w:color w:val="000000"/>
      <w:sz w:val="21"/>
    </w:rPr>
  </w:style>
  <w:style w:type="character" w:customStyle="1" w:styleId="FloatTok">
    <w:name w:val="FloatTok"/>
    <w:basedOn w:val="VerbatimChar"/>
    <w:rPr>
      <w:rFonts w:ascii="Times New Roman" w:hAnsi="Times New Roman" w:eastAsia="宋体"/>
      <w:color w:val="000000"/>
      <w:sz w:val="21"/>
    </w:rPr>
  </w:style>
  <w:style w:type="character" w:customStyle="1" w:styleId="ConstantTok">
    <w:name w:val="ConstantTok"/>
    <w:basedOn w:val="VerbatimChar"/>
    <w:rPr>
      <w:rFonts w:ascii="Times New Roman" w:hAnsi="Times New Roman" w:eastAsia="宋体"/>
      <w:color w:val="000000"/>
      <w:sz w:val="21"/>
    </w:rPr>
  </w:style>
  <w:style w:type="character" w:customStyle="1" w:styleId="CharTok">
    <w:name w:val="CharTok"/>
    <w:basedOn w:val="VerbatimChar"/>
    <w:rPr>
      <w:rFonts w:ascii="Times New Roman" w:hAnsi="Times New Roman" w:eastAsia="宋体"/>
      <w:color w:val="000000"/>
      <w:sz w:val="21"/>
    </w:rPr>
  </w:style>
  <w:style w:type="character" w:customStyle="1" w:styleId="SpecialCharTok">
    <w:name w:val="SpecialCharTok"/>
    <w:basedOn w:val="VerbatimChar"/>
    <w:rPr>
      <w:rFonts w:ascii="Times New Roman" w:hAnsi="Times New Roman" w:eastAsia="宋体"/>
      <w:color w:val="000000"/>
      <w:sz w:val="21"/>
    </w:rPr>
  </w:style>
  <w:style w:type="character" w:customStyle="1" w:styleId="StringTok">
    <w:name w:val="StringTok"/>
    <w:basedOn w:val="VerbatimChar"/>
    <w:rPr>
      <w:rFonts w:ascii="Times New Roman" w:hAnsi="Times New Roman" w:eastAsia="宋体"/>
      <w:color w:val="000000"/>
      <w:sz w:val="21"/>
    </w:rPr>
  </w:style>
  <w:style w:type="character" w:customStyle="1" w:styleId="VerbatimStringTok">
    <w:name w:val="VerbatimStringTok"/>
    <w:basedOn w:val="VerbatimChar"/>
    <w:rPr>
      <w:rFonts w:ascii="Times New Roman" w:hAnsi="Times New Roman" w:eastAsia="宋体"/>
      <w:color w:val="000000"/>
      <w:sz w:val="21"/>
    </w:rPr>
  </w:style>
  <w:style w:type="character" w:customStyle="1" w:styleId="SpecialStringTok">
    <w:name w:val="SpecialStringTok"/>
    <w:basedOn w:val="VerbatimChar"/>
    <w:rPr>
      <w:rFonts w:ascii="Times New Roman" w:hAnsi="Times New Roman" w:eastAsia="宋体"/>
      <w:color w:val="000000"/>
      <w:sz w:val="21"/>
    </w:rPr>
  </w:style>
  <w:style w:type="character" w:customStyle="1" w:styleId="ImportTok">
    <w:name w:val="ImportTok"/>
    <w:basedOn w:val="VerbatimChar"/>
    <w:rPr>
      <w:rFonts w:ascii="Times New Roman" w:hAnsi="Times New Roman" w:eastAsia="宋体"/>
      <w:b/>
      <w:color w:val="000000"/>
      <w:sz w:val="21"/>
    </w:rPr>
  </w:style>
  <w:style w:type="character" w:customStyle="1" w:styleId="CommentTok">
    <w:name w:val="CommentTok"/>
    <w:basedOn w:val="VerbatimChar"/>
    <w:rPr>
      <w:rFonts w:ascii="Times New Roman" w:hAnsi="Times New Roman" w:eastAsia="宋体"/>
      <w:i/>
      <w:color w:val="000000"/>
      <w:sz w:val="21"/>
    </w:rPr>
  </w:style>
  <w:style w:type="character" w:customStyle="1" w:styleId="DocumentationTok">
    <w:name w:val="DocumentationTok"/>
    <w:basedOn w:val="VerbatimChar"/>
    <w:rPr>
      <w:rFonts w:ascii="Times New Roman" w:hAnsi="Times New Roman" w:eastAsia="宋体"/>
      <w:i/>
      <w:color w:val="000000"/>
      <w:sz w:val="21"/>
    </w:rPr>
  </w:style>
  <w:style w:type="character" w:customStyle="1" w:styleId="AnnotationTok">
    <w:name w:val="AnnotationTok"/>
    <w:basedOn w:val="VerbatimChar"/>
    <w:rPr>
      <w:rFonts w:ascii="Times New Roman" w:hAnsi="Times New Roman" w:eastAsia="宋体"/>
      <w:b/>
      <w:i/>
      <w:color w:val="000000"/>
      <w:sz w:val="21"/>
    </w:rPr>
  </w:style>
  <w:style w:type="character" w:customStyle="1" w:styleId="CommentVarTok">
    <w:name w:val="CommentVarTok"/>
    <w:basedOn w:val="VerbatimChar"/>
    <w:rPr>
      <w:rFonts w:ascii="Times New Roman" w:hAnsi="Times New Roman" w:eastAsia="宋体"/>
      <w:b/>
      <w:i/>
      <w:color w:val="000000"/>
      <w:sz w:val="21"/>
    </w:rPr>
  </w:style>
  <w:style w:type="character" w:customStyle="1" w:styleId="OtherTok">
    <w:name w:val="OtherTok"/>
    <w:basedOn w:val="VerbatimChar"/>
    <w:rPr>
      <w:rFonts w:ascii="Times New Roman" w:hAnsi="Times New Roman" w:eastAsia="宋体"/>
      <w:color w:val="000000"/>
      <w:sz w:val="21"/>
    </w:rPr>
  </w:style>
  <w:style w:type="character" w:customStyle="1" w:styleId="FunctionTok">
    <w:name w:val="FunctionTok"/>
    <w:basedOn w:val="VerbatimChar"/>
    <w:rPr>
      <w:rFonts w:ascii="Times New Roman" w:hAnsi="Times New Roman" w:eastAsia="宋体"/>
      <w:color w:val="000000"/>
      <w:sz w:val="21"/>
    </w:rPr>
  </w:style>
  <w:style w:type="character" w:customStyle="1" w:styleId="VariableTok">
    <w:name w:val="VariableTok"/>
    <w:basedOn w:val="VerbatimChar"/>
    <w:rPr>
      <w:rFonts w:ascii="Times New Roman" w:hAnsi="Times New Roman" w:eastAsia="宋体"/>
      <w:color w:val="000000"/>
      <w:sz w:val="21"/>
    </w:rPr>
  </w:style>
  <w:style w:type="character" w:customStyle="1" w:styleId="ControlFlowTok">
    <w:name w:val="ControlFlowTok"/>
    <w:basedOn w:val="VerbatimChar"/>
    <w:rPr>
      <w:rFonts w:ascii="Times New Roman" w:hAnsi="Times New Roman" w:eastAsia="宋体"/>
      <w:b/>
      <w:color w:val="000000"/>
      <w:sz w:val="21"/>
    </w:rPr>
  </w:style>
  <w:style w:type="character" w:customStyle="1" w:styleId="OperatorTok">
    <w:name w:val="OperatorTok"/>
    <w:basedOn w:val="VerbatimChar"/>
    <w:rPr>
      <w:rFonts w:ascii="Times New Roman" w:hAnsi="Times New Roman" w:eastAsia="宋体"/>
      <w:color w:val="000000"/>
      <w:sz w:val="21"/>
    </w:rPr>
  </w:style>
  <w:style w:type="character" w:customStyle="1" w:styleId="BuiltInTok">
    <w:name w:val="BuiltInTok"/>
    <w:basedOn w:val="VerbatimChar"/>
    <w:rPr>
      <w:rFonts w:ascii="Times New Roman" w:hAnsi="Times New Roman" w:eastAsia="宋体"/>
      <w:color w:val="000000"/>
      <w:sz w:val="21"/>
    </w:rPr>
  </w:style>
  <w:style w:type="character" w:customStyle="1" w:styleId="ExtensionTok">
    <w:name w:val="ExtensionTok"/>
    <w:basedOn w:val="VerbatimChar"/>
    <w:rPr>
      <w:rFonts w:ascii="Times New Roman" w:hAnsi="Times New Roman" w:eastAsia="宋体"/>
      <w:color w:val="000000"/>
      <w:sz w:val="21"/>
    </w:rPr>
  </w:style>
  <w:style w:type="character" w:customStyle="1" w:styleId="PreprocessorTok">
    <w:name w:val="PreprocessorTok"/>
    <w:basedOn w:val="VerbatimChar"/>
    <w:rPr>
      <w:rFonts w:ascii="Times New Roman" w:hAnsi="Times New Roman" w:eastAsia="宋体"/>
      <w:color w:val="000000"/>
      <w:sz w:val="21"/>
    </w:rPr>
  </w:style>
  <w:style w:type="character" w:customStyle="1" w:styleId="AttributeTok">
    <w:name w:val="AttributeTok"/>
    <w:basedOn w:val="VerbatimChar"/>
    <w:rPr>
      <w:rFonts w:ascii="Times New Roman" w:hAnsi="Times New Roman" w:eastAsia="宋体"/>
      <w:color w:val="000000"/>
      <w:sz w:val="21"/>
    </w:rPr>
  </w:style>
  <w:style w:type="character" w:customStyle="1" w:styleId="RegionMarkerTok">
    <w:name w:val="RegionMarkerTok"/>
    <w:basedOn w:val="VerbatimChar"/>
    <w:rPr>
      <w:rFonts w:ascii="Times New Roman" w:hAnsi="Times New Roman" w:eastAsia="宋体"/>
      <w:color w:val="000000"/>
      <w:sz w:val="21"/>
    </w:rPr>
  </w:style>
  <w:style w:type="character" w:customStyle="1" w:styleId="InformationTok">
    <w:name w:val="InformationTok"/>
    <w:basedOn w:val="VerbatimChar"/>
    <w:rPr>
      <w:rFonts w:ascii="Times New Roman" w:hAnsi="Times New Roman" w:eastAsia="宋体"/>
      <w:b/>
      <w:i/>
      <w:color w:val="000000"/>
      <w:sz w:val="21"/>
    </w:rPr>
  </w:style>
  <w:style w:type="character" w:customStyle="1" w:styleId="WarningTok">
    <w:name w:val="WarningTok"/>
    <w:basedOn w:val="VerbatimChar"/>
    <w:rPr>
      <w:rFonts w:ascii="Times New Roman" w:hAnsi="Times New Roman" w:eastAsia="宋体"/>
      <w:b/>
      <w:i/>
      <w:color w:val="000000"/>
      <w:sz w:val="21"/>
    </w:rPr>
  </w:style>
  <w:style w:type="character" w:customStyle="1" w:styleId="AlertTok">
    <w:name w:val="AlertTok"/>
    <w:basedOn w:val="VerbatimChar"/>
    <w:rPr>
      <w:rFonts w:ascii="Times New Roman" w:hAnsi="Times New Roman" w:eastAsia="宋体"/>
      <w:b/>
      <w:color w:val="000000"/>
      <w:sz w:val="21"/>
    </w:rPr>
  </w:style>
  <w:style w:type="character" w:customStyle="1" w:styleId="ErrorTok">
    <w:name w:val="ErrorTok"/>
    <w:basedOn w:val="VerbatimChar"/>
    <w:rPr>
      <w:rFonts w:ascii="Times New Roman" w:hAnsi="Times New Roman" w:eastAsia="宋体"/>
      <w:b/>
      <w:color w:val="000000"/>
      <w:sz w:val="21"/>
    </w:rPr>
  </w:style>
  <w:style w:type="character" w:customStyle="1" w:styleId="NormalTok">
    <w:name w:val="NormalTok"/>
    <w:basedOn w:val="VerbatimChar"/>
    <w:rPr>
      <w:rFonts w:ascii="Times New Roman" w:hAnsi="Times New Roman" w:eastAsia="宋体"/>
      <w:color w:val="000000"/>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41" Type="http://schemas.openxmlformats.org/officeDocument/2006/relationships/image" Target="media/rId41.png"/><Relationship Id="rId28" Type="http://schemas.openxmlformats.org/officeDocument/2006/relationships/image" Target="media/rId28.png"/><Relationship Id="rId58" Type="http://schemas.openxmlformats.org/officeDocument/2006/relationships/hyperlink" Target="https://doi.org/10.1007/978-3-319-19425-7" TargetMode="External"/><Relationship Id="rId55" Type="http://schemas.openxmlformats.org/officeDocument/2006/relationships/hyperlink" Target="https://doi.org/10.1093/biomet/39.3-4.324" TargetMode="External"/><Relationship Id="rId56" Type="http://schemas.openxmlformats.org/officeDocument/2006/relationships/hyperlink" Target="https://doi.org/10.18637/jss.v012.i01" TargetMode="External"/><Relationship Id="rId50" Type="http://schemas.openxmlformats.org/officeDocument/2006/relationships/hyperlink" Target="https://doi.org/10.18653/v1/2024.acl-long.99" TargetMode="External"/><Relationship Id="rId52" Type="http://schemas.openxmlformats.org/officeDocument/2006/relationships/hyperlink" Target="https://doi.org/10.18653/v1/2025.acl-long.1308" TargetMode="External"/><Relationship Id="rId57" Type="http://schemas.openxmlformats.org/officeDocument/2006/relationships/hyperlink" Target="https://doi.org/10.3368/jhr.50.2.317" TargetMode="External"/><Relationship Id="rId53" Type="http://schemas.openxmlformats.org/officeDocument/2006/relationships/hyperlink" Target="https://huggingface.co/datasets/lmarena-ai/arena-human-preference-140k" TargetMode="External"/><Relationship Id="rId51" Type="http://schemas.openxmlformats.org/officeDocument/2006/relationships/hyperlink" Target="https://openreview.net/pdf?id=CybBmzWBX0" TargetMode="External"/><Relationship Id="rId49" Type="http://schemas.openxmlformats.org/officeDocument/2006/relationships/hyperlink" Target="https://proceedings.mlr.press/v235/chiang24b.html" TargetMode="External"/><Relationship Id="rId54" Type="http://schemas.openxmlformats.org/officeDocument/2006/relationships/hyperlink" Target="https://www.jstor.org/stable/4615733"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8" Type="http://schemas.openxmlformats.org/officeDocument/2006/relationships/hyperlink" Target="https://doi.org/10.1007/978-3-319-19425-7" TargetMode="External"/><Relationship Id="rId55" Type="http://schemas.openxmlformats.org/officeDocument/2006/relationships/hyperlink" Target="https://doi.org/10.1093/biomet/39.3-4.324" TargetMode="External"/><Relationship Id="rId56" Type="http://schemas.openxmlformats.org/officeDocument/2006/relationships/hyperlink" Target="https://doi.org/10.18637/jss.v012.i01" TargetMode="External"/><Relationship Id="rId50" Type="http://schemas.openxmlformats.org/officeDocument/2006/relationships/hyperlink" Target="https://doi.org/10.18653/v1/2024.acl-long.99" TargetMode="External"/><Relationship Id="rId52" Type="http://schemas.openxmlformats.org/officeDocument/2006/relationships/hyperlink" Target="https://doi.org/10.18653/v1/2025.acl-long.1308" TargetMode="External"/><Relationship Id="rId57" Type="http://schemas.openxmlformats.org/officeDocument/2006/relationships/hyperlink" Target="https://doi.org/10.3368/jhr.50.2.317" TargetMode="External"/><Relationship Id="rId53" Type="http://schemas.openxmlformats.org/officeDocument/2006/relationships/hyperlink" Target="https://huggingface.co/datasets/lmarena-ai/arena-human-preference-140k" TargetMode="External"/><Relationship Id="rId51" Type="http://schemas.openxmlformats.org/officeDocument/2006/relationships/hyperlink" Target="https://openreview.net/pdf?id=CybBmzWBX0" TargetMode="External"/><Relationship Id="rId49" Type="http://schemas.openxmlformats.org/officeDocument/2006/relationships/hyperlink" Target="https://proceedings.mlr.press/v235/chiang24b.html" TargetMode="External"/><Relationship Id="rId54" Type="http://schemas.openxmlformats.org/officeDocument/2006/relationships/hyperlink" Target="https://www.jstor.org/stable/46157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大语言模型人类偏好数据的长度与格式关联分析 ——基于成对比较模型与探索性路径的审计应用</dc:title>
  <dc:creator>程豪梁斯祯李嘉帅姜弼达翁祖成姚博晟 中央民族大学理学院，北京 100081</dc:creator>
  <cp:keywords/>
  <dcterms:created xsi:type="dcterms:W3CDTF">2026-09-21T08:32:51Z</dcterms:created>
  <dcterms:modified xsi:type="dcterms:W3CDTF">2026-09-21T08:32:51Z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