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spacing w:before="300" w:after="150" w:beforeAutospacing="0" w:afterAutospacing="0"/>
        <w:jc w:val="center"/>
      </w:pPr>
      <w:r>
        <w:rPr>
          <w:rFonts w:ascii="Arial" w:hAnsi="Arial" w:cs="Arial" w:eastAsia="Arial"/>
          <w:b w:val="1"/>
          <w:bCs w:val="1"/>
          <w:color w:val="000000"/>
          <w:sz w:val="26"/>
          <w:szCs w:val="26"/>
        </w:rPr>
        <w:t>1. Introdução</w:t>
      </w:r>
    </w:p>
    <w:p>
      <w:pPr>
        <w:spacing w:after="120" w:beforeAutospacing="0" w:afterAutospacing="0"/>
        <w:rPr>
          <w:rFonts w:ascii="Arial" w:hAnsi="Arial" w:cs="Arial" w:eastAsia="Arial"/>
          <w:color w:val="000000"/>
          <w:sz w:val="22"/>
          <w:szCs w:val="22"/>
        </w:rPr>
      </w:pPr>
      <w:r>
        <w:rPr>
          <w:rFonts w:ascii="Arial" w:hAnsi="Arial" w:cs="Arial" w:eastAsia="Arial"/>
          <w:color w:val="000000"/>
          <w:sz w:val="22"/>
          <w:szCs w:val="22"/>
        </w:rPr>
        <w:t>Este relatório apresenta a higienização, padronização e análise exploratória do conjunto de dados "tv_shows.csv", que reúne programas de TV disponíveis em diferentes plataformas de streaming (Netflix, Hulu, Prime Video e Disney+). O objetivo é identificar problemas nos dados brutos, higienizá-los, padronizar a classificação indicativa para o padrão brasileiro e responder às perguntas de avaliação propostas no roteiro da aula prática.</w:t>
      </w:r>
    </w:p>
    <w:p>
      <w:pPr>
        <w:spacing w:after="120" w:beforeAutospacing="0" w:afterAutospacing="0"/>
      </w:pPr>
    </w:p>
    <w:p>
      <w:pPr>
        <w:pStyle w:val="P2"/>
        <w:spacing w:before="300" w:after="150" w:beforeAutospacing="0" w:afterAutospacing="0"/>
        <w:jc w:val="center"/>
      </w:pPr>
      <w:r>
        <w:rPr>
          <w:rFonts w:ascii="Arial" w:hAnsi="Arial" w:cs="Arial" w:eastAsia="Arial"/>
          <w:b w:val="1"/>
          <w:bCs w:val="1"/>
          <w:color w:val="000000"/>
          <w:sz w:val="26"/>
          <w:szCs w:val="26"/>
        </w:rPr>
        <w:t>2. Exploração inicial dos dados</w:t>
      </w:r>
    </w:p>
    <w:p>
      <w:pPr>
        <w:spacing w:after="120" w:beforeAutospacing="0" w:afterAutospacing="0"/>
      </w:pPr>
      <w:r>
        <w:rPr>
          <w:rFonts w:ascii="Arial" w:hAnsi="Arial" w:cs="Arial" w:eastAsia="Arial"/>
          <w:color w:val="000000"/>
          <w:sz w:val="22"/>
          <w:szCs w:val="22"/>
        </w:rPr>
        <w:t>O dataset original possui 5.368 linhas e 12 colunas. A exploração inicial (equivalente às funções str() e summary()) revelou:</w:t>
      </w:r>
    </w:p>
    <w:p>
      <w:pPr>
        <w:pStyle w:val="P9"/>
        <w:numPr>
          <w:ilvl w:val="0"/>
          <w:numId w:val="1"/>
        </w:numPr>
        <w:spacing w:after="60" w:beforeAutospacing="0" w:afterAutospacing="0"/>
      </w:pPr>
      <w:r>
        <w:rPr>
          <w:rFonts w:ascii="Arial" w:hAnsi="Arial" w:cs="Arial" w:eastAsia="Arial"/>
          <w:color w:val="000000"/>
          <w:sz w:val="22"/>
          <w:szCs w:val="22"/>
        </w:rPr>
        <w:t>Colunas: Unnamed: 0, ID, Title, Year, Age, IMDb, Rotten Tomatoes, Netflix, Hulu, Prime Video, Disney+, Type.</w:t>
      </w:r>
    </w:p>
    <w:p>
      <w:pPr>
        <w:pStyle w:val="P9"/>
        <w:numPr>
          <w:ilvl w:val="0"/>
          <w:numId w:val="1"/>
        </w:numPr>
        <w:spacing w:after="60" w:beforeAutospacing="0" w:afterAutospacing="0"/>
      </w:pPr>
      <w:r>
        <w:rPr>
          <w:rFonts w:ascii="Arial" w:hAnsi="Arial" w:cs="Arial" w:eastAsia="Arial"/>
          <w:color w:val="000000"/>
          <w:sz w:val="22"/>
          <w:szCs w:val="22"/>
        </w:rPr>
        <w:t>A coluna 'Type' possui um único valor constante (1) em todas as linhas, portanto não carrega informação útil.</w:t>
      </w:r>
    </w:p>
    <w:p>
      <w:pPr>
        <w:pStyle w:val="P9"/>
        <w:numPr>
          <w:ilvl w:val="0"/>
          <w:numId w:val="1"/>
        </w:numPr>
        <w:spacing w:after="60" w:beforeAutospacing="0" w:afterAutospacing="0"/>
      </w:pPr>
      <w:r>
        <w:rPr>
          <w:rFonts w:ascii="Arial" w:hAnsi="Arial" w:cs="Arial" w:eastAsia="Arial"/>
          <w:color w:val="000000"/>
          <w:sz w:val="22"/>
          <w:szCs w:val="22"/>
        </w:rPr>
        <w:t>A coluna 'Age' está ausente em 2.127 linhas (≈ 39,6%) e segue o padrão americano de classificação indicativa (7+, 13+, 16+, 18+, all).</w:t>
      </w:r>
    </w:p>
    <w:p>
      <w:pPr>
        <w:pStyle w:val="P9"/>
        <w:numPr>
          <w:ilvl w:val="0"/>
          <w:numId w:val="1"/>
        </w:numPr>
        <w:spacing w:after="60" w:beforeAutospacing="0" w:afterAutospacing="0"/>
      </w:pPr>
      <w:r>
        <w:rPr>
          <w:rFonts w:ascii="Arial" w:hAnsi="Arial" w:cs="Arial" w:eastAsia="Arial"/>
          <w:color w:val="000000"/>
          <w:sz w:val="22"/>
          <w:szCs w:val="22"/>
        </w:rPr>
        <w:t>A coluna 'IMDb' está ausente em 962 linhas (≈ 17,9%) e é armazenada como texto no formato "9.4/10".</w:t>
      </w:r>
    </w:p>
    <w:p>
      <w:pPr>
        <w:pStyle w:val="P9"/>
        <w:numPr>
          <w:ilvl w:val="0"/>
          <w:numId w:val="1"/>
        </w:numPr>
        <w:spacing w:after="60" w:beforeAutospacing="0" w:afterAutospacing="0"/>
      </w:pPr>
      <w:r>
        <w:rPr>
          <w:rFonts w:ascii="Arial" w:hAnsi="Arial" w:cs="Arial" w:eastAsia="Arial"/>
          <w:color w:val="000000"/>
          <w:sz w:val="22"/>
          <w:szCs w:val="22"/>
        </w:rPr>
        <w:t>A coluna 'Rotten Tomatoes' não possui valores nulos, mas também é texto, no formato "100/100".</w:t>
      </w:r>
    </w:p>
    <w:p>
      <w:pPr>
        <w:pStyle w:val="P9"/>
        <w:numPr>
          <w:ilvl w:val="0"/>
          <w:numId w:val="1"/>
        </w:numPr>
        <w:spacing w:after="60" w:beforeAutospacing="0" w:afterAutospacing="0"/>
      </w:pPr>
      <w:r>
        <w:rPr>
          <w:rFonts w:ascii="Arial" w:hAnsi="Arial" w:cs="Arial" w:eastAsia="Arial"/>
          <w:color w:val="000000"/>
          <w:sz w:val="22"/>
          <w:szCs w:val="22"/>
        </w:rPr>
        <w:t>As colunas Netflix, Hulu, Prime Video e Disney+ são binárias (0/1), indicando a disponibilidade do título em cada plataforma.</w:t>
      </w:r>
    </w:p>
    <w:p>
      <w:pPr>
        <w:pStyle w:val="P9"/>
        <w:numPr>
          <w:ilvl w:val="0"/>
          <w:numId w:val="1"/>
        </w:numPr>
        <w:spacing w:after="60" w:beforeAutospacing="0" w:afterAutospacing="0"/>
      </w:pPr>
    </w:p>
    <w:p>
      <w:pPr>
        <w:pStyle w:val="P2"/>
        <w:spacing w:before="300" w:after="150" w:beforeAutospacing="0" w:afterAutospacing="0"/>
        <w:jc w:val="center"/>
      </w:pPr>
      <w:r>
        <w:rPr>
          <w:rFonts w:ascii="Arial" w:hAnsi="Arial" w:cs="Arial" w:eastAsia="Arial"/>
          <w:b w:val="1"/>
          <w:bCs w:val="1"/>
          <w:color w:val="000000"/>
          <w:sz w:val="26"/>
          <w:szCs w:val="26"/>
        </w:rPr>
        <w:t>3. Identificação de problemas e higienização</w:t>
      </w:r>
    </w:p>
    <w:p>
      <w:pPr>
        <w:spacing w:after="120" w:beforeAutospacing="0" w:afterAutospacing="0"/>
      </w:pPr>
      <w:r>
        <w:rPr>
          <w:rFonts w:ascii="Arial" w:hAnsi="Arial" w:cs="Arial" w:eastAsia="Arial"/>
          <w:color w:val="000000"/>
          <w:sz w:val="22"/>
          <w:szCs w:val="22"/>
        </w:rPr>
        <w:t>Foram identificados os seguintes problemas nos dados brutos:</w:t>
      </w:r>
    </w:p>
    <w:p>
      <w:pPr>
        <w:pStyle w:val="P9"/>
        <w:numPr>
          <w:ilvl w:val="0"/>
          <w:numId w:val="1"/>
        </w:numPr>
        <w:spacing w:after="60" w:beforeAutospacing="0" w:afterAutospacing="0"/>
      </w:pPr>
      <w:r>
        <w:rPr>
          <w:rFonts w:ascii="Arial" w:hAnsi="Arial" w:cs="Arial" w:eastAsia="Arial"/>
          <w:color w:val="000000"/>
          <w:sz w:val="22"/>
          <w:szCs w:val="22"/>
        </w:rPr>
        <w:t>Valores nulos nas colunas Age (2.127) e IMDb (962), sendo 928 linhas com ambos os campos ausentes simultaneamente.</w:t>
      </w:r>
    </w:p>
    <w:p>
      <w:pPr>
        <w:pStyle w:val="P9"/>
        <w:numPr>
          <w:ilvl w:val="0"/>
          <w:numId w:val="1"/>
        </w:numPr>
        <w:spacing w:after="60" w:beforeAutospacing="0" w:afterAutospacing="0"/>
      </w:pPr>
      <w:r>
        <w:rPr>
          <w:rFonts w:ascii="Arial" w:hAnsi="Arial" w:cs="Arial" w:eastAsia="Arial"/>
          <w:color w:val="000000"/>
          <w:sz w:val="22"/>
          <w:szCs w:val="22"/>
        </w:rPr>
        <w:t>Colunas irrelevantes para a análise: 'Unnamed: 0' (índice duplicado do CSV) e 'Type' (valor constante).</w:t>
      </w:r>
    </w:p>
    <w:p>
      <w:pPr>
        <w:pStyle w:val="P9"/>
        <w:numPr>
          <w:ilvl w:val="0"/>
          <w:numId w:val="1"/>
        </w:numPr>
        <w:spacing w:after="60" w:beforeAutospacing="0" w:afterAutospacing="0"/>
      </w:pPr>
      <w:r>
        <w:rPr>
          <w:rFonts w:ascii="Arial" w:hAnsi="Arial" w:cs="Arial" w:eastAsia="Arial"/>
          <w:color w:val="000000"/>
          <w:sz w:val="22"/>
          <w:szCs w:val="22"/>
        </w:rPr>
        <w:t>Colunas numéricas armazenadas como texto (IMDb e Rotten Tomatoes), impedindo ordenações e cálculos corretos.</w:t>
      </w:r>
    </w:p>
    <w:p>
      <w:pPr>
        <w:pStyle w:val="P9"/>
        <w:numPr>
          <w:ilvl w:val="0"/>
          <w:numId w:val="1"/>
        </w:numPr>
        <w:spacing w:after="60" w:beforeAutospacing="0" w:afterAutospacing="0"/>
      </w:pPr>
      <w:r>
        <w:rPr>
          <w:rFonts w:ascii="Arial" w:hAnsi="Arial" w:cs="Arial" w:eastAsia="Arial"/>
          <w:color w:val="000000"/>
          <w:sz w:val="22"/>
          <w:szCs w:val="22"/>
        </w:rPr>
        <w:t>Classificação indicativa (Age) no padrão americano, divergente do padrão brasileiro solicitado.</w:t>
      </w:r>
    </w:p>
    <w:p>
      <w:pPr>
        <w:spacing w:after="120" w:beforeAutospacing="0" w:afterAutospacing="0"/>
      </w:pPr>
      <w:r>
        <w:rPr>
          <w:rFonts w:ascii="Arial" w:hAnsi="Arial" w:cs="Arial" w:eastAsia="Arial"/>
          <w:color w:val="000000"/>
          <w:sz w:val="22"/>
          <w:szCs w:val="22"/>
        </w:rPr>
        <w:t>Higienização aplicada:</w:t>
      </w:r>
    </w:p>
    <w:p>
      <w:pPr>
        <w:pStyle w:val="P9"/>
        <w:numPr>
          <w:ilvl w:val="0"/>
          <w:numId w:val="1"/>
        </w:numPr>
        <w:spacing w:after="60" w:beforeAutospacing="0" w:afterAutospacing="0"/>
      </w:pPr>
      <w:r>
        <w:rPr>
          <w:rFonts w:ascii="Arial" w:hAnsi="Arial" w:cs="Arial" w:eastAsia="Arial"/>
          <w:color w:val="000000"/>
          <w:sz w:val="22"/>
          <w:szCs w:val="22"/>
        </w:rPr>
        <w:t>Remoção das colunas 'Unnamed: 0' e 'Type'.</w:t>
      </w:r>
    </w:p>
    <w:p>
      <w:pPr>
        <w:pStyle w:val="P9"/>
        <w:numPr>
          <w:ilvl w:val="0"/>
          <w:numId w:val="1"/>
        </w:numPr>
        <w:spacing w:after="60" w:beforeAutospacing="0" w:afterAutospacing="0"/>
      </w:pPr>
      <w:r>
        <w:rPr>
          <w:rFonts w:ascii="Arial" w:hAnsi="Arial" w:cs="Arial" w:eastAsia="Arial"/>
          <w:color w:val="000000"/>
          <w:sz w:val="22"/>
          <w:szCs w:val="22"/>
        </w:rPr>
        <w:t>Verificação de duplicatas por Título + Ano: nenhuma duplicata encontrada.</w:t>
      </w:r>
    </w:p>
    <w:p>
      <w:pPr>
        <w:pStyle w:val="P9"/>
        <w:numPr>
          <w:ilvl w:val="0"/>
          <w:numId w:val="1"/>
        </w:numPr>
        <w:spacing w:after="60" w:beforeAutospacing="0" w:afterAutospacing="0"/>
      </w:pPr>
      <w:r>
        <w:rPr>
          <w:rFonts w:ascii="Arial" w:hAnsi="Arial" w:cs="Arial" w:eastAsia="Arial"/>
          <w:color w:val="000000"/>
          <w:sz w:val="22"/>
          <w:szCs w:val="22"/>
        </w:rPr>
        <w:t>Remoção das linhas com valores nulos em 'Age' e/ou 'IMDb', por serem campos centrais para a análise (classificação etária e avaliação do público). Foram excluídas 2.161 linhas, restando 3.207 linhas válidas para a análise.</w:t>
      </w:r>
    </w:p>
    <w:p>
      <w:pPr>
        <w:pStyle w:val="P2"/>
        <w:spacing w:before="300" w:after="150" w:beforeAutospacing="0" w:afterAutospacing="0"/>
        <w:jc w:val="center"/>
      </w:pPr>
      <w:r>
        <w:rPr>
          <w:rFonts w:ascii="Arial" w:hAnsi="Arial" w:cs="Arial" w:eastAsia="Arial"/>
          <w:b w:val="1"/>
          <w:bCs w:val="1"/>
          <w:color w:val="000000"/>
          <w:sz w:val="26"/>
          <w:szCs w:val="26"/>
        </w:rPr>
        <w:t>4. Padronização dos dados</w:t>
      </w:r>
    </w:p>
    <w:p>
      <w:pPr>
        <w:spacing w:after="120" w:beforeAutospacing="0" w:afterAutospacing="0"/>
      </w:pPr>
      <w:r>
        <w:rPr>
          <w:rFonts w:ascii="Arial" w:hAnsi="Arial" w:cs="Arial" w:eastAsia="Arial"/>
          <w:color w:val="000000"/>
          <w:sz w:val="22"/>
          <w:szCs w:val="22"/>
        </w:rPr>
        <w:t>As colunas IMDb e Rotten Tomatoes foram convertidas para tipo numérico, extraindo o valor antes da barra.</w:t>
      </w:r>
    </w:p>
    <w:p>
      <w:pPr>
        <w:spacing w:after="120" w:beforeAutospacing="0" w:afterAutospacing="0"/>
      </w:pPr>
      <w:r>
        <w:rPr>
          <w:rFonts w:ascii="Arial" w:hAnsi="Arial" w:cs="Arial" w:eastAsia="Arial"/>
          <w:color w:val="000000"/>
          <w:sz w:val="22"/>
          <w:szCs w:val="22"/>
        </w:rPr>
        <w:t>A coluna 'Age' foi convertida da classificação indicativa norte-americana para a classificação indicativa brasileira (Ministério da Justiça), conforme a tabela de equivalência abaixo: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675"/>
        <w:gridCol w:w="4675"/>
      </w:tblGrid>
      <w:tr>
        <w:tc>
          <w:tcPr>
            <w:tcW w:w="2500" w:type="pct"/>
            <w:shd w:val="clear" w:color="auto" w:fill="DDEBF7"/>
          </w:tcPr>
          <w:p>
            <w:r>
              <w:rPr>
                <w:rFonts w:ascii="Arial" w:hAnsi="Arial" w:cs="Arial" w:eastAsia="Arial"/>
                <w:b w:val="1"/>
                <w:bCs w:val="1"/>
                <w:color w:val="000000"/>
                <w:sz w:val="22"/>
                <w:szCs w:val="22"/>
              </w:rPr>
              <w:t>Classificação EUA</w:t>
            </w:r>
          </w:p>
        </w:tc>
        <w:tc>
          <w:tcPr>
            <w:tcW w:w="2500" w:type="pct"/>
            <w:shd w:val="clear" w:color="auto" w:fill="DDEBF7"/>
          </w:tcPr>
          <w:p>
            <w:r>
              <w:rPr>
                <w:rFonts w:ascii="Arial" w:hAnsi="Arial" w:cs="Arial" w:eastAsia="Arial"/>
                <w:b w:val="1"/>
                <w:bCs w:val="1"/>
                <w:color w:val="000000"/>
                <w:sz w:val="22"/>
                <w:szCs w:val="22"/>
              </w:rPr>
              <w:t>Classificação Brasil</w:t>
            </w:r>
          </w:p>
        </w:tc>
      </w:tr>
      <w:tr>
        <w:tc>
          <w:tcPr>
            <w:tcW w:w="2500" w:type="pct"/>
          </w:tcPr>
          <w:p>
            <w:r>
              <w:rPr>
                <w:rFonts w:ascii="Arial" w:hAnsi="Arial" w:cs="Arial" w:eastAsia="Arial"/>
                <w:b w:val="0"/>
                <w:bCs w:val="0"/>
                <w:color w:val="000000"/>
                <w:sz w:val="22"/>
                <w:szCs w:val="22"/>
              </w:rPr>
              <w:t>all</w:t>
            </w:r>
          </w:p>
        </w:tc>
        <w:tc>
          <w:tcPr>
            <w:tcW w:w="2500" w:type="pct"/>
          </w:tcPr>
          <w:p>
            <w:r>
              <w:rPr>
                <w:rFonts w:ascii="Arial" w:hAnsi="Arial" w:cs="Arial" w:eastAsia="Arial"/>
                <w:b w:val="0"/>
                <w:bCs w:val="0"/>
                <w:color w:val="000000"/>
                <w:sz w:val="22"/>
                <w:szCs w:val="22"/>
              </w:rPr>
              <w:t>Livre</w:t>
            </w:r>
          </w:p>
        </w:tc>
      </w:tr>
      <w:tr>
        <w:tc>
          <w:tcPr>
            <w:tcW w:w="2500" w:type="pct"/>
          </w:tcPr>
          <w:p>
            <w:r>
              <w:rPr>
                <w:rFonts w:ascii="Arial" w:hAnsi="Arial" w:cs="Arial" w:eastAsia="Arial"/>
                <w:b w:val="0"/>
                <w:bCs w:val="0"/>
                <w:color w:val="000000"/>
                <w:sz w:val="22"/>
                <w:szCs w:val="22"/>
              </w:rPr>
              <w:t>7+</w:t>
            </w:r>
          </w:p>
        </w:tc>
        <w:tc>
          <w:tcPr>
            <w:tcW w:w="2500" w:type="pct"/>
          </w:tcPr>
          <w:p>
            <w:r>
              <w:rPr>
                <w:rFonts w:ascii="Arial" w:hAnsi="Arial" w:cs="Arial" w:eastAsia="Arial"/>
                <w:b w:val="0"/>
                <w:bCs w:val="0"/>
                <w:color w:val="000000"/>
                <w:sz w:val="22"/>
                <w:szCs w:val="22"/>
              </w:rPr>
              <w:t>10 anos</w:t>
            </w:r>
          </w:p>
        </w:tc>
      </w:tr>
      <w:tr>
        <w:tc>
          <w:tcPr>
            <w:tcW w:w="2500" w:type="pct"/>
          </w:tcPr>
          <w:p>
            <w:r>
              <w:rPr>
                <w:rFonts w:ascii="Arial" w:hAnsi="Arial" w:cs="Arial" w:eastAsia="Arial"/>
                <w:b w:val="0"/>
                <w:bCs w:val="0"/>
                <w:color w:val="000000"/>
                <w:sz w:val="22"/>
                <w:szCs w:val="22"/>
              </w:rPr>
              <w:t>13+</w:t>
            </w:r>
          </w:p>
        </w:tc>
        <w:tc>
          <w:tcPr>
            <w:tcW w:w="2500" w:type="pct"/>
          </w:tcPr>
          <w:p>
            <w:r>
              <w:rPr>
                <w:rFonts w:ascii="Arial" w:hAnsi="Arial" w:cs="Arial" w:eastAsia="Arial"/>
                <w:b w:val="0"/>
                <w:bCs w:val="0"/>
                <w:color w:val="000000"/>
                <w:sz w:val="22"/>
                <w:szCs w:val="22"/>
              </w:rPr>
              <w:t>12 anos</w:t>
            </w:r>
          </w:p>
        </w:tc>
      </w:tr>
      <w:tr>
        <w:tc>
          <w:tcPr>
            <w:tcW w:w="2500" w:type="pct"/>
          </w:tcPr>
          <w:p>
            <w:r>
              <w:rPr>
                <w:rFonts w:ascii="Arial" w:hAnsi="Arial" w:cs="Arial" w:eastAsia="Arial"/>
                <w:b w:val="0"/>
                <w:bCs w:val="0"/>
                <w:color w:val="000000"/>
                <w:sz w:val="22"/>
                <w:szCs w:val="22"/>
              </w:rPr>
              <w:t>16+</w:t>
            </w:r>
          </w:p>
        </w:tc>
        <w:tc>
          <w:tcPr>
            <w:tcW w:w="2500" w:type="pct"/>
          </w:tcPr>
          <w:p>
            <w:r>
              <w:rPr>
                <w:rFonts w:ascii="Arial" w:hAnsi="Arial" w:cs="Arial" w:eastAsia="Arial"/>
                <w:b w:val="0"/>
                <w:bCs w:val="0"/>
                <w:color w:val="000000"/>
                <w:sz w:val="22"/>
                <w:szCs w:val="22"/>
              </w:rPr>
              <w:t>16 anos</w:t>
            </w:r>
          </w:p>
        </w:tc>
      </w:tr>
      <w:tr>
        <w:tc>
          <w:tcPr>
            <w:tcW w:w="2500" w:type="pct"/>
          </w:tcPr>
          <w:p>
            <w:r>
              <w:rPr>
                <w:rFonts w:ascii="Arial" w:hAnsi="Arial" w:cs="Arial" w:eastAsia="Arial"/>
                <w:b w:val="0"/>
                <w:bCs w:val="0"/>
                <w:color w:val="000000"/>
                <w:sz w:val="22"/>
                <w:szCs w:val="22"/>
              </w:rPr>
              <w:t>18+</w:t>
            </w:r>
          </w:p>
        </w:tc>
        <w:tc>
          <w:tcPr>
            <w:tcW w:w="2500" w:type="pct"/>
          </w:tcPr>
          <w:p>
            <w:r>
              <w:rPr>
                <w:rFonts w:ascii="Arial" w:hAnsi="Arial" w:cs="Arial" w:eastAsia="Arial"/>
                <w:b w:val="0"/>
                <w:bCs w:val="0"/>
                <w:color w:val="000000"/>
                <w:sz w:val="22"/>
                <w:szCs w:val="22"/>
              </w:rPr>
              <w:t>18 anos</w:t>
            </w:r>
          </w:p>
        </w:tc>
      </w:tr>
    </w:tbl>
    <w:p>
      <w:pPr>
        <w:pStyle w:val="P2"/>
        <w:spacing w:before="300" w:after="150" w:beforeAutospacing="0" w:afterAutospacing="0"/>
        <w:rPr>
          <w:rFonts w:ascii="Arial" w:hAnsi="Arial" w:cs="Arial" w:eastAsia="Arial"/>
          <w:b w:val="1"/>
          <w:bCs w:val="1"/>
          <w:color w:val="000000"/>
          <w:sz w:val="26"/>
          <w:szCs w:val="26"/>
        </w:rPr>
      </w:pPr>
    </w:p>
    <w:p>
      <w:pPr>
        <w:pStyle w:val="P2"/>
        <w:spacing w:before="300" w:after="150" w:beforeAutospacing="0" w:afterAutospacing="0"/>
        <w:jc w:val="center"/>
      </w:pPr>
      <w:r>
        <w:rPr>
          <w:rFonts w:ascii="Arial" w:hAnsi="Arial" w:cs="Arial" w:eastAsia="Arial"/>
          <w:b w:val="1"/>
          <w:bCs w:val="1"/>
          <w:color w:val="000000"/>
          <w:sz w:val="26"/>
          <w:szCs w:val="26"/>
        </w:rPr>
        <w:t>5. Organização dos dados</w:t>
      </w:r>
    </w:p>
    <w:p>
      <w:pPr>
        <w:spacing w:after="120" w:beforeAutospacing="0" w:afterAutospacing="0"/>
      </w:pPr>
      <w:r>
        <w:rPr>
          <w:rFonts w:ascii="Arial" w:hAnsi="Arial" w:cs="Arial" w:eastAsia="Arial"/>
          <w:color w:val="000000"/>
          <w:sz w:val="22"/>
          <w:szCs w:val="22"/>
        </w:rPr>
        <w:t>Os programas foram ordenados de forma decrescente pela nota do Rotten Tomatoes.</w:t>
      </w:r>
    </w:p>
    <w:p>
      <w:pPr>
        <w:pStyle w:val="P2"/>
        <w:spacing w:before="300" w:after="150" w:beforeAutospacing="0" w:afterAutospacing="0"/>
      </w:pPr>
      <w:r>
        <w:rPr>
          <w:rFonts w:ascii="Arial" w:hAnsi="Arial" w:cs="Arial" w:eastAsia="Arial"/>
          <w:b w:val="1"/>
          <w:bCs w:val="1"/>
          <w:color w:val="000000"/>
          <w:sz w:val="26"/>
          <w:szCs w:val="26"/>
        </w:rPr>
        <w:t>5.1 Ranking dos programas dentro de cada uma das 4 plataformas</w:t>
      </w:r>
    </w:p>
    <w:p>
      <w:pPr>
        <w:spacing w:after="120" w:beforeAutospacing="0" w:afterAutospacing="0"/>
      </w:pPr>
      <w:r>
        <w:rPr>
          <w:rFonts w:ascii="Arial" w:hAnsi="Arial" w:cs="Arial" w:eastAsia="Arial"/>
          <w:color w:val="000000"/>
          <w:sz w:val="22"/>
          <w:szCs w:val="22"/>
        </w:rPr>
        <w:t>O roteiro original da aula prática menciona "ordenar apenas os programas de TV disponíveis nas três plataformas listadas". No entanto, o dataset real traz 4 plataformas (Netflix, Hulu, Prime Video e Disney+), não 3, o que caracteriza uma inconsistência do material em relação aos dados fornecidos. Para atender à instrução sem descartar arbitrariamente uma plataforma que de fato existe nos dados, a ordenação pela nota do Rotten Tomatoes foi feita dentro de cada uma das 4 plataformas, mostrando o Top 5 de cada uma:</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675"/>
        <w:gridCol w:w="4675"/>
      </w:tblGrid>
      <w:tr>
        <w:tc>
          <w:tcPr>
            <w:tcW w:w="2500" w:type="pct"/>
            <w:shd w:val="clear" w:color="auto" w:fill="DDEBF7"/>
          </w:tcPr>
          <w:p>
            <w:r>
              <w:rPr>
                <w:rFonts w:ascii="Arial" w:hAnsi="Arial" w:cs="Arial" w:eastAsia="Arial"/>
                <w:b w:val="1"/>
                <w:bCs w:val="1"/>
                <w:color w:val="000000"/>
                <w:sz w:val="22"/>
                <w:szCs w:val="22"/>
              </w:rPr>
              <w:t>Netflix (1.329 títulos)</w:t>
            </w:r>
          </w:p>
        </w:tc>
        <w:tc>
          <w:tcPr>
            <w:tcW w:w="2500" w:type="pct"/>
            <w:shd w:val="clear" w:color="auto" w:fill="DDEBF7"/>
          </w:tcPr>
          <w:p>
            <w:r>
              <w:rPr>
                <w:rFonts w:ascii="Arial" w:hAnsi="Arial" w:cs="Arial" w:eastAsia="Arial"/>
                <w:b w:val="1"/>
                <w:bCs w:val="1"/>
                <w:color w:val="000000"/>
                <w:sz w:val="22"/>
                <w:szCs w:val="22"/>
              </w:rPr>
              <w:t>Rotten Tomatoes</w:t>
            </w:r>
          </w:p>
        </w:tc>
      </w:tr>
      <w:tr>
        <w:tc>
          <w:tcPr>
            <w:tcW w:w="2500" w:type="pct"/>
          </w:tcPr>
          <w:p>
            <w:r>
              <w:rPr>
                <w:rFonts w:ascii="Arial" w:hAnsi="Arial" w:cs="Arial" w:eastAsia="Arial"/>
                <w:b w:val="0"/>
                <w:bCs w:val="0"/>
                <w:color w:val="000000"/>
                <w:sz w:val="22"/>
                <w:szCs w:val="22"/>
              </w:rPr>
              <w:t>Breaking Bad (2008)</w:t>
            </w:r>
          </w:p>
        </w:tc>
        <w:tc>
          <w:tcPr>
            <w:tcW w:w="2500" w:type="pct"/>
          </w:tcPr>
          <w:p>
            <w:r>
              <w:rPr>
                <w:rFonts w:ascii="Arial" w:hAnsi="Arial" w:cs="Arial" w:eastAsia="Arial"/>
                <w:b w:val="0"/>
                <w:bCs w:val="0"/>
                <w:color w:val="000000"/>
                <w:sz w:val="22"/>
                <w:szCs w:val="22"/>
              </w:rPr>
              <w:t>100</w:t>
            </w:r>
          </w:p>
        </w:tc>
      </w:tr>
      <w:tr>
        <w:tc>
          <w:tcPr>
            <w:tcW w:w="2500" w:type="pct"/>
          </w:tcPr>
          <w:p>
            <w:r>
              <w:rPr>
                <w:rFonts w:ascii="Arial" w:hAnsi="Arial" w:cs="Arial" w:eastAsia="Arial"/>
                <w:b w:val="0"/>
                <w:bCs w:val="0"/>
                <w:color w:val="000000"/>
                <w:sz w:val="22"/>
                <w:szCs w:val="22"/>
              </w:rPr>
              <w:t>Stranger Things (2016)</w:t>
            </w:r>
          </w:p>
        </w:tc>
        <w:tc>
          <w:tcPr>
            <w:tcW w:w="2500" w:type="pct"/>
          </w:tcPr>
          <w:p>
            <w:r>
              <w:rPr>
                <w:rFonts w:ascii="Arial" w:hAnsi="Arial" w:cs="Arial" w:eastAsia="Arial"/>
                <w:b w:val="0"/>
                <w:bCs w:val="0"/>
                <w:color w:val="000000"/>
                <w:sz w:val="22"/>
                <w:szCs w:val="22"/>
              </w:rPr>
              <w:t>96</w:t>
            </w:r>
          </w:p>
        </w:tc>
      </w:tr>
      <w:tr>
        <w:tc>
          <w:tcPr>
            <w:tcW w:w="2500" w:type="pct"/>
          </w:tcPr>
          <w:p>
            <w:r>
              <w:rPr>
                <w:rFonts w:ascii="Arial" w:hAnsi="Arial" w:cs="Arial" w:eastAsia="Arial"/>
                <w:b w:val="0"/>
                <w:bCs w:val="0"/>
                <w:color w:val="000000"/>
                <w:sz w:val="22"/>
                <w:szCs w:val="22"/>
              </w:rPr>
              <w:t>Attack on Titan (2013)</w:t>
            </w:r>
          </w:p>
        </w:tc>
        <w:tc>
          <w:tcPr>
            <w:tcW w:w="2500" w:type="pct"/>
          </w:tcPr>
          <w:p>
            <w:r>
              <w:rPr>
                <w:rFonts w:ascii="Arial" w:hAnsi="Arial" w:cs="Arial" w:eastAsia="Arial"/>
                <w:b w:val="0"/>
                <w:bCs w:val="0"/>
                <w:color w:val="000000"/>
                <w:sz w:val="22"/>
                <w:szCs w:val="22"/>
              </w:rPr>
              <w:t>95</w:t>
            </w:r>
          </w:p>
        </w:tc>
      </w:tr>
      <w:tr>
        <w:tc>
          <w:tcPr>
            <w:tcW w:w="2500" w:type="pct"/>
          </w:tcPr>
          <w:p>
            <w:r>
              <w:rPr>
                <w:rFonts w:ascii="Arial" w:hAnsi="Arial" w:cs="Arial" w:eastAsia="Arial"/>
                <w:b w:val="0"/>
                <w:bCs w:val="0"/>
                <w:color w:val="000000"/>
                <w:sz w:val="22"/>
                <w:szCs w:val="22"/>
              </w:rPr>
              <w:t>Better Call Saul (2015)</w:t>
            </w:r>
          </w:p>
        </w:tc>
        <w:tc>
          <w:tcPr>
            <w:tcW w:w="2500" w:type="pct"/>
          </w:tcPr>
          <w:p>
            <w:r>
              <w:rPr>
                <w:rFonts w:ascii="Arial" w:hAnsi="Arial" w:cs="Arial" w:eastAsia="Arial"/>
                <w:b w:val="0"/>
                <w:bCs w:val="0"/>
                <w:color w:val="000000"/>
                <w:sz w:val="22"/>
                <w:szCs w:val="22"/>
              </w:rPr>
              <w:t>94</w:t>
            </w:r>
          </w:p>
        </w:tc>
      </w:tr>
      <w:tr>
        <w:tc>
          <w:tcPr>
            <w:tcW w:w="2500" w:type="pct"/>
          </w:tcPr>
          <w:p>
            <w:r>
              <w:rPr>
                <w:rFonts w:ascii="Arial" w:hAnsi="Arial" w:cs="Arial" w:eastAsia="Arial"/>
                <w:b w:val="0"/>
                <w:bCs w:val="0"/>
                <w:color w:val="000000"/>
                <w:sz w:val="22"/>
                <w:szCs w:val="22"/>
              </w:rPr>
              <w:t>Dark (2017)</w:t>
            </w:r>
          </w:p>
        </w:tc>
        <w:tc>
          <w:tcPr>
            <w:tcW w:w="2500" w:type="pct"/>
          </w:tcPr>
          <w:p>
            <w:r>
              <w:rPr>
                <w:rFonts w:ascii="Arial" w:hAnsi="Arial" w:cs="Arial" w:eastAsia="Arial"/>
                <w:b w:val="0"/>
                <w:bCs w:val="0"/>
                <w:color w:val="000000"/>
                <w:sz w:val="22"/>
                <w:szCs w:val="22"/>
              </w:rPr>
              <w:t>93</w:t>
            </w:r>
          </w:p>
        </w:tc>
      </w:tr>
    </w:tbl>
    <w:p>
      <w:pPr>
        <w:spacing w:after="120" w:beforeAutospacing="0" w:afterAutospacing="0"/>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675"/>
        <w:gridCol w:w="4675"/>
      </w:tblGrid>
      <w:tr>
        <w:tc>
          <w:tcPr>
            <w:tcW w:w="2500" w:type="pct"/>
            <w:shd w:val="clear" w:color="auto" w:fill="DDEBF7"/>
          </w:tcPr>
          <w:p>
            <w:r>
              <w:rPr>
                <w:rFonts w:ascii="Arial" w:hAnsi="Arial" w:cs="Arial" w:eastAsia="Arial"/>
                <w:b w:val="1"/>
                <w:bCs w:val="1"/>
                <w:color w:val="000000"/>
                <w:sz w:val="22"/>
                <w:szCs w:val="22"/>
              </w:rPr>
              <w:t>Hulu (1.212 títulos)</w:t>
            </w:r>
          </w:p>
        </w:tc>
        <w:tc>
          <w:tcPr>
            <w:tcW w:w="2500" w:type="pct"/>
            <w:shd w:val="clear" w:color="auto" w:fill="DDEBF7"/>
          </w:tcPr>
          <w:p>
            <w:r>
              <w:rPr>
                <w:rFonts w:ascii="Arial" w:hAnsi="Arial" w:cs="Arial" w:eastAsia="Arial"/>
                <w:b w:val="1"/>
                <w:bCs w:val="1"/>
                <w:color w:val="000000"/>
                <w:sz w:val="22"/>
                <w:szCs w:val="22"/>
              </w:rPr>
              <w:t>Rotten Tomatoes</w:t>
            </w:r>
          </w:p>
        </w:tc>
      </w:tr>
      <w:tr>
        <w:tc>
          <w:tcPr>
            <w:tcW w:w="2500" w:type="pct"/>
          </w:tcPr>
          <w:p>
            <w:r>
              <w:rPr>
                <w:rFonts w:ascii="Arial" w:hAnsi="Arial" w:cs="Arial" w:eastAsia="Arial"/>
                <w:b w:val="0"/>
                <w:bCs w:val="0"/>
                <w:color w:val="000000"/>
                <w:sz w:val="22"/>
                <w:szCs w:val="22"/>
              </w:rPr>
              <w:t>Rick and Morty (2013)</w:t>
            </w:r>
          </w:p>
        </w:tc>
        <w:tc>
          <w:tcPr>
            <w:tcW w:w="2500" w:type="pct"/>
          </w:tcPr>
          <w:p>
            <w:r>
              <w:rPr>
                <w:rFonts w:ascii="Arial" w:hAnsi="Arial" w:cs="Arial" w:eastAsia="Arial"/>
                <w:b w:val="0"/>
                <w:bCs w:val="0"/>
                <w:color w:val="000000"/>
                <w:sz w:val="22"/>
                <w:szCs w:val="22"/>
              </w:rPr>
              <w:t>100</w:t>
            </w:r>
          </w:p>
        </w:tc>
      </w:tr>
      <w:tr>
        <w:tc>
          <w:tcPr>
            <w:tcW w:w="2500" w:type="pct"/>
          </w:tcPr>
          <w:p>
            <w:r>
              <w:rPr>
                <w:rFonts w:ascii="Arial" w:hAnsi="Arial" w:cs="Arial" w:eastAsia="Arial"/>
                <w:b w:val="0"/>
                <w:bCs w:val="0"/>
                <w:color w:val="000000"/>
                <w:sz w:val="22"/>
                <w:szCs w:val="22"/>
              </w:rPr>
              <w:t>Attack on Titan (2013)</w:t>
            </w:r>
          </w:p>
        </w:tc>
        <w:tc>
          <w:tcPr>
            <w:tcW w:w="2500" w:type="pct"/>
          </w:tcPr>
          <w:p>
            <w:r>
              <w:rPr>
                <w:rFonts w:ascii="Arial" w:hAnsi="Arial" w:cs="Arial" w:eastAsia="Arial"/>
                <w:b w:val="0"/>
                <w:bCs w:val="0"/>
                <w:color w:val="000000"/>
                <w:sz w:val="22"/>
                <w:szCs w:val="22"/>
              </w:rPr>
              <w:t>95</w:t>
            </w:r>
          </w:p>
        </w:tc>
      </w:tr>
      <w:tr>
        <w:tc>
          <w:tcPr>
            <w:tcW w:w="2500" w:type="pct"/>
          </w:tcPr>
          <w:p>
            <w:r>
              <w:rPr>
                <w:rFonts w:ascii="Arial" w:hAnsi="Arial" w:cs="Arial" w:eastAsia="Arial"/>
                <w:b w:val="0"/>
                <w:bCs w:val="0"/>
                <w:color w:val="000000"/>
                <w:sz w:val="22"/>
                <w:szCs w:val="22"/>
              </w:rPr>
              <w:t>Seinfeld (1989)</w:t>
            </w:r>
          </w:p>
        </w:tc>
        <w:tc>
          <w:tcPr>
            <w:tcW w:w="2500" w:type="pct"/>
          </w:tcPr>
          <w:p>
            <w:r>
              <w:rPr>
                <w:rFonts w:ascii="Arial" w:hAnsi="Arial" w:cs="Arial" w:eastAsia="Arial"/>
                <w:b w:val="0"/>
                <w:bCs w:val="0"/>
                <w:color w:val="000000"/>
                <w:sz w:val="22"/>
                <w:szCs w:val="22"/>
              </w:rPr>
              <w:t>93</w:t>
            </w:r>
          </w:p>
        </w:tc>
      </w:tr>
      <w:tr>
        <w:tc>
          <w:tcPr>
            <w:tcW w:w="2500" w:type="pct"/>
          </w:tcPr>
          <w:p>
            <w:r>
              <w:rPr>
                <w:rFonts w:ascii="Arial" w:hAnsi="Arial" w:cs="Arial" w:eastAsia="Arial"/>
                <w:b w:val="0"/>
                <w:bCs w:val="0"/>
                <w:color w:val="000000"/>
                <w:sz w:val="22"/>
                <w:szCs w:val="22"/>
              </w:rPr>
              <w:t>Brooklyn Nine-Nine (2013)</w:t>
            </w:r>
          </w:p>
        </w:tc>
        <w:tc>
          <w:tcPr>
            <w:tcW w:w="2500" w:type="pct"/>
          </w:tcPr>
          <w:p>
            <w:r>
              <w:rPr>
                <w:rFonts w:ascii="Arial" w:hAnsi="Arial" w:cs="Arial" w:eastAsia="Arial"/>
                <w:b w:val="0"/>
                <w:bCs w:val="0"/>
                <w:color w:val="000000"/>
                <w:sz w:val="22"/>
                <w:szCs w:val="22"/>
              </w:rPr>
              <w:t>92</w:t>
            </w:r>
          </w:p>
        </w:tc>
      </w:tr>
      <w:tr>
        <w:tc>
          <w:tcPr>
            <w:tcW w:w="2500" w:type="pct"/>
          </w:tcPr>
          <w:p>
            <w:r>
              <w:rPr>
                <w:rFonts w:ascii="Arial" w:hAnsi="Arial" w:cs="Arial" w:eastAsia="Arial"/>
                <w:b w:val="0"/>
                <w:bCs w:val="0"/>
                <w:color w:val="000000"/>
                <w:sz w:val="22"/>
                <w:szCs w:val="22"/>
              </w:rPr>
              <w:t>Fargo (2014)</w:t>
            </w:r>
          </w:p>
        </w:tc>
        <w:tc>
          <w:tcPr>
            <w:tcW w:w="2500" w:type="pct"/>
          </w:tcPr>
          <w:p>
            <w:r>
              <w:rPr>
                <w:rFonts w:ascii="Arial" w:hAnsi="Arial" w:cs="Arial" w:eastAsia="Arial"/>
                <w:b w:val="0"/>
                <w:bCs w:val="0"/>
                <w:color w:val="000000"/>
                <w:sz w:val="22"/>
                <w:szCs w:val="22"/>
              </w:rPr>
              <w:t>92</w:t>
            </w:r>
          </w:p>
        </w:tc>
      </w:tr>
    </w:tbl>
    <w:p>
      <w:pPr>
        <w:spacing w:after="120" w:beforeAutospacing="0" w:afterAutospacing="0"/>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675"/>
        <w:gridCol w:w="4675"/>
      </w:tblGrid>
      <w:tr>
        <w:tc>
          <w:tcPr>
            <w:tcW w:w="2500" w:type="pct"/>
            <w:shd w:val="clear" w:color="auto" w:fill="DDEBF7"/>
          </w:tcPr>
          <w:p>
            <w:r>
              <w:rPr>
                <w:rFonts w:ascii="Arial" w:hAnsi="Arial" w:cs="Arial" w:eastAsia="Arial"/>
                <w:b w:val="1"/>
                <w:bCs w:val="1"/>
                <w:color w:val="000000"/>
                <w:sz w:val="22"/>
                <w:szCs w:val="22"/>
              </w:rPr>
              <w:t>Prime Video (750 títulos)</w:t>
            </w:r>
          </w:p>
        </w:tc>
        <w:tc>
          <w:tcPr>
            <w:tcW w:w="2500" w:type="pct"/>
            <w:shd w:val="clear" w:color="auto" w:fill="DDEBF7"/>
          </w:tcPr>
          <w:p>
            <w:r>
              <w:rPr>
                <w:rFonts w:ascii="Arial" w:hAnsi="Arial" w:cs="Arial" w:eastAsia="Arial"/>
                <w:b w:val="1"/>
                <w:bCs w:val="1"/>
                <w:color w:val="000000"/>
                <w:sz w:val="22"/>
                <w:szCs w:val="22"/>
              </w:rPr>
              <w:t>Rotten Tomatoes</w:t>
            </w:r>
          </w:p>
        </w:tc>
      </w:tr>
      <w:tr>
        <w:tc>
          <w:tcPr>
            <w:tcW w:w="2500" w:type="pct"/>
          </w:tcPr>
          <w:p>
            <w:r>
              <w:rPr>
                <w:rFonts w:ascii="Arial" w:hAnsi="Arial" w:cs="Arial" w:eastAsia="Arial"/>
                <w:b w:val="0"/>
                <w:bCs w:val="0"/>
                <w:color w:val="000000"/>
                <w:sz w:val="22"/>
                <w:szCs w:val="22"/>
              </w:rPr>
              <w:t>Avatar: The Last Airbender (2005)</w:t>
            </w:r>
          </w:p>
        </w:tc>
        <w:tc>
          <w:tcPr>
            <w:tcW w:w="2500" w:type="pct"/>
          </w:tcPr>
          <w:p>
            <w:r>
              <w:rPr>
                <w:rFonts w:ascii="Arial" w:hAnsi="Arial" w:cs="Arial" w:eastAsia="Arial"/>
                <w:b w:val="0"/>
                <w:bCs w:val="0"/>
                <w:color w:val="000000"/>
                <w:sz w:val="22"/>
                <w:szCs w:val="22"/>
              </w:rPr>
              <w:t>93</w:t>
            </w:r>
          </w:p>
        </w:tc>
      </w:tr>
      <w:tr>
        <w:tc>
          <w:tcPr>
            <w:tcW w:w="2500" w:type="pct"/>
          </w:tcPr>
          <w:p>
            <w:r>
              <w:rPr>
                <w:rFonts w:ascii="Arial" w:hAnsi="Arial" w:cs="Arial" w:eastAsia="Arial"/>
                <w:b w:val="0"/>
                <w:bCs w:val="0"/>
                <w:color w:val="000000"/>
                <w:sz w:val="22"/>
                <w:szCs w:val="22"/>
              </w:rPr>
              <w:t>The Boys (2019)</w:t>
            </w:r>
          </w:p>
        </w:tc>
        <w:tc>
          <w:tcPr>
            <w:tcW w:w="2500" w:type="pct"/>
          </w:tcPr>
          <w:p>
            <w:r>
              <w:rPr>
                <w:rFonts w:ascii="Arial" w:hAnsi="Arial" w:cs="Arial" w:eastAsia="Arial"/>
                <w:b w:val="0"/>
                <w:bCs w:val="0"/>
                <w:color w:val="000000"/>
                <w:sz w:val="22"/>
                <w:szCs w:val="22"/>
              </w:rPr>
              <w:t>93</w:t>
            </w:r>
          </w:p>
        </w:tc>
      </w:tr>
      <w:tr>
        <w:tc>
          <w:tcPr>
            <w:tcW w:w="2500" w:type="pct"/>
          </w:tcPr>
          <w:p>
            <w:r>
              <w:rPr>
                <w:rFonts w:ascii="Arial" w:hAnsi="Arial" w:cs="Arial" w:eastAsia="Arial"/>
                <w:b w:val="0"/>
                <w:bCs w:val="0"/>
                <w:color w:val="000000"/>
                <w:sz w:val="22"/>
                <w:szCs w:val="22"/>
              </w:rPr>
              <w:t>House (2004)</w:t>
            </w:r>
          </w:p>
        </w:tc>
        <w:tc>
          <w:tcPr>
            <w:tcW w:w="2500" w:type="pct"/>
          </w:tcPr>
          <w:p>
            <w:r>
              <w:rPr>
                <w:rFonts w:ascii="Arial" w:hAnsi="Arial" w:cs="Arial" w:eastAsia="Arial"/>
                <w:b w:val="0"/>
                <w:bCs w:val="0"/>
                <w:color w:val="000000"/>
                <w:sz w:val="22"/>
                <w:szCs w:val="22"/>
              </w:rPr>
              <w:t>92</w:t>
            </w:r>
          </w:p>
        </w:tc>
      </w:tr>
      <w:tr>
        <w:tc>
          <w:tcPr>
            <w:tcW w:w="2500" w:type="pct"/>
          </w:tcPr>
          <w:p>
            <w:r>
              <w:rPr>
                <w:rFonts w:ascii="Arial" w:hAnsi="Arial" w:cs="Arial" w:eastAsia="Arial"/>
                <w:b w:val="0"/>
                <w:bCs w:val="0"/>
                <w:color w:val="000000"/>
                <w:sz w:val="22"/>
                <w:szCs w:val="22"/>
              </w:rPr>
              <w:t>Vikings (2013)</w:t>
            </w:r>
          </w:p>
        </w:tc>
        <w:tc>
          <w:tcPr>
            <w:tcW w:w="2500" w:type="pct"/>
          </w:tcPr>
          <w:p>
            <w:r>
              <w:rPr>
                <w:rFonts w:ascii="Arial" w:hAnsi="Arial" w:cs="Arial" w:eastAsia="Arial"/>
                <w:b w:val="0"/>
                <w:bCs w:val="0"/>
                <w:color w:val="000000"/>
                <w:sz w:val="22"/>
                <w:szCs w:val="22"/>
              </w:rPr>
              <w:t>92</w:t>
            </w:r>
          </w:p>
        </w:tc>
      </w:tr>
      <w:tr>
        <w:tc>
          <w:tcPr>
            <w:tcW w:w="2500" w:type="pct"/>
          </w:tcPr>
          <w:p>
            <w:r>
              <w:rPr>
                <w:rFonts w:ascii="Arial" w:hAnsi="Arial" w:cs="Arial" w:eastAsia="Arial"/>
                <w:b w:val="0"/>
                <w:bCs w:val="0"/>
                <w:color w:val="000000"/>
                <w:sz w:val="22"/>
                <w:szCs w:val="22"/>
              </w:rPr>
              <w:t>Dexter (2006)</w:t>
            </w:r>
          </w:p>
        </w:tc>
        <w:tc>
          <w:tcPr>
            <w:tcW w:w="2500" w:type="pct"/>
          </w:tcPr>
          <w:p>
            <w:r>
              <w:rPr>
                <w:rFonts w:ascii="Arial" w:hAnsi="Arial" w:cs="Arial" w:eastAsia="Arial"/>
                <w:b w:val="0"/>
                <w:bCs w:val="0"/>
                <w:color w:val="000000"/>
                <w:sz w:val="22"/>
                <w:szCs w:val="22"/>
              </w:rPr>
              <w:t>92</w:t>
            </w:r>
          </w:p>
        </w:tc>
      </w:tr>
    </w:tbl>
    <w:p>
      <w:pPr>
        <w:spacing w:after="120" w:beforeAutospacing="0" w:afterAutospacing="0"/>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675"/>
        <w:gridCol w:w="4675"/>
      </w:tblGrid>
      <w:tr>
        <w:tc>
          <w:tcPr>
            <w:tcW w:w="2500" w:type="pct"/>
            <w:shd w:val="clear" w:color="auto" w:fill="DDEBF7"/>
          </w:tcPr>
          <w:p>
            <w:r>
              <w:rPr>
                <w:rFonts w:ascii="Arial" w:hAnsi="Arial" w:cs="Arial" w:eastAsia="Arial"/>
                <w:b w:val="1"/>
                <w:bCs w:val="1"/>
                <w:color w:val="000000"/>
                <w:sz w:val="22"/>
                <w:szCs w:val="22"/>
              </w:rPr>
              <w:t>Disney+ (257 títulos)</w:t>
            </w:r>
          </w:p>
        </w:tc>
        <w:tc>
          <w:tcPr>
            <w:tcW w:w="2500" w:type="pct"/>
            <w:shd w:val="clear" w:color="auto" w:fill="DDEBF7"/>
          </w:tcPr>
          <w:p>
            <w:r>
              <w:rPr>
                <w:rFonts w:ascii="Arial" w:hAnsi="Arial" w:cs="Arial" w:eastAsia="Arial"/>
                <w:b w:val="1"/>
                <w:bCs w:val="1"/>
                <w:color w:val="000000"/>
                <w:sz w:val="22"/>
                <w:szCs w:val="22"/>
              </w:rPr>
              <w:t>Rotten Tomatoes</w:t>
            </w:r>
          </w:p>
        </w:tc>
      </w:tr>
      <w:tr>
        <w:tc>
          <w:tcPr>
            <w:tcW w:w="2500" w:type="pct"/>
          </w:tcPr>
          <w:p>
            <w:r>
              <w:rPr>
                <w:rFonts w:ascii="Arial" w:hAnsi="Arial" w:cs="Arial" w:eastAsia="Arial"/>
                <w:b w:val="0"/>
                <w:bCs w:val="0"/>
                <w:color w:val="000000"/>
                <w:sz w:val="22"/>
                <w:szCs w:val="22"/>
              </w:rPr>
              <w:t>Loki (2021)</w:t>
            </w:r>
          </w:p>
        </w:tc>
        <w:tc>
          <w:tcPr>
            <w:tcW w:w="2500" w:type="pct"/>
          </w:tcPr>
          <w:p>
            <w:r>
              <w:rPr>
                <w:rFonts w:ascii="Arial" w:hAnsi="Arial" w:cs="Arial" w:eastAsia="Arial"/>
                <w:b w:val="0"/>
                <w:bCs w:val="0"/>
                <w:color w:val="000000"/>
                <w:sz w:val="22"/>
                <w:szCs w:val="22"/>
              </w:rPr>
              <w:t>95</w:t>
            </w:r>
          </w:p>
        </w:tc>
      </w:tr>
      <w:tr>
        <w:tc>
          <w:tcPr>
            <w:tcW w:w="2500" w:type="pct"/>
          </w:tcPr>
          <w:p>
            <w:r>
              <w:rPr>
                <w:rFonts w:ascii="Arial" w:hAnsi="Arial" w:cs="Arial" w:eastAsia="Arial"/>
                <w:b w:val="0"/>
                <w:bCs w:val="0"/>
                <w:color w:val="000000"/>
                <w:sz w:val="22"/>
                <w:szCs w:val="22"/>
              </w:rPr>
              <w:t>The Mandalorian (2019)</w:t>
            </w:r>
          </w:p>
        </w:tc>
        <w:tc>
          <w:tcPr>
            <w:tcW w:w="2500" w:type="pct"/>
          </w:tcPr>
          <w:p>
            <w:r>
              <w:rPr>
                <w:rFonts w:ascii="Arial" w:hAnsi="Arial" w:cs="Arial" w:eastAsia="Arial"/>
                <w:b w:val="0"/>
                <w:bCs w:val="0"/>
                <w:color w:val="000000"/>
                <w:sz w:val="22"/>
                <w:szCs w:val="22"/>
              </w:rPr>
              <w:t>94</w:t>
            </w:r>
          </w:p>
        </w:tc>
      </w:tr>
      <w:tr>
        <w:tc>
          <w:tcPr>
            <w:tcW w:w="2500" w:type="pct"/>
          </w:tcPr>
          <w:p>
            <w:r>
              <w:rPr>
                <w:rFonts w:ascii="Arial" w:hAnsi="Arial" w:cs="Arial" w:eastAsia="Arial"/>
                <w:b w:val="0"/>
                <w:bCs w:val="0"/>
                <w:color w:val="000000"/>
                <w:sz w:val="22"/>
                <w:szCs w:val="22"/>
              </w:rPr>
              <w:t>The Simpsons (1989)</w:t>
            </w:r>
          </w:p>
        </w:tc>
        <w:tc>
          <w:tcPr>
            <w:tcW w:w="2500" w:type="pct"/>
          </w:tcPr>
          <w:p>
            <w:r>
              <w:rPr>
                <w:rFonts w:ascii="Arial" w:hAnsi="Arial" w:cs="Arial" w:eastAsia="Arial"/>
                <w:b w:val="0"/>
                <w:bCs w:val="0"/>
                <w:color w:val="000000"/>
                <w:sz w:val="22"/>
                <w:szCs w:val="22"/>
              </w:rPr>
              <w:t>91</w:t>
            </w:r>
          </w:p>
        </w:tc>
      </w:tr>
      <w:tr>
        <w:tc>
          <w:tcPr>
            <w:tcW w:w="2500" w:type="pct"/>
          </w:tcPr>
          <w:p>
            <w:r>
              <w:rPr>
                <w:rFonts w:ascii="Arial" w:hAnsi="Arial" w:cs="Arial" w:eastAsia="Arial"/>
                <w:b w:val="0"/>
                <w:bCs w:val="0"/>
                <w:color w:val="000000"/>
                <w:sz w:val="22"/>
                <w:szCs w:val="22"/>
              </w:rPr>
              <w:t>WandaVision (2021)</w:t>
            </w:r>
          </w:p>
        </w:tc>
        <w:tc>
          <w:tcPr>
            <w:tcW w:w="2500" w:type="pct"/>
          </w:tcPr>
          <w:p>
            <w:r>
              <w:rPr>
                <w:rFonts w:ascii="Arial" w:hAnsi="Arial" w:cs="Arial" w:eastAsia="Arial"/>
                <w:b w:val="0"/>
                <w:bCs w:val="0"/>
                <w:color w:val="000000"/>
                <w:sz w:val="22"/>
                <w:szCs w:val="22"/>
              </w:rPr>
              <w:t>89</w:t>
            </w:r>
          </w:p>
        </w:tc>
      </w:tr>
      <w:tr>
        <w:tc>
          <w:tcPr>
            <w:tcW w:w="2500" w:type="pct"/>
          </w:tcPr>
          <w:p>
            <w:r>
              <w:rPr>
                <w:rFonts w:ascii="Arial" w:hAnsi="Arial" w:cs="Arial" w:eastAsia="Arial"/>
                <w:b w:val="0"/>
                <w:bCs w:val="0"/>
                <w:color w:val="000000"/>
                <w:sz w:val="22"/>
                <w:szCs w:val="22"/>
              </w:rPr>
              <w:t>Invincible (2021)</w:t>
            </w:r>
          </w:p>
        </w:tc>
        <w:tc>
          <w:tcPr>
            <w:tcW w:w="2500" w:type="pct"/>
          </w:tcPr>
          <w:p>
            <w:r>
              <w:rPr>
                <w:rFonts w:ascii="Arial" w:hAnsi="Arial" w:cs="Arial" w:eastAsia="Arial"/>
                <w:b w:val="0"/>
                <w:bCs w:val="0"/>
                <w:color w:val="000000"/>
                <w:sz w:val="22"/>
                <w:szCs w:val="22"/>
              </w:rPr>
              <w:t>88</w:t>
            </w:r>
          </w:p>
        </w:tc>
      </w:tr>
    </w:tbl>
    <w:p>
      <w:pPr>
        <w:spacing w:after="120" w:beforeAutospacing="0" w:afterAutospacing="0"/>
        <w:rPr>
          <w:rFonts w:ascii="Arial" w:hAnsi="Arial" w:cs="Arial" w:eastAsia="Arial"/>
          <w:color w:val="000000"/>
          <w:sz w:val="22"/>
          <w:szCs w:val="22"/>
        </w:rPr>
      </w:pPr>
      <w:r>
        <w:rPr>
          <w:rFonts w:ascii="Arial" w:hAnsi="Arial" w:cs="Arial" w:eastAsia="Arial"/>
          <w:color w:val="000000"/>
          <w:sz w:val="22"/>
          <w:szCs w:val="22"/>
        </w:rPr>
        <w:t>Um mesmo título pode aparecer em mais de um ranking quando está disponível em mais de uma plataforma (ex.: Attack on Titan, em Netflix e Hulu). A Netflix concentra o maior catálogo entre as quatro (1.329 títulos), seguida por Hulu (1.212), Prime Video (750) e Disney+ (257, o menor catálogo, mas com notas consistentemente altas nos seus melhores títulos, como Loki e The Mandalorian).</w:t>
      </w:r>
    </w:p>
    <w:p>
      <w:pPr>
        <w:spacing w:after="120" w:beforeAutospacing="0" w:afterAutospacing="0"/>
      </w:pPr>
    </w:p>
    <w:p>
      <w:pPr>
        <w:pStyle w:val="P2"/>
        <w:spacing w:before="300" w:after="150" w:beforeAutospacing="0" w:afterAutospacing="0"/>
        <w:jc w:val="center"/>
        <w:rPr>
          <w:rFonts w:ascii="Arial" w:hAnsi="Arial" w:cs="Arial" w:eastAsia="Arial"/>
          <w:b w:val="1"/>
          <w:bCs w:val="1"/>
          <w:color w:val="000000"/>
          <w:sz w:val="26"/>
          <w:szCs w:val="26"/>
        </w:rPr>
      </w:pPr>
      <w:r>
        <w:rPr>
          <w:rFonts w:ascii="Arial" w:hAnsi="Arial" w:cs="Arial" w:eastAsia="Arial"/>
          <w:b w:val="1"/>
          <w:bCs w:val="1"/>
          <w:color w:val="000000"/>
          <w:sz w:val="26"/>
          <w:szCs w:val="26"/>
        </w:rPr>
        <w:t>6. Visualização dos dados</w:t>
      </w:r>
    </w:p>
    <w:p>
      <w:pPr>
        <w:pStyle w:val="P2"/>
        <w:spacing w:before="300" w:after="150" w:beforeAutospacing="0" w:afterAutospacing="0"/>
        <w:jc w:val="center"/>
      </w:pPr>
    </w:p>
    <w:p>
      <w:pPr>
        <w:spacing w:after="120" w:beforeAutospacing="0" w:afterAutospacing="0"/>
      </w:pPr>
      <w:r>
        <w:rPr>
          <w:rFonts w:ascii="Arial" w:hAnsi="Arial" w:cs="Arial" w:eastAsia="Arial"/>
          <w:color w:val="000000"/>
          <w:sz w:val="22"/>
          <w:szCs w:val="22"/>
        </w:rPr>
        <w:t>O gráfico abaixo apresenta os 15 programas de TV com as maiores notas no Rotten Tomatoes, após a higienização e padronização dos dados.</w:t>
      </w:r>
    </w:p>
    <w:p>
      <w:pPr>
        <w:spacing w:after="200" w:beforeAutospacing="0" w:afterAutospacing="0"/>
        <w:jc w:val="center"/>
      </w:pPr>
      <w:r>
        <w:drawing>
          <wp:inline xmlns:wp="http://schemas.openxmlformats.org/drawingml/2006/wordprocessingDrawing" distT="0" distB="0" distL="0" distR="0">
            <wp:extent cx="5238750" cy="3619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1"/>
                    <a:srcRect/>
                    <a:stretch>
                      <a:fillRect/>
                    </a:stretch>
                  </pic:blipFill>
                  <pic:spPr bwMode="auto">
                    <a:xfrm>
                      <a:off x="0" y="0"/>
                      <a:ext cx="5238750" cy="3619500"/>
                    </a:xfrm>
                    <a:prstGeom prst="rect"/>
                  </pic:spPr>
                </pic:pic>
              </a:graphicData>
            </a:graphic>
          </wp:inline>
        </w:drawing>
      </w:r>
    </w:p>
    <w:p>
      <w:pPr>
        <w:pStyle w:val="P2"/>
        <w:spacing w:before="300" w:after="150" w:beforeAutospacing="0" w:afterAutospacing="0"/>
        <w:rPr>
          <w:rFonts w:ascii="Arial" w:hAnsi="Arial" w:cs="Arial" w:eastAsia="Arial"/>
          <w:b w:val="1"/>
          <w:bCs w:val="1"/>
          <w:color w:val="000000"/>
          <w:sz w:val="26"/>
          <w:szCs w:val="26"/>
        </w:rPr>
      </w:pPr>
    </w:p>
    <w:p>
      <w:pPr>
        <w:pStyle w:val="P2"/>
        <w:spacing w:before="300" w:after="150" w:beforeAutospacing="0" w:afterAutospacing="0"/>
        <w:rPr>
          <w:rFonts w:ascii="Arial" w:hAnsi="Arial" w:cs="Arial" w:eastAsia="Arial"/>
          <w:b w:val="1"/>
          <w:bCs w:val="1"/>
          <w:color w:val="000000"/>
          <w:sz w:val="26"/>
          <w:szCs w:val="26"/>
        </w:rPr>
      </w:pPr>
    </w:p>
    <w:p>
      <w:pPr>
        <w:pStyle w:val="P2"/>
        <w:spacing w:before="300" w:after="150" w:beforeAutospacing="0" w:afterAutospacing="0"/>
        <w:jc w:val="center"/>
        <w:rPr>
          <w:rFonts w:ascii="Arial" w:hAnsi="Arial" w:cs="Arial" w:eastAsia="Arial"/>
          <w:b w:val="1"/>
          <w:bCs w:val="1"/>
          <w:color w:val="000000"/>
          <w:sz w:val="26"/>
          <w:szCs w:val="26"/>
        </w:rPr>
      </w:pPr>
      <w:r>
        <w:rPr>
          <w:rFonts w:ascii="Arial" w:hAnsi="Arial" w:cs="Arial" w:eastAsia="Arial"/>
          <w:b w:val="1"/>
          <w:bCs w:val="1"/>
          <w:color w:val="000000"/>
          <w:sz w:val="26"/>
          <w:szCs w:val="26"/>
        </w:rPr>
        <w:t>7. Análise dos resultados</w:t>
      </w:r>
    </w:p>
    <w:p>
      <w:pPr>
        <w:pStyle w:val="P2"/>
        <w:spacing w:before="300" w:after="150" w:beforeAutospacing="0" w:afterAutospacing="0"/>
        <w:jc w:val="center"/>
      </w:pPr>
    </w:p>
    <w:p>
      <w:pPr>
        <w:pStyle w:val="P3"/>
        <w:spacing w:before="250" w:after="120" w:beforeAutospacing="0" w:afterAutospacing="0"/>
      </w:pPr>
      <w:r>
        <w:rPr>
          <w:rFonts w:ascii="Arial" w:hAnsi="Arial" w:cs="Arial" w:eastAsia="Arial"/>
          <w:b w:val="1"/>
          <w:bCs w:val="1"/>
          <w:color w:val="000000"/>
          <w:sz w:val="26"/>
          <w:szCs w:val="26"/>
        </w:rPr>
        <w:t>7.1 Quantas linhas necessitaram ser excluídas?</w:t>
      </w:r>
    </w:p>
    <w:p>
      <w:pPr>
        <w:spacing w:after="120" w:beforeAutospacing="0" w:afterAutospacing="0"/>
        <w:rPr>
          <w:rFonts w:ascii="Arial" w:hAnsi="Arial" w:cs="Arial" w:eastAsia="Arial"/>
          <w:color w:val="000000"/>
          <w:sz w:val="22"/>
          <w:szCs w:val="22"/>
        </w:rPr>
      </w:pPr>
      <w:r>
        <w:rPr>
          <w:rFonts w:ascii="Arial" w:hAnsi="Arial" w:cs="Arial" w:eastAsia="Arial"/>
          <w:color w:val="000000"/>
          <w:sz w:val="22"/>
          <w:szCs w:val="22"/>
        </w:rPr>
        <w:t>Foram excluídas 2.161 linhas (≈ 40,3% do total de 5.368), correspondentes aos registros com valores nulos em 'Age' e/ou 'IMDb'. Restaram 3.207 linhas válidas para a análise.</w:t>
      </w:r>
    </w:p>
    <w:p>
      <w:pPr>
        <w:spacing w:after="120" w:beforeAutospacing="0" w:afterAutospacing="0"/>
      </w:pPr>
    </w:p>
    <w:p>
      <w:pPr>
        <w:pStyle w:val="P3"/>
        <w:spacing w:before="250" w:after="120" w:beforeAutospacing="0" w:afterAutospacing="0"/>
      </w:pPr>
      <w:r>
        <w:rPr>
          <w:rFonts w:ascii="Arial" w:hAnsi="Arial" w:cs="Arial" w:eastAsia="Arial"/>
          <w:b w:val="1"/>
          <w:bCs w:val="1"/>
          <w:color w:val="000000"/>
          <w:sz w:val="26"/>
          <w:szCs w:val="26"/>
        </w:rPr>
        <w:t>7.2 Os programas com notas mais altas estão disponíveis em quantas plataformas? E os com notas mais baixas?</w:t>
      </w:r>
    </w:p>
    <w:p>
      <w:pPr>
        <w:spacing w:after="120" w:beforeAutospacing="0" w:afterAutospacing="0"/>
      </w:pPr>
      <w:r>
        <w:rPr>
          <w:rFonts w:ascii="Arial" w:hAnsi="Arial" w:cs="Arial" w:eastAsia="Arial"/>
          <w:color w:val="000000"/>
          <w:sz w:val="22"/>
          <w:szCs w:val="22"/>
        </w:rPr>
        <w:t>Considerando o Top 10 programas por nota do Rotten Tomatoes, a média de plataformas em que cada um está disponível é de 1,1, ou seja, a grande maioria está disponível em apenas uma plataforma (majoritariamente Netflix), com poucas exceções em duas plataformas (ex.: Attack on Titan, em Netflix e Hulu).</w:t>
      </w:r>
    </w:p>
    <w:p>
      <w:pPr>
        <w:spacing w:after="120" w:beforeAutospacing="0" w:afterAutospacing="0"/>
      </w:pPr>
      <w:r>
        <w:rPr>
          <w:rFonts w:ascii="Arial" w:hAnsi="Arial" w:cs="Arial" w:eastAsia="Arial"/>
          <w:color w:val="000000"/>
          <w:sz w:val="22"/>
          <w:szCs w:val="22"/>
        </w:rPr>
        <w:t>Já os 10 programas com as notas mais baixas estão, em média, disponíveis em 1,0 plataforma, todos exclusivos de uma única plataforma.</w:t>
      </w:r>
    </w:p>
    <w:p>
      <w:pPr>
        <w:spacing w:after="120" w:beforeAutospacing="0" w:afterAutospacing="0"/>
        <w:rPr>
          <w:rFonts w:ascii="Arial" w:hAnsi="Arial" w:cs="Arial" w:eastAsia="Arial"/>
          <w:color w:val="000000"/>
          <w:sz w:val="22"/>
          <w:szCs w:val="22"/>
        </w:rPr>
      </w:pPr>
      <w:r>
        <w:rPr>
          <w:rFonts w:ascii="Arial" w:hAnsi="Arial" w:cs="Arial" w:eastAsia="Arial"/>
          <w:color w:val="000000"/>
          <w:sz w:val="22"/>
          <w:szCs w:val="22"/>
        </w:rPr>
        <w:t>Ao ampliar a análise para os 100 melhores e 100 piores títulos, o padrão se confirma: os melhores avaliados aparecem em 1,24 plataformas em média, contra 1,01 dos piores avaliados. Isso sugere uma leve tendência de os títulos mais bem avaliados estarem disponíveis em mais de uma plataforma, mas a diferença é pequena: a nota não é fortemente determinada pelo número de plataformas em que o título está disponível.</w:t>
      </w:r>
    </w:p>
    <w:p>
      <w:pPr>
        <w:spacing w:after="120" w:beforeAutospacing="0" w:afterAutospacing="0"/>
      </w:pPr>
    </w:p>
    <w:p>
      <w:pPr>
        <w:pStyle w:val="P3"/>
        <w:spacing w:before="250" w:after="120" w:beforeAutospacing="0" w:afterAutospacing="0"/>
      </w:pPr>
      <w:r>
        <w:rPr>
          <w:rFonts w:ascii="Arial" w:hAnsi="Arial" w:cs="Arial" w:eastAsia="Arial"/>
          <w:b w:val="1"/>
          <w:bCs w:val="1"/>
          <w:color w:val="000000"/>
          <w:sz w:val="26"/>
          <w:szCs w:val="26"/>
        </w:rPr>
        <w:t>7.3 Ranking dos melhores programas de TV (Rotten Tomatoes)</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870"/>
        <w:gridCol w:w="1870"/>
        <w:gridCol w:w="1870"/>
        <w:gridCol w:w="1870"/>
        <w:gridCol w:w="1870"/>
      </w:tblGrid>
      <w:tr>
        <w:tc>
          <w:tcPr>
            <w:tcW w:w="1000" w:type="pct"/>
            <w:shd w:val="clear" w:color="auto" w:fill="DDEBF7"/>
          </w:tcPr>
          <w:p>
            <w:r>
              <w:rPr>
                <w:rFonts w:ascii="Arial" w:hAnsi="Arial" w:cs="Arial" w:eastAsia="Arial"/>
                <w:b w:val="1"/>
                <w:bCs w:val="1"/>
                <w:color w:val="000000"/>
                <w:sz w:val="22"/>
                <w:szCs w:val="22"/>
              </w:rPr>
              <w:t>#</w:t>
            </w:r>
          </w:p>
        </w:tc>
        <w:tc>
          <w:tcPr>
            <w:tcW w:w="1000" w:type="pct"/>
            <w:shd w:val="clear" w:color="auto" w:fill="DDEBF7"/>
          </w:tcPr>
          <w:p>
            <w:r>
              <w:rPr>
                <w:rFonts w:ascii="Arial" w:hAnsi="Arial" w:cs="Arial" w:eastAsia="Arial"/>
                <w:b w:val="1"/>
                <w:bCs w:val="1"/>
                <w:color w:val="000000"/>
                <w:sz w:val="22"/>
                <w:szCs w:val="22"/>
              </w:rPr>
              <w:t>Título</w:t>
            </w:r>
          </w:p>
        </w:tc>
        <w:tc>
          <w:tcPr>
            <w:tcW w:w="1000" w:type="pct"/>
            <w:shd w:val="clear" w:color="auto" w:fill="DDEBF7"/>
          </w:tcPr>
          <w:p>
            <w:r>
              <w:rPr>
                <w:rFonts w:ascii="Arial" w:hAnsi="Arial" w:cs="Arial" w:eastAsia="Arial"/>
                <w:b w:val="1"/>
                <w:bCs w:val="1"/>
                <w:color w:val="000000"/>
                <w:sz w:val="22"/>
                <w:szCs w:val="22"/>
              </w:rPr>
              <w:t>Ano</w:t>
            </w:r>
          </w:p>
        </w:tc>
        <w:tc>
          <w:tcPr>
            <w:tcW w:w="1000" w:type="pct"/>
            <w:shd w:val="clear" w:color="auto" w:fill="DDEBF7"/>
          </w:tcPr>
          <w:p>
            <w:r>
              <w:rPr>
                <w:rFonts w:ascii="Arial" w:hAnsi="Arial" w:cs="Arial" w:eastAsia="Arial"/>
                <w:b w:val="1"/>
                <w:bCs w:val="1"/>
                <w:color w:val="000000"/>
                <w:sz w:val="22"/>
                <w:szCs w:val="22"/>
              </w:rPr>
              <w:t>Rotten Tomatoes</w:t>
            </w:r>
          </w:p>
        </w:tc>
        <w:tc>
          <w:tcPr>
            <w:tcW w:w="1000" w:type="pct"/>
            <w:shd w:val="clear" w:color="auto" w:fill="DDEBF7"/>
          </w:tcPr>
          <w:p>
            <w:r>
              <w:rPr>
                <w:rFonts w:ascii="Arial" w:hAnsi="Arial" w:cs="Arial" w:eastAsia="Arial"/>
                <w:b w:val="1"/>
                <w:bCs w:val="1"/>
                <w:color w:val="000000"/>
                <w:sz w:val="22"/>
                <w:szCs w:val="22"/>
              </w:rPr>
              <w:t>IMDb</w:t>
            </w:r>
          </w:p>
        </w:tc>
      </w:tr>
      <w:tr>
        <w:tc>
          <w:tcPr>
            <w:tcW w:w="1000" w:type="pct"/>
          </w:tcPr>
          <w:p>
            <w:r>
              <w:rPr>
                <w:rFonts w:ascii="Arial" w:hAnsi="Arial" w:cs="Arial" w:eastAsia="Arial"/>
                <w:b w:val="0"/>
                <w:bCs w:val="0"/>
                <w:color w:val="000000"/>
                <w:sz w:val="22"/>
                <w:szCs w:val="22"/>
              </w:rPr>
              <w:t>1</w:t>
            </w:r>
          </w:p>
        </w:tc>
        <w:tc>
          <w:tcPr>
            <w:tcW w:w="1000" w:type="pct"/>
          </w:tcPr>
          <w:p>
            <w:r>
              <w:rPr>
                <w:rFonts w:ascii="Arial" w:hAnsi="Arial" w:cs="Arial" w:eastAsia="Arial"/>
                <w:b w:val="0"/>
                <w:bCs w:val="0"/>
                <w:color w:val="000000"/>
                <w:sz w:val="22"/>
                <w:szCs w:val="22"/>
              </w:rPr>
              <w:t>Breaking Bad</w:t>
            </w:r>
          </w:p>
        </w:tc>
        <w:tc>
          <w:tcPr>
            <w:tcW w:w="1000" w:type="pct"/>
          </w:tcPr>
          <w:p>
            <w:r>
              <w:rPr>
                <w:rFonts w:ascii="Arial" w:hAnsi="Arial" w:cs="Arial" w:eastAsia="Arial"/>
                <w:b w:val="0"/>
                <w:bCs w:val="0"/>
                <w:color w:val="000000"/>
                <w:sz w:val="22"/>
                <w:szCs w:val="22"/>
              </w:rPr>
              <w:t>2008</w:t>
            </w:r>
          </w:p>
        </w:tc>
        <w:tc>
          <w:tcPr>
            <w:tcW w:w="1000" w:type="pct"/>
          </w:tcPr>
          <w:p>
            <w:r>
              <w:rPr>
                <w:rFonts w:ascii="Arial" w:hAnsi="Arial" w:cs="Arial" w:eastAsia="Arial"/>
                <w:b w:val="0"/>
                <w:bCs w:val="0"/>
                <w:color w:val="000000"/>
                <w:sz w:val="22"/>
                <w:szCs w:val="22"/>
              </w:rPr>
              <w:t>100</w:t>
            </w:r>
          </w:p>
        </w:tc>
        <w:tc>
          <w:tcPr>
            <w:tcW w:w="1000" w:type="pct"/>
          </w:tcPr>
          <w:p>
            <w:r>
              <w:rPr>
                <w:rFonts w:ascii="Arial" w:hAnsi="Arial" w:cs="Arial" w:eastAsia="Arial"/>
                <w:b w:val="0"/>
                <w:bCs w:val="0"/>
                <w:color w:val="000000"/>
                <w:sz w:val="22"/>
                <w:szCs w:val="22"/>
              </w:rPr>
              <w:t>9.4</w:t>
            </w:r>
          </w:p>
        </w:tc>
      </w:tr>
      <w:tr>
        <w:tc>
          <w:tcPr>
            <w:tcW w:w="1000" w:type="pct"/>
          </w:tcPr>
          <w:p>
            <w:r>
              <w:rPr>
                <w:rFonts w:ascii="Arial" w:hAnsi="Arial" w:cs="Arial" w:eastAsia="Arial"/>
                <w:b w:val="0"/>
                <w:bCs w:val="0"/>
                <w:color w:val="000000"/>
                <w:sz w:val="22"/>
                <w:szCs w:val="22"/>
              </w:rPr>
              <w:t>1</w:t>
            </w:r>
          </w:p>
        </w:tc>
        <w:tc>
          <w:tcPr>
            <w:tcW w:w="1000" w:type="pct"/>
          </w:tcPr>
          <w:p>
            <w:r>
              <w:rPr>
                <w:rFonts w:ascii="Arial" w:hAnsi="Arial" w:cs="Arial" w:eastAsia="Arial"/>
                <w:b w:val="0"/>
                <w:bCs w:val="0"/>
                <w:color w:val="000000"/>
                <w:sz w:val="22"/>
                <w:szCs w:val="22"/>
              </w:rPr>
              <w:t>Rick and Morty</w:t>
            </w:r>
          </w:p>
        </w:tc>
        <w:tc>
          <w:tcPr>
            <w:tcW w:w="1000" w:type="pct"/>
          </w:tcPr>
          <w:p>
            <w:r>
              <w:rPr>
                <w:rFonts w:ascii="Arial" w:hAnsi="Arial" w:cs="Arial" w:eastAsia="Arial"/>
                <w:b w:val="0"/>
                <w:bCs w:val="0"/>
                <w:color w:val="000000"/>
                <w:sz w:val="22"/>
                <w:szCs w:val="22"/>
              </w:rPr>
              <w:t>2013</w:t>
            </w:r>
          </w:p>
        </w:tc>
        <w:tc>
          <w:tcPr>
            <w:tcW w:w="1000" w:type="pct"/>
          </w:tcPr>
          <w:p>
            <w:r>
              <w:rPr>
                <w:rFonts w:ascii="Arial" w:hAnsi="Arial" w:cs="Arial" w:eastAsia="Arial"/>
                <w:b w:val="0"/>
                <w:bCs w:val="0"/>
                <w:color w:val="000000"/>
                <w:sz w:val="22"/>
                <w:szCs w:val="22"/>
              </w:rPr>
              <w:t>100</w:t>
            </w:r>
          </w:p>
        </w:tc>
        <w:tc>
          <w:tcPr>
            <w:tcW w:w="1000" w:type="pct"/>
          </w:tcPr>
          <w:p>
            <w:r>
              <w:rPr>
                <w:rFonts w:ascii="Arial" w:hAnsi="Arial" w:cs="Arial" w:eastAsia="Arial"/>
                <w:b w:val="0"/>
                <w:bCs w:val="0"/>
                <w:color w:val="000000"/>
                <w:sz w:val="22"/>
                <w:szCs w:val="22"/>
              </w:rPr>
              <w:t>9.2</w:t>
            </w:r>
          </w:p>
        </w:tc>
      </w:tr>
      <w:tr>
        <w:tc>
          <w:tcPr>
            <w:tcW w:w="1000" w:type="pct"/>
          </w:tcPr>
          <w:p>
            <w:r>
              <w:rPr>
                <w:rFonts w:ascii="Arial" w:hAnsi="Arial" w:cs="Arial" w:eastAsia="Arial"/>
                <w:b w:val="0"/>
                <w:bCs w:val="0"/>
                <w:color w:val="000000"/>
                <w:sz w:val="22"/>
                <w:szCs w:val="22"/>
              </w:rPr>
              <w:t>3</w:t>
            </w:r>
          </w:p>
        </w:tc>
        <w:tc>
          <w:tcPr>
            <w:tcW w:w="1000" w:type="pct"/>
          </w:tcPr>
          <w:p>
            <w:r>
              <w:rPr>
                <w:rFonts w:ascii="Arial" w:hAnsi="Arial" w:cs="Arial" w:eastAsia="Arial"/>
                <w:b w:val="0"/>
                <w:bCs w:val="0"/>
                <w:color w:val="000000"/>
                <w:sz w:val="22"/>
                <w:szCs w:val="22"/>
              </w:rPr>
              <w:t>Stranger Things</w:t>
            </w:r>
          </w:p>
        </w:tc>
        <w:tc>
          <w:tcPr>
            <w:tcW w:w="1000" w:type="pct"/>
          </w:tcPr>
          <w:p>
            <w:r>
              <w:rPr>
                <w:rFonts w:ascii="Arial" w:hAnsi="Arial" w:cs="Arial" w:eastAsia="Arial"/>
                <w:b w:val="0"/>
                <w:bCs w:val="0"/>
                <w:color w:val="000000"/>
                <w:sz w:val="22"/>
                <w:szCs w:val="22"/>
              </w:rPr>
              <w:t>2016</w:t>
            </w:r>
          </w:p>
        </w:tc>
        <w:tc>
          <w:tcPr>
            <w:tcW w:w="1000" w:type="pct"/>
          </w:tcPr>
          <w:p>
            <w:r>
              <w:rPr>
                <w:rFonts w:ascii="Arial" w:hAnsi="Arial" w:cs="Arial" w:eastAsia="Arial"/>
                <w:b w:val="0"/>
                <w:bCs w:val="0"/>
                <w:color w:val="000000"/>
                <w:sz w:val="22"/>
                <w:szCs w:val="22"/>
              </w:rPr>
              <w:t>96</w:t>
            </w:r>
          </w:p>
        </w:tc>
        <w:tc>
          <w:tcPr>
            <w:tcW w:w="1000" w:type="pct"/>
          </w:tcPr>
          <w:p>
            <w:r>
              <w:rPr>
                <w:rFonts w:ascii="Arial" w:hAnsi="Arial" w:cs="Arial" w:eastAsia="Arial"/>
                <w:b w:val="0"/>
                <w:bCs w:val="0"/>
                <w:color w:val="000000"/>
                <w:sz w:val="22"/>
                <w:szCs w:val="22"/>
              </w:rPr>
              <w:t>8.7</w:t>
            </w:r>
          </w:p>
        </w:tc>
      </w:tr>
      <w:tr>
        <w:tc>
          <w:tcPr>
            <w:tcW w:w="1000" w:type="pct"/>
          </w:tcPr>
          <w:p>
            <w:r>
              <w:rPr>
                <w:rFonts w:ascii="Arial" w:hAnsi="Arial" w:cs="Arial" w:eastAsia="Arial"/>
                <w:b w:val="0"/>
                <w:bCs w:val="0"/>
                <w:color w:val="000000"/>
                <w:sz w:val="22"/>
                <w:szCs w:val="22"/>
              </w:rPr>
              <w:t>4</w:t>
            </w:r>
          </w:p>
        </w:tc>
        <w:tc>
          <w:tcPr>
            <w:tcW w:w="1000" w:type="pct"/>
          </w:tcPr>
          <w:p>
            <w:r>
              <w:rPr>
                <w:rFonts w:ascii="Arial" w:hAnsi="Arial" w:cs="Arial" w:eastAsia="Arial"/>
                <w:b w:val="0"/>
                <w:bCs w:val="0"/>
                <w:color w:val="000000"/>
                <w:sz w:val="22"/>
                <w:szCs w:val="22"/>
              </w:rPr>
              <w:t>Attack on Titan</w:t>
            </w:r>
          </w:p>
        </w:tc>
        <w:tc>
          <w:tcPr>
            <w:tcW w:w="1000" w:type="pct"/>
          </w:tcPr>
          <w:p>
            <w:r>
              <w:rPr>
                <w:rFonts w:ascii="Arial" w:hAnsi="Arial" w:cs="Arial" w:eastAsia="Arial"/>
                <w:b w:val="0"/>
                <w:bCs w:val="0"/>
                <w:color w:val="000000"/>
                <w:sz w:val="22"/>
                <w:szCs w:val="22"/>
              </w:rPr>
              <w:t>2013</w:t>
            </w:r>
          </w:p>
        </w:tc>
        <w:tc>
          <w:tcPr>
            <w:tcW w:w="1000" w:type="pct"/>
          </w:tcPr>
          <w:p>
            <w:r>
              <w:rPr>
                <w:rFonts w:ascii="Arial" w:hAnsi="Arial" w:cs="Arial" w:eastAsia="Arial"/>
                <w:b w:val="0"/>
                <w:bCs w:val="0"/>
                <w:color w:val="000000"/>
                <w:sz w:val="22"/>
                <w:szCs w:val="22"/>
              </w:rPr>
              <w:t>95</w:t>
            </w:r>
          </w:p>
        </w:tc>
        <w:tc>
          <w:tcPr>
            <w:tcW w:w="1000" w:type="pct"/>
          </w:tcPr>
          <w:p>
            <w:r>
              <w:rPr>
                <w:rFonts w:ascii="Arial" w:hAnsi="Arial" w:cs="Arial" w:eastAsia="Arial"/>
                <w:b w:val="0"/>
                <w:bCs w:val="0"/>
                <w:color w:val="000000"/>
                <w:sz w:val="22"/>
                <w:szCs w:val="22"/>
              </w:rPr>
              <w:t>9.0</w:t>
            </w:r>
          </w:p>
        </w:tc>
      </w:tr>
      <w:tr>
        <w:tc>
          <w:tcPr>
            <w:tcW w:w="1000" w:type="pct"/>
          </w:tcPr>
          <w:p>
            <w:r>
              <w:rPr>
                <w:rFonts w:ascii="Arial" w:hAnsi="Arial" w:cs="Arial" w:eastAsia="Arial"/>
                <w:b w:val="0"/>
                <w:bCs w:val="0"/>
                <w:color w:val="000000"/>
                <w:sz w:val="22"/>
                <w:szCs w:val="22"/>
              </w:rPr>
              <w:t>4</w:t>
            </w:r>
          </w:p>
        </w:tc>
        <w:tc>
          <w:tcPr>
            <w:tcW w:w="1000" w:type="pct"/>
          </w:tcPr>
          <w:p>
            <w:r>
              <w:rPr>
                <w:rFonts w:ascii="Arial" w:hAnsi="Arial" w:cs="Arial" w:eastAsia="Arial"/>
                <w:b w:val="0"/>
                <w:bCs w:val="0"/>
                <w:color w:val="000000"/>
                <w:sz w:val="22"/>
                <w:szCs w:val="22"/>
              </w:rPr>
              <w:t>Loki</w:t>
            </w:r>
          </w:p>
        </w:tc>
        <w:tc>
          <w:tcPr>
            <w:tcW w:w="1000" w:type="pct"/>
          </w:tcPr>
          <w:p>
            <w:r>
              <w:rPr>
                <w:rFonts w:ascii="Arial" w:hAnsi="Arial" w:cs="Arial" w:eastAsia="Arial"/>
                <w:b w:val="0"/>
                <w:bCs w:val="0"/>
                <w:color w:val="000000"/>
                <w:sz w:val="22"/>
                <w:szCs w:val="22"/>
              </w:rPr>
              <w:t>2021</w:t>
            </w:r>
          </w:p>
        </w:tc>
        <w:tc>
          <w:tcPr>
            <w:tcW w:w="1000" w:type="pct"/>
          </w:tcPr>
          <w:p>
            <w:r>
              <w:rPr>
                <w:rFonts w:ascii="Arial" w:hAnsi="Arial" w:cs="Arial" w:eastAsia="Arial"/>
                <w:b w:val="0"/>
                <w:bCs w:val="0"/>
                <w:color w:val="000000"/>
                <w:sz w:val="22"/>
                <w:szCs w:val="22"/>
              </w:rPr>
              <w:t>95</w:t>
            </w:r>
          </w:p>
        </w:tc>
        <w:tc>
          <w:tcPr>
            <w:tcW w:w="1000" w:type="pct"/>
          </w:tcPr>
          <w:p>
            <w:r>
              <w:rPr>
                <w:rFonts w:ascii="Arial" w:hAnsi="Arial" w:cs="Arial" w:eastAsia="Arial"/>
                <w:b w:val="0"/>
                <w:bCs w:val="0"/>
                <w:color w:val="000000"/>
                <w:sz w:val="22"/>
                <w:szCs w:val="22"/>
              </w:rPr>
              <w:t>8.5</w:t>
            </w:r>
          </w:p>
        </w:tc>
      </w:tr>
      <w:tr>
        <w:tc>
          <w:tcPr>
            <w:tcW w:w="1000" w:type="pct"/>
          </w:tcPr>
          <w:p>
            <w:r>
              <w:rPr>
                <w:rFonts w:ascii="Arial" w:hAnsi="Arial" w:cs="Arial" w:eastAsia="Arial"/>
                <w:b w:val="0"/>
                <w:bCs w:val="0"/>
                <w:color w:val="000000"/>
                <w:sz w:val="22"/>
                <w:szCs w:val="22"/>
              </w:rPr>
              <w:t>6</w:t>
            </w:r>
          </w:p>
        </w:tc>
        <w:tc>
          <w:tcPr>
            <w:tcW w:w="1000" w:type="pct"/>
          </w:tcPr>
          <w:p>
            <w:r>
              <w:rPr>
                <w:rFonts w:ascii="Arial" w:hAnsi="Arial" w:cs="Arial" w:eastAsia="Arial"/>
                <w:b w:val="0"/>
                <w:bCs w:val="0"/>
                <w:color w:val="000000"/>
                <w:sz w:val="22"/>
                <w:szCs w:val="22"/>
              </w:rPr>
              <w:t>The Mandalorian</w:t>
            </w:r>
          </w:p>
        </w:tc>
        <w:tc>
          <w:tcPr>
            <w:tcW w:w="1000" w:type="pct"/>
          </w:tcPr>
          <w:p>
            <w:r>
              <w:rPr>
                <w:rFonts w:ascii="Arial" w:hAnsi="Arial" w:cs="Arial" w:eastAsia="Arial"/>
                <w:b w:val="0"/>
                <w:bCs w:val="0"/>
                <w:color w:val="000000"/>
                <w:sz w:val="22"/>
                <w:szCs w:val="22"/>
              </w:rPr>
              <w:t>2019</w:t>
            </w:r>
          </w:p>
        </w:tc>
        <w:tc>
          <w:tcPr>
            <w:tcW w:w="1000" w:type="pct"/>
          </w:tcPr>
          <w:p>
            <w:r>
              <w:rPr>
                <w:rFonts w:ascii="Arial" w:hAnsi="Arial" w:cs="Arial" w:eastAsia="Arial"/>
                <w:b w:val="0"/>
                <w:bCs w:val="0"/>
                <w:color w:val="000000"/>
                <w:sz w:val="22"/>
                <w:szCs w:val="22"/>
              </w:rPr>
              <w:t>94</w:t>
            </w:r>
          </w:p>
        </w:tc>
        <w:tc>
          <w:tcPr>
            <w:tcW w:w="1000" w:type="pct"/>
          </w:tcPr>
          <w:p>
            <w:r>
              <w:rPr>
                <w:rFonts w:ascii="Arial" w:hAnsi="Arial" w:cs="Arial" w:eastAsia="Arial"/>
                <w:b w:val="0"/>
                <w:bCs w:val="0"/>
                <w:color w:val="000000"/>
                <w:sz w:val="22"/>
                <w:szCs w:val="22"/>
              </w:rPr>
              <w:t>8.8</w:t>
            </w:r>
          </w:p>
        </w:tc>
      </w:tr>
      <w:tr>
        <w:tc>
          <w:tcPr>
            <w:tcW w:w="1000" w:type="pct"/>
          </w:tcPr>
          <w:p>
            <w:r>
              <w:rPr>
                <w:rFonts w:ascii="Arial" w:hAnsi="Arial" w:cs="Arial" w:eastAsia="Arial"/>
                <w:b w:val="0"/>
                <w:bCs w:val="0"/>
                <w:color w:val="000000"/>
                <w:sz w:val="22"/>
                <w:szCs w:val="22"/>
              </w:rPr>
              <w:t>6</w:t>
            </w:r>
          </w:p>
        </w:tc>
        <w:tc>
          <w:tcPr>
            <w:tcW w:w="1000" w:type="pct"/>
          </w:tcPr>
          <w:p>
            <w:r>
              <w:rPr>
                <w:rFonts w:ascii="Arial" w:hAnsi="Arial" w:cs="Arial" w:eastAsia="Arial"/>
                <w:b w:val="0"/>
                <w:bCs w:val="0"/>
                <w:color w:val="000000"/>
                <w:sz w:val="22"/>
                <w:szCs w:val="22"/>
              </w:rPr>
              <w:t>Better Call Saul</w:t>
            </w:r>
          </w:p>
        </w:tc>
        <w:tc>
          <w:tcPr>
            <w:tcW w:w="1000" w:type="pct"/>
          </w:tcPr>
          <w:p>
            <w:r>
              <w:rPr>
                <w:rFonts w:ascii="Arial" w:hAnsi="Arial" w:cs="Arial" w:eastAsia="Arial"/>
                <w:b w:val="0"/>
                <w:bCs w:val="0"/>
                <w:color w:val="000000"/>
                <w:sz w:val="22"/>
                <w:szCs w:val="22"/>
              </w:rPr>
              <w:t>2015</w:t>
            </w:r>
          </w:p>
        </w:tc>
        <w:tc>
          <w:tcPr>
            <w:tcW w:w="1000" w:type="pct"/>
          </w:tcPr>
          <w:p>
            <w:r>
              <w:rPr>
                <w:rFonts w:ascii="Arial" w:hAnsi="Arial" w:cs="Arial" w:eastAsia="Arial"/>
                <w:b w:val="0"/>
                <w:bCs w:val="0"/>
                <w:color w:val="000000"/>
                <w:sz w:val="22"/>
                <w:szCs w:val="22"/>
              </w:rPr>
              <w:t>94</w:t>
            </w:r>
          </w:p>
        </w:tc>
        <w:tc>
          <w:tcPr>
            <w:tcW w:w="1000" w:type="pct"/>
          </w:tcPr>
          <w:p>
            <w:r>
              <w:rPr>
                <w:rFonts w:ascii="Arial" w:hAnsi="Arial" w:cs="Arial" w:eastAsia="Arial"/>
                <w:b w:val="0"/>
                <w:bCs w:val="0"/>
                <w:color w:val="000000"/>
                <w:sz w:val="22"/>
                <w:szCs w:val="22"/>
              </w:rPr>
              <w:t>8.8</w:t>
            </w:r>
          </w:p>
        </w:tc>
      </w:tr>
      <w:tr>
        <w:tc>
          <w:tcPr>
            <w:tcW w:w="1000" w:type="pct"/>
          </w:tcPr>
          <w:p>
            <w:r>
              <w:rPr>
                <w:rFonts w:ascii="Arial" w:hAnsi="Arial" w:cs="Arial" w:eastAsia="Arial"/>
                <w:b w:val="0"/>
                <w:bCs w:val="0"/>
                <w:color w:val="000000"/>
                <w:sz w:val="22"/>
                <w:szCs w:val="22"/>
              </w:rPr>
              <w:t>8</w:t>
            </w:r>
          </w:p>
        </w:tc>
        <w:tc>
          <w:tcPr>
            <w:tcW w:w="1000" w:type="pct"/>
          </w:tcPr>
          <w:p>
            <w:r>
              <w:rPr>
                <w:rFonts w:ascii="Arial" w:hAnsi="Arial" w:cs="Arial" w:eastAsia="Arial"/>
                <w:b w:val="0"/>
                <w:bCs w:val="0"/>
                <w:color w:val="000000"/>
                <w:sz w:val="22"/>
                <w:szCs w:val="22"/>
              </w:rPr>
              <w:t>Dark</w:t>
            </w:r>
          </w:p>
        </w:tc>
        <w:tc>
          <w:tcPr>
            <w:tcW w:w="1000" w:type="pct"/>
          </w:tcPr>
          <w:p>
            <w:r>
              <w:rPr>
                <w:rFonts w:ascii="Arial" w:hAnsi="Arial" w:cs="Arial" w:eastAsia="Arial"/>
                <w:b w:val="0"/>
                <w:bCs w:val="0"/>
                <w:color w:val="000000"/>
                <w:sz w:val="22"/>
                <w:szCs w:val="22"/>
              </w:rPr>
              <w:t>2017</w:t>
            </w:r>
          </w:p>
        </w:tc>
        <w:tc>
          <w:tcPr>
            <w:tcW w:w="1000" w:type="pct"/>
          </w:tcPr>
          <w:p>
            <w:r>
              <w:rPr>
                <w:rFonts w:ascii="Arial" w:hAnsi="Arial" w:cs="Arial" w:eastAsia="Arial"/>
                <w:b w:val="0"/>
                <w:bCs w:val="0"/>
                <w:color w:val="000000"/>
                <w:sz w:val="22"/>
                <w:szCs w:val="22"/>
              </w:rPr>
              <w:t>93</w:t>
            </w:r>
          </w:p>
        </w:tc>
        <w:tc>
          <w:tcPr>
            <w:tcW w:w="1000" w:type="pct"/>
          </w:tcPr>
          <w:p>
            <w:r>
              <w:rPr>
                <w:rFonts w:ascii="Arial" w:hAnsi="Arial" w:cs="Arial" w:eastAsia="Arial"/>
                <w:b w:val="0"/>
                <w:bCs w:val="0"/>
                <w:color w:val="000000"/>
                <w:sz w:val="22"/>
                <w:szCs w:val="22"/>
              </w:rPr>
              <w:t>8.8</w:t>
            </w:r>
          </w:p>
        </w:tc>
      </w:tr>
      <w:tr>
        <w:tc>
          <w:tcPr>
            <w:tcW w:w="1000" w:type="pct"/>
          </w:tcPr>
          <w:p>
            <w:r>
              <w:rPr>
                <w:rFonts w:ascii="Arial" w:hAnsi="Arial" w:cs="Arial" w:eastAsia="Arial"/>
                <w:b w:val="0"/>
                <w:bCs w:val="0"/>
                <w:color w:val="000000"/>
                <w:sz w:val="22"/>
                <w:szCs w:val="22"/>
              </w:rPr>
              <w:t>8</w:t>
            </w:r>
          </w:p>
        </w:tc>
        <w:tc>
          <w:tcPr>
            <w:tcW w:w="1000" w:type="pct"/>
          </w:tcPr>
          <w:p>
            <w:r>
              <w:rPr>
                <w:rFonts w:ascii="Arial" w:hAnsi="Arial" w:cs="Arial" w:eastAsia="Arial"/>
                <w:b w:val="0"/>
                <w:bCs w:val="0"/>
                <w:color w:val="000000"/>
                <w:sz w:val="22"/>
                <w:szCs w:val="22"/>
              </w:rPr>
              <w:t>Peaky Blinders</w:t>
            </w:r>
          </w:p>
        </w:tc>
        <w:tc>
          <w:tcPr>
            <w:tcW w:w="1000" w:type="pct"/>
          </w:tcPr>
          <w:p>
            <w:r>
              <w:rPr>
                <w:rFonts w:ascii="Arial" w:hAnsi="Arial" w:cs="Arial" w:eastAsia="Arial"/>
                <w:b w:val="0"/>
                <w:bCs w:val="0"/>
                <w:color w:val="000000"/>
                <w:sz w:val="22"/>
                <w:szCs w:val="22"/>
              </w:rPr>
              <w:t>2013</w:t>
            </w:r>
          </w:p>
        </w:tc>
        <w:tc>
          <w:tcPr>
            <w:tcW w:w="1000" w:type="pct"/>
          </w:tcPr>
          <w:p>
            <w:r>
              <w:rPr>
                <w:rFonts w:ascii="Arial" w:hAnsi="Arial" w:cs="Arial" w:eastAsia="Arial"/>
                <w:b w:val="0"/>
                <w:bCs w:val="0"/>
                <w:color w:val="000000"/>
                <w:sz w:val="22"/>
                <w:szCs w:val="22"/>
              </w:rPr>
              <w:t>93</w:t>
            </w:r>
          </w:p>
        </w:tc>
        <w:tc>
          <w:tcPr>
            <w:tcW w:w="1000" w:type="pct"/>
          </w:tcPr>
          <w:p>
            <w:r>
              <w:rPr>
                <w:rFonts w:ascii="Arial" w:hAnsi="Arial" w:cs="Arial" w:eastAsia="Arial"/>
                <w:b w:val="0"/>
                <w:bCs w:val="0"/>
                <w:color w:val="000000"/>
                <w:sz w:val="22"/>
                <w:szCs w:val="22"/>
              </w:rPr>
              <w:t>8.8</w:t>
            </w:r>
          </w:p>
        </w:tc>
      </w:tr>
      <w:tr>
        <w:tc>
          <w:tcPr>
            <w:tcW w:w="1000" w:type="pct"/>
          </w:tcPr>
          <w:p>
            <w:r>
              <w:rPr>
                <w:rFonts w:ascii="Arial" w:hAnsi="Arial" w:cs="Arial" w:eastAsia="Arial"/>
                <w:b w:val="0"/>
                <w:bCs w:val="0"/>
                <w:color w:val="000000"/>
                <w:sz w:val="22"/>
                <w:szCs w:val="22"/>
              </w:rPr>
              <w:t>8</w:t>
            </w:r>
          </w:p>
        </w:tc>
        <w:tc>
          <w:tcPr>
            <w:tcW w:w="1000" w:type="pct"/>
          </w:tcPr>
          <w:p>
            <w:r>
              <w:rPr>
                <w:rFonts w:ascii="Arial" w:hAnsi="Arial" w:cs="Arial" w:eastAsia="Arial"/>
                <w:b w:val="0"/>
                <w:bCs w:val="0"/>
                <w:color w:val="000000"/>
                <w:sz w:val="22"/>
                <w:szCs w:val="22"/>
              </w:rPr>
              <w:t>The Walking Dead</w:t>
            </w:r>
          </w:p>
        </w:tc>
        <w:tc>
          <w:tcPr>
            <w:tcW w:w="1000" w:type="pct"/>
          </w:tcPr>
          <w:p>
            <w:r>
              <w:rPr>
                <w:rFonts w:ascii="Arial" w:hAnsi="Arial" w:cs="Arial" w:eastAsia="Arial"/>
                <w:b w:val="0"/>
                <w:bCs w:val="0"/>
                <w:color w:val="000000"/>
                <w:sz w:val="22"/>
                <w:szCs w:val="22"/>
              </w:rPr>
              <w:t>2010</w:t>
            </w:r>
          </w:p>
        </w:tc>
        <w:tc>
          <w:tcPr>
            <w:tcW w:w="1000" w:type="pct"/>
          </w:tcPr>
          <w:p>
            <w:r>
              <w:rPr>
                <w:rFonts w:ascii="Arial" w:hAnsi="Arial" w:cs="Arial" w:eastAsia="Arial"/>
                <w:b w:val="0"/>
                <w:bCs w:val="0"/>
                <w:color w:val="000000"/>
                <w:sz w:val="22"/>
                <w:szCs w:val="22"/>
              </w:rPr>
              <w:t>93</w:t>
            </w:r>
          </w:p>
        </w:tc>
        <w:tc>
          <w:tcPr>
            <w:tcW w:w="1000" w:type="pct"/>
          </w:tcPr>
          <w:p>
            <w:r>
              <w:rPr>
                <w:rFonts w:ascii="Arial" w:hAnsi="Arial" w:cs="Arial" w:eastAsia="Arial"/>
                <w:b w:val="0"/>
                <w:bCs w:val="0"/>
                <w:color w:val="000000"/>
                <w:sz w:val="22"/>
                <w:szCs w:val="22"/>
              </w:rPr>
              <w:t>8.2</w:t>
            </w:r>
          </w:p>
        </w:tc>
      </w:tr>
    </w:tbl>
    <w:p>
      <w:pPr>
        <w:pStyle w:val="P2"/>
        <w:spacing w:before="300" w:after="150" w:beforeAutospacing="0" w:afterAutospacing="0"/>
        <w:jc w:val="center"/>
        <w:rPr>
          <w:rFonts w:ascii="Arial" w:hAnsi="Arial" w:cs="Arial" w:eastAsia="Arial"/>
          <w:b w:val="1"/>
          <w:bCs w:val="1"/>
          <w:color w:val="000000"/>
          <w:sz w:val="26"/>
          <w:szCs w:val="26"/>
        </w:rPr>
      </w:pPr>
    </w:p>
    <w:p>
      <w:pPr>
        <w:pStyle w:val="P2"/>
        <w:spacing w:before="300" w:after="150" w:beforeAutospacing="0" w:afterAutospacing="0"/>
        <w:jc w:val="center"/>
        <w:rPr>
          <w:rFonts w:ascii="Arial" w:hAnsi="Arial" w:cs="Arial" w:eastAsia="Arial"/>
          <w:b w:val="1"/>
          <w:bCs w:val="1"/>
          <w:color w:val="000000"/>
          <w:sz w:val="26"/>
          <w:szCs w:val="26"/>
          <w:rtl w:val="0"/>
          <w:lang w:val="pt-BR" w:bidi="pt-BR" w:eastAsia="pt-BR"/>
        </w:rPr>
      </w:pPr>
      <w:r>
        <w:rPr>
          <w:rFonts w:ascii="Arial" w:hAnsi="Arial" w:cs="Arial" w:eastAsia="Arial"/>
          <w:b w:val="1"/>
          <w:bCs w:val="1"/>
          <w:color w:val="000000"/>
          <w:sz w:val="26"/>
          <w:szCs w:val="26"/>
          <w:rtl w:val="0"/>
          <w:lang w:val="pt-BR" w:bidi="pt-BR" w:eastAsia="pt-BR"/>
        </w:rPr>
        <w:br w:type="page"/>
      </w:r>
    </w:p>
    <w:p>
      <w:pPr>
        <w:pStyle w:val="P2"/>
        <w:spacing w:before="300" w:after="150" w:beforeAutospacing="0" w:afterAutospacing="0"/>
        <w:jc w:val="center"/>
        <w:rPr>
          <w:rFonts w:ascii="Arial" w:hAnsi="Arial" w:cs="Arial" w:eastAsia="Arial"/>
          <w:b w:val="1"/>
          <w:bCs w:val="1"/>
          <w:color w:val="000000"/>
          <w:sz w:val="26"/>
          <w:szCs w:val="26"/>
        </w:rPr>
      </w:pPr>
      <w:r>
        <w:rPr>
          <w:rFonts w:ascii="Arial" w:hAnsi="Arial" w:cs="Arial" w:eastAsia="Arial"/>
          <w:b w:val="1"/>
          <w:bCs w:val="1"/>
          <w:color w:val="000000"/>
          <w:sz w:val="26"/>
          <w:szCs w:val="26"/>
        </w:rPr>
        <w:t>8. Conclusão</w:t>
      </w:r>
    </w:p>
    <w:p>
      <w:pPr>
        <w:pStyle w:val="P2"/>
        <w:spacing w:before="300" w:after="150" w:beforeAutospacing="0" w:afterAutospacing="0"/>
        <w:jc w:val="center"/>
      </w:pPr>
    </w:p>
    <w:p>
      <w:pPr>
        <w:spacing w:after="120" w:beforeAutospacing="0" w:afterAutospacing="0"/>
      </w:pPr>
      <w:r>
        <w:rPr>
          <w:rFonts w:ascii="Arial" w:hAnsi="Arial" w:cs="Arial" w:eastAsia="Arial"/>
          <w:color w:val="000000"/>
          <w:sz w:val="22"/>
          <w:szCs w:val="22"/>
        </w:rPr>
        <w:t>O processo de higienização revelou que uma parcela significativa do dataset (cerca de 40%) apresentava dados incompletos nas colunas Age e/ou IMDb, o que exigiu a remoção dessas linhas para garantir a confiabilidade da análise. Após a padronização dos tipos de dados (conversão de texto para número) e da classificação indicativa (do padrão americano para o brasileiro), foi possível ordenar e visualizar os programas por avaliação crítica (Rotten Tomatoes).</w:t>
      </w:r>
    </w:p>
    <w:p>
      <w:pPr>
        <w:spacing w:after="120" w:beforeAutospacing="0" w:afterAutospacing="0"/>
      </w:pPr>
      <w:r>
        <w:rPr>
          <w:rFonts w:ascii="Arial" w:hAnsi="Arial" w:cs="Arial" w:eastAsia="Arial"/>
          <w:color w:val="000000"/>
          <w:sz w:val="22"/>
          <w:szCs w:val="22"/>
        </w:rPr>
        <w:t>A análise mostra que os programas mais bem avaliados, como Breaking Bad e Rick and Morty, ambos com nota máxima de 100, concentram-se majoritariamente em uma única plataforma, com leve tendência de os títulos mais bem avaliados estarem presentes em mais de uma plataforma quando se observa uma amostra maior (Top 100). Isso indica que a qualidade percebida pela crítica não está diretamente relacionada à quantidade de plataformas de distribuição do título.</w:t>
      </w:r>
    </w:p>
    <w:p>
      <w:pPr>
        <w:spacing w:after="120" w:beforeAutospacing="0" w:afterAutospacing="0"/>
        <w:rPr>
          <w:rFonts w:ascii="Arial" w:hAnsi="Arial" w:cs="Arial" w:eastAsia="Arial"/>
          <w:color w:val="000000"/>
          <w:sz w:val="22"/>
          <w:szCs w:val="22"/>
        </w:rPr>
      </w:pPr>
      <w:r>
        <w:rPr>
          <w:rFonts w:ascii="Arial" w:hAnsi="Arial" w:cs="Arial" w:eastAsia="Arial"/>
          <w:color w:val="000000"/>
          <w:sz w:val="22"/>
          <w:szCs w:val="22"/>
        </w:rPr>
        <w:t>Esse exercício demonstra, na prática, a importância da etapa de higienização e padronização de dados em projetos de ciência de dados: sem ela, análises e visualizações posteriores estariam sujeitas a erros de tipo, comparações inválidas e conclusões distorcidas pela ausência ou inconsistência dos dados.</w:t>
      </w:r>
    </w:p>
    <w:p>
      <w:pPr>
        <w:spacing w:after="120" w:beforeAutospacing="0" w:afterAutospacing="0"/>
      </w:pPr>
    </w:p>
    <w:p>
      <w:pPr>
        <w:pStyle w:val="P2"/>
        <w:spacing w:before="300" w:after="150" w:beforeAutospacing="0" w:afterAutospacing="0"/>
        <w:jc w:val="center"/>
      </w:pPr>
      <w:r>
        <w:rPr>
          <w:rFonts w:ascii="Arial" w:hAnsi="Arial" w:cs="Arial" w:eastAsia="Arial"/>
          <w:b w:val="1"/>
          <w:bCs w:val="1"/>
          <w:color w:val="000000"/>
          <w:sz w:val="26"/>
          <w:szCs w:val="26"/>
        </w:rPr>
        <w:t>Referências</w:t>
      </w:r>
    </w:p>
    <w:p>
      <w:pPr>
        <w:spacing w:after="120" w:beforeAutospacing="0" w:afterAutospacing="0"/>
      </w:pPr>
      <w:r>
        <w:rPr>
          <w:rFonts w:ascii="Arial" w:hAnsi="Arial" w:cs="Arial" w:eastAsia="Arial"/>
          <w:color w:val="000000"/>
          <w:sz w:val="22"/>
          <w:szCs w:val="22"/>
        </w:rPr>
        <w:t>PANDAS DEVELOPMENT TEAM. pandas documentation. Disponível em: https://pandas.pydata.org/docs/. Acesso em: 20 set. 2026.</w:t>
      </w:r>
    </w:p>
    <w:p>
      <w:pPr>
        <w:spacing w:after="120" w:beforeAutospacing="0" w:afterAutospacing="0"/>
      </w:pPr>
      <w:r>
        <w:rPr>
          <w:rFonts w:ascii="Arial" w:hAnsi="Arial" w:cs="Arial" w:eastAsia="Arial"/>
          <w:color w:val="000000"/>
          <w:sz w:val="22"/>
          <w:szCs w:val="22"/>
        </w:rPr>
        <w:t>MINISTÉRIO DA JUSTIÇA E SEGURANÇA PÚBLICA. Classificação indicativa. Disponível em: https://www.gov.br/mj/pt-br/assuntos/seus-direitos/classificacao. Acesso em: 20 set. 2026.</w:t>
      </w:r>
    </w:p>
    <w:sectPr>
      <w:type w:val="nextPage"/>
      <w:pgMar w:left="1440" w:right="1440" w:top="1440" w:bottom="1440" w:header="708" w:footer="708" w:gutter="0"/>
      <w:pgNumType w:chapSep="period"/>
    </w:sectPr>
  </w:body>
</w:document>
</file>

<file path=word/numbering.xml><?xml version="1.0" encoding="utf-8"?>
<w:numbering xmlns:w="http://schemas.openxmlformats.org/wordprocessingml/2006/main">
  <w:abstractNum w:abstractNumId="0">
    <w:nsid w:val="72E4592F"/>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num w:numId="1">
    <w:abstractNumId w:val="0"/>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color w:val="000000"/>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2026-09-20T12:40:53Z</dcterms:created>
  <cp:lastModifiedBy>larissa cavalcante</cp:lastModifiedBy>
  <dcterms:modified xsi:type="dcterms:W3CDTF">2026-09-20T12:51:22Z</dcterms:modified>
  <cp:revision>2</cp:revision>
</cp:coreProperties>
</file>