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F750C" w14:textId="49254D9D" w:rsidR="00AD11E5" w:rsidRPr="00AD11E5" w:rsidRDefault="00AD11E5" w:rsidP="00AD11E5">
      <w:pPr>
        <w:jc w:val="both"/>
        <w:rPr>
          <w:sz w:val="22"/>
          <w:szCs w:val="22"/>
        </w:rPr>
      </w:pPr>
      <w:r w:rsidRPr="00AD11E5">
        <w:rPr>
          <w:b/>
          <w:bCs/>
          <w:sz w:val="22"/>
          <w:szCs w:val="22"/>
        </w:rPr>
        <w:t>Título:</w:t>
      </w:r>
      <w:r w:rsidRPr="00AD11E5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Cálculo numérico de propiedades ópticas de </w:t>
      </w:r>
      <w:r w:rsidR="009C2E38">
        <w:rPr>
          <w:sz w:val="22"/>
          <w:szCs w:val="22"/>
        </w:rPr>
        <w:t>eritrocitos</w:t>
      </w:r>
    </w:p>
    <w:p w14:paraId="6B3CBF94" w14:textId="77777777" w:rsidR="00AD11E5" w:rsidRPr="00AD11E5" w:rsidRDefault="00AD11E5" w:rsidP="00AD11E5">
      <w:pPr>
        <w:jc w:val="both"/>
        <w:rPr>
          <w:sz w:val="22"/>
          <w:szCs w:val="22"/>
        </w:rPr>
      </w:pPr>
      <w:r w:rsidRPr="00AD11E5">
        <w:rPr>
          <w:b/>
          <w:bCs/>
          <w:sz w:val="22"/>
          <w:szCs w:val="22"/>
        </w:rPr>
        <w:t>Autores:</w:t>
      </w:r>
      <w:r w:rsidRPr="00AD11E5">
        <w:rPr>
          <w:sz w:val="22"/>
          <w:szCs w:val="22"/>
        </w:rPr>
        <w:t xml:space="preserve"> Dana Larissa Luna González</w:t>
      </w:r>
      <w:r w:rsidRPr="00AD11E5">
        <w:rPr>
          <w:sz w:val="22"/>
          <w:szCs w:val="22"/>
          <w:vertAlign w:val="superscript"/>
        </w:rPr>
        <w:t>1</w:t>
      </w:r>
      <w:r w:rsidRPr="00AD11E5">
        <w:rPr>
          <w:sz w:val="22"/>
          <w:szCs w:val="22"/>
        </w:rPr>
        <w:t>, Jonathan Alexis Urrutia Anguiano</w:t>
      </w:r>
      <w:r w:rsidRPr="00AD11E5">
        <w:rPr>
          <w:sz w:val="22"/>
          <w:szCs w:val="22"/>
          <w:vertAlign w:val="superscript"/>
        </w:rPr>
        <w:t>1</w:t>
      </w:r>
      <w:r w:rsidRPr="00AD11E5">
        <w:rPr>
          <w:sz w:val="22"/>
          <w:szCs w:val="22"/>
        </w:rPr>
        <w:t>, Alejandro Reyes Coronado</w:t>
      </w:r>
      <w:r w:rsidRPr="00AD11E5">
        <w:rPr>
          <w:sz w:val="22"/>
          <w:szCs w:val="22"/>
          <w:vertAlign w:val="superscript"/>
        </w:rPr>
        <w:t>1</w:t>
      </w:r>
      <w:r w:rsidRPr="00AD11E5">
        <w:rPr>
          <w:sz w:val="22"/>
          <w:szCs w:val="22"/>
        </w:rPr>
        <w:t xml:space="preserve"> </w:t>
      </w:r>
    </w:p>
    <w:p w14:paraId="357ED8B1" w14:textId="5CB6C8A8" w:rsidR="00AD11E5" w:rsidRPr="00AD11E5" w:rsidRDefault="00AD11E5" w:rsidP="00AD11E5">
      <w:pPr>
        <w:jc w:val="both"/>
        <w:rPr>
          <w:sz w:val="22"/>
          <w:szCs w:val="22"/>
        </w:rPr>
      </w:pPr>
      <w:r w:rsidRPr="00AD11E5">
        <w:rPr>
          <w:sz w:val="22"/>
          <w:szCs w:val="22"/>
          <w:vertAlign w:val="superscript"/>
        </w:rPr>
        <w:t>1</w:t>
      </w:r>
      <w:r w:rsidRPr="00AD11E5">
        <w:rPr>
          <w:sz w:val="22"/>
          <w:szCs w:val="22"/>
        </w:rPr>
        <w:t xml:space="preserve">Departamento de Física, Facultad de Ciencias, Universidad Nacional Autónoma de México </w:t>
      </w:r>
    </w:p>
    <w:p w14:paraId="7444BB4D" w14:textId="641764B8" w:rsidR="00AD11E5" w:rsidRDefault="00AD11E5" w:rsidP="00AD11E5">
      <w:pPr>
        <w:jc w:val="both"/>
        <w:rPr>
          <w:sz w:val="22"/>
          <w:szCs w:val="22"/>
        </w:rPr>
      </w:pPr>
      <w:r w:rsidRPr="00AD11E5">
        <w:rPr>
          <w:sz w:val="22"/>
          <w:szCs w:val="22"/>
        </w:rPr>
        <w:t xml:space="preserve">Resumen (caracteres de 2000): </w:t>
      </w:r>
    </w:p>
    <w:p w14:paraId="6A13F71C" w14:textId="6BD07C2D" w:rsidR="000D3686" w:rsidRPr="000D3686" w:rsidRDefault="000D3686" w:rsidP="000D3686">
      <w:pPr>
        <w:jc w:val="both"/>
        <w:rPr>
          <w:sz w:val="22"/>
          <w:szCs w:val="22"/>
        </w:rPr>
      </w:pPr>
      <w:r w:rsidRPr="000D3686">
        <w:rPr>
          <w:sz w:val="22"/>
          <w:szCs w:val="22"/>
        </w:rPr>
        <w:t xml:space="preserve">Diversas enfermedades hematológicas, como distintos tipos de anemia, están estrechamente relacionadas con alteraciones en los eritrocitos (glóbulos rojos). </w:t>
      </w:r>
      <w:r w:rsidR="001B6BAE" w:rsidRPr="001B6BAE">
        <w:rPr>
          <w:sz w:val="22"/>
          <w:szCs w:val="22"/>
        </w:rPr>
        <w:t>La geometría, el tamaño y la composición interna de los eritrocitos</w:t>
      </w:r>
      <w:r w:rsidR="001B6BAE">
        <w:rPr>
          <w:sz w:val="22"/>
          <w:szCs w:val="22"/>
        </w:rPr>
        <w:t xml:space="preserve">, </w:t>
      </w:r>
      <w:r w:rsidR="001B6BAE" w:rsidRPr="001B6BAE">
        <w:rPr>
          <w:sz w:val="22"/>
          <w:szCs w:val="22"/>
        </w:rPr>
        <w:t>particularmente la concentración de hemoglobina corpuscular media (CHCM</w:t>
      </w:r>
      <w:r w:rsidR="001B6BAE" w:rsidRPr="001B6BAE">
        <w:rPr>
          <w:sz w:val="22"/>
          <w:szCs w:val="22"/>
        </w:rPr>
        <w:t>)</w:t>
      </w:r>
      <w:r w:rsidR="001B6BAE">
        <w:rPr>
          <w:sz w:val="22"/>
          <w:szCs w:val="22"/>
        </w:rPr>
        <w:t xml:space="preserve">, </w:t>
      </w:r>
      <w:r w:rsidR="001B6BAE" w:rsidRPr="001B6BAE">
        <w:rPr>
          <w:sz w:val="22"/>
          <w:szCs w:val="22"/>
        </w:rPr>
        <w:t>pueden</w:t>
      </w:r>
      <w:r w:rsidR="001B6BAE" w:rsidRPr="001B6BAE">
        <w:rPr>
          <w:sz w:val="22"/>
          <w:szCs w:val="22"/>
        </w:rPr>
        <w:t xml:space="preserve"> variar de manera clínicamente significativa, modificando su índice de refracción y, en consecuencia, afectando tanto su funcionalidad fisiológica como sus propiedades de </w:t>
      </w:r>
      <w:r w:rsidR="001B6BAE">
        <w:rPr>
          <w:sz w:val="22"/>
          <w:szCs w:val="22"/>
        </w:rPr>
        <w:t>esparcimiento</w:t>
      </w:r>
      <w:r w:rsidR="001B6BAE" w:rsidRPr="001B6BAE">
        <w:rPr>
          <w:sz w:val="22"/>
          <w:szCs w:val="22"/>
        </w:rPr>
        <w:t xml:space="preserve"> óptic</w:t>
      </w:r>
      <w:r w:rsidR="001B6BAE">
        <w:rPr>
          <w:sz w:val="22"/>
          <w:szCs w:val="22"/>
        </w:rPr>
        <w:t>o</w:t>
      </w:r>
      <w:r w:rsidRPr="000D3686">
        <w:rPr>
          <w:sz w:val="22"/>
          <w:szCs w:val="22"/>
        </w:rPr>
        <w:t>.</w:t>
      </w:r>
      <w:r>
        <w:rPr>
          <w:sz w:val="22"/>
          <w:szCs w:val="22"/>
        </w:rPr>
        <w:t xml:space="preserve"> </w:t>
      </w:r>
      <w:r w:rsidRPr="000D3686">
        <w:rPr>
          <w:sz w:val="22"/>
          <w:szCs w:val="22"/>
        </w:rPr>
        <w:t xml:space="preserve">En este trabajo se estudia numéricamente la respuesta óptica de un eritrocito sano mediante el método </w:t>
      </w:r>
      <w:r w:rsidRPr="000D3686">
        <w:rPr>
          <w:i/>
          <w:iCs/>
          <w:sz w:val="22"/>
          <w:szCs w:val="22"/>
        </w:rPr>
        <w:t xml:space="preserve">Finite </w:t>
      </w:r>
      <w:proofErr w:type="spellStart"/>
      <w:r w:rsidRPr="000D3686">
        <w:rPr>
          <w:i/>
          <w:iCs/>
          <w:sz w:val="22"/>
          <w:szCs w:val="22"/>
        </w:rPr>
        <w:t>Integration</w:t>
      </w:r>
      <w:proofErr w:type="spellEnd"/>
      <w:r w:rsidRPr="000D3686">
        <w:rPr>
          <w:i/>
          <w:iCs/>
          <w:sz w:val="22"/>
          <w:szCs w:val="22"/>
        </w:rPr>
        <w:t xml:space="preserve"> </w:t>
      </w:r>
      <w:proofErr w:type="spellStart"/>
      <w:r w:rsidRPr="000D3686">
        <w:rPr>
          <w:i/>
          <w:iCs/>
          <w:sz w:val="22"/>
          <w:szCs w:val="22"/>
        </w:rPr>
        <w:t>Technique</w:t>
      </w:r>
      <w:proofErr w:type="spellEnd"/>
      <w:r w:rsidRPr="000D3686">
        <w:rPr>
          <w:sz w:val="22"/>
          <w:szCs w:val="22"/>
        </w:rPr>
        <w:t xml:space="preserve"> (FIT), implementado en el software CST Studio. La geometría del eritrocito se modela mediante óvalos de Cassini, mientras que la función dieléctrica se construye a partir de un ajuste analítico a datos experimentales reportados en la literatura, al cual se le aplican las relaciones</w:t>
      </w:r>
      <w:r>
        <w:rPr>
          <w:sz w:val="22"/>
          <w:szCs w:val="22"/>
        </w:rPr>
        <w:t xml:space="preserve"> sustractivas </w:t>
      </w:r>
      <w:r w:rsidRPr="000D3686">
        <w:rPr>
          <w:sz w:val="22"/>
          <w:szCs w:val="22"/>
        </w:rPr>
        <w:t xml:space="preserve">de </w:t>
      </w:r>
      <w:proofErr w:type="spellStart"/>
      <w:r w:rsidRPr="000D3686">
        <w:rPr>
          <w:sz w:val="22"/>
          <w:szCs w:val="22"/>
        </w:rPr>
        <w:t>Kramers</w:t>
      </w:r>
      <w:proofErr w:type="spellEnd"/>
      <w:r w:rsidRPr="000D3686">
        <w:rPr>
          <w:sz w:val="22"/>
          <w:szCs w:val="22"/>
        </w:rPr>
        <w:t>–</w:t>
      </w:r>
      <w:proofErr w:type="spellStart"/>
      <w:r w:rsidRPr="000D3686">
        <w:rPr>
          <w:sz w:val="22"/>
          <w:szCs w:val="22"/>
        </w:rPr>
        <w:t>Kronig</w:t>
      </w:r>
      <w:proofErr w:type="spellEnd"/>
      <w:r w:rsidRPr="000D3686">
        <w:rPr>
          <w:sz w:val="22"/>
          <w:szCs w:val="22"/>
        </w:rPr>
        <w:t xml:space="preserve"> para garantizar </w:t>
      </w:r>
      <w:r w:rsidR="001B6BAE">
        <w:rPr>
          <w:sz w:val="22"/>
          <w:szCs w:val="22"/>
        </w:rPr>
        <w:t>causalidad</w:t>
      </w:r>
      <w:r w:rsidRPr="000D3686">
        <w:rPr>
          <w:sz w:val="22"/>
          <w:szCs w:val="22"/>
        </w:rPr>
        <w:t>.</w:t>
      </w:r>
      <w:r>
        <w:rPr>
          <w:sz w:val="22"/>
          <w:szCs w:val="22"/>
        </w:rPr>
        <w:t xml:space="preserve"> A partir de un análisis de convergencia en CST</w:t>
      </w:r>
      <w:r w:rsidR="001B6BAE">
        <w:rPr>
          <w:sz w:val="22"/>
          <w:szCs w:val="22"/>
        </w:rPr>
        <w:t>,</w:t>
      </w:r>
      <w:r>
        <w:rPr>
          <w:sz w:val="22"/>
          <w:szCs w:val="22"/>
        </w:rPr>
        <w:t xml:space="preserve"> se obtiene</w:t>
      </w:r>
      <w:r w:rsidRPr="000D3686">
        <w:rPr>
          <w:sz w:val="22"/>
          <w:szCs w:val="22"/>
        </w:rPr>
        <w:t xml:space="preserve"> </w:t>
      </w:r>
      <w:r w:rsidRPr="000D3686">
        <w:rPr>
          <w:sz w:val="22"/>
          <w:szCs w:val="22"/>
        </w:rPr>
        <w:t>la</w:t>
      </w:r>
      <w:r>
        <w:rPr>
          <w:sz w:val="22"/>
          <w:szCs w:val="22"/>
        </w:rPr>
        <w:t xml:space="preserve"> sección transversal</w:t>
      </w:r>
      <w:r w:rsidRPr="000D3686">
        <w:rPr>
          <w:sz w:val="22"/>
          <w:szCs w:val="22"/>
        </w:rPr>
        <w:t xml:space="preserve"> de extinción</w:t>
      </w:r>
      <w:r>
        <w:rPr>
          <w:sz w:val="22"/>
          <w:szCs w:val="22"/>
        </w:rPr>
        <w:t xml:space="preserve"> y</w:t>
      </w:r>
      <w:r w:rsidRPr="000D3686">
        <w:rPr>
          <w:sz w:val="22"/>
          <w:szCs w:val="22"/>
        </w:rPr>
        <w:t xml:space="preserve"> la distribución angular del campo </w:t>
      </w:r>
      <w:r>
        <w:rPr>
          <w:sz w:val="22"/>
          <w:szCs w:val="22"/>
        </w:rPr>
        <w:t>esparcido</w:t>
      </w:r>
      <w:r w:rsidRPr="000D3686">
        <w:rPr>
          <w:sz w:val="22"/>
          <w:szCs w:val="22"/>
        </w:rPr>
        <w:t xml:space="preserve">. Estos resultados permiten caracterizar </w:t>
      </w:r>
      <w:r>
        <w:rPr>
          <w:sz w:val="22"/>
          <w:szCs w:val="22"/>
        </w:rPr>
        <w:t>cantidades macroscópicas medibles de un eritrocito sano</w:t>
      </w:r>
      <w:r w:rsidRPr="000D3686">
        <w:rPr>
          <w:sz w:val="22"/>
          <w:szCs w:val="22"/>
        </w:rPr>
        <w:t>, proporcionando una base para estudios comparativos con eritrocitos patológicos.</w:t>
      </w:r>
    </w:p>
    <w:p w14:paraId="04084507" w14:textId="5A384BF1" w:rsidR="00DC0A45" w:rsidRPr="00AD11E5" w:rsidRDefault="00DC0A45" w:rsidP="000D3686">
      <w:pPr>
        <w:jc w:val="both"/>
        <w:rPr>
          <w:sz w:val="22"/>
          <w:szCs w:val="22"/>
        </w:rPr>
      </w:pPr>
    </w:p>
    <w:sectPr w:rsidR="00DC0A45" w:rsidRPr="00AD11E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1E5"/>
    <w:rsid w:val="000D3686"/>
    <w:rsid w:val="00125989"/>
    <w:rsid w:val="001B6BAE"/>
    <w:rsid w:val="004A65C3"/>
    <w:rsid w:val="009C2E38"/>
    <w:rsid w:val="00A04F79"/>
    <w:rsid w:val="00AD11E5"/>
    <w:rsid w:val="00DC0A45"/>
    <w:rsid w:val="00E72B66"/>
    <w:rsid w:val="00E8444A"/>
    <w:rsid w:val="00FF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5D859"/>
  <w15:chartTrackingRefBased/>
  <w15:docId w15:val="{F08D94E6-E7E0-4EBF-94F8-BCBFBEA5A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D11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11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11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11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11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11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11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11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11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11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11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11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11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11E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11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11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11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11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11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11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11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11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11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11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11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11E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11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11E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11E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D368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241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LARISSA LUNA GONZALEZ</dc:creator>
  <cp:keywords/>
  <dc:description/>
  <cp:lastModifiedBy>DANA LARISSA LUNA GONZALEZ</cp:lastModifiedBy>
  <cp:revision>1</cp:revision>
  <dcterms:created xsi:type="dcterms:W3CDTF">2026-05-06T15:51:00Z</dcterms:created>
  <dcterms:modified xsi:type="dcterms:W3CDTF">2026-05-06T19:57:00Z</dcterms:modified>
</cp:coreProperties>
</file>