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Aptos Display" w:hAnsi="Aptos Display"/>
          <w:b/>
          <w:color w:val="173E48"/>
          <w:sz w:val="88"/>
        </w:rPr>
        <w:t>VEYVIO</w:t>
      </w:r>
    </w:p>
    <w:p>
      <w:pPr>
        <w:jc w:val="center"/>
      </w:pPr>
      <w:r>
        <w:rPr>
          <w:color w:val="4A8FA3"/>
          <w:sz w:val="26"/>
        </w:rPr>
        <w:t>Vehicle Ecosystem, Yard Visibility and Intelligent Operations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4A8FA3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2"/>
              </w:rPr>
              <w:t>COMBINED PRODUCT, PLATFORM &amp; DELIVERY BLUEPRINT</w:t>
            </w:r>
          </w:p>
        </w:tc>
      </w:tr>
    </w:tbl>
    <w:p/>
    <w:p>
      <w:pPr>
        <w:jc w:val="center"/>
      </w:pPr>
      <w:r>
        <w:rPr>
          <w:b/>
          <w:color w:val="173E48"/>
          <w:sz w:val="36"/>
        </w:rPr>
        <w:t>Version 2.0</w:t>
      </w:r>
    </w:p>
    <w:p>
      <w:pPr>
        <w:jc w:val="center"/>
      </w:pPr>
      <w:r>
        <w:rPr>
          <w:color w:val="667085"/>
          <w:sz w:val="22"/>
        </w:rPr>
        <w:t>Updated master authority incorporating 35 non-negotiable Hard Rules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432"/>
      </w:tblGrid>
      <w:tr>
        <w:tc>
          <w:tcPr>
            <w:tcW w:type="dxa" w:w="5040"/>
            <w:shd w:fill="7AB82E"/>
          </w:tcPr>
          <w:p/>
        </w:tc>
        <w:tc>
          <w:tcPr>
            <w:tcW w:type="dxa" w:w="5040"/>
            <w:shd w:fill="EEF6F7"/>
          </w:tcPr>
          <w:p>
            <w:r/>
            <w:r>
              <w:rPr>
                <w:b/>
                <w:color w:val="173E48"/>
                <w:sz w:val="20"/>
              </w:rPr>
              <w:t>Blueprint decision</w:t>
            </w:r>
          </w:p>
          <w:p>
            <w:pPr>
              <w:spacing w:after="20"/>
            </w:pPr>
            <w:r>
              <w:rPr>
                <w:sz w:val="18"/>
              </w:rPr>
              <w:t>Do not rebuild Veyvio from zero. Preserve validated user journeys and useful interfaces, remove mock and insecure behaviour, and progressively move every capability onto one shared, production-grade, multi-tenant platform.</w:t>
            </w:r>
          </w:p>
        </w:tc>
      </w:tr>
    </w:tbl>
    <w:p/>
    <w:p>
      <w:pPr>
        <w:spacing w:before="1100"/>
        <w:jc w:val="center"/>
      </w:pPr>
      <w:r>
        <w:rPr>
          <w:b/>
          <w:i/>
          <w:color w:val="7AB82E"/>
          <w:sz w:val="30"/>
        </w:rPr>
        <w:t>Move smarter. Operate safer.</w:t>
      </w:r>
    </w:p>
    <w:p>
      <w:pPr>
        <w:jc w:val="center"/>
      </w:pPr>
      <w:r>
        <w:rPr>
          <w:color w:val="667085"/>
          <w:sz w:val="18"/>
        </w:rPr>
        <w:t>Confidential • Living document • 25 July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20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Document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Veyvio Combined Product, Platform &amp; Delivery Blueprint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Version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2.0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Date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25 July 2026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Status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Active master authority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Classification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Confidential product and technical planning document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Primary authority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Product target state, shared architecture, workflows, release rules and definitions of done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Implementation tracker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Veyvio Blueprint Alignment Plan and production-gates documents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Change rule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Material changes require a version update, named owner and decision record</w:t>
            </w:r>
          </w:p>
        </w:tc>
      </w:tr>
    </w:tbl>
    <w:p/>
    <w:p>
      <w:pPr>
        <w:pStyle w:val="Heading2"/>
      </w:pPr>
      <w:r>
        <w:t>How this blueprint is used</w:t>
      </w:r>
    </w:p>
    <w:p>
      <w:pPr>
        <w:pStyle w:val="ListBullet"/>
        <w:spacing w:after="40"/>
        <w:ind w:left="288"/>
      </w:pPr>
      <w:r>
        <w:t>Product and design teams use it to define terminology, user journeys, pages, states and acceptance criteria.</w:t>
      </w:r>
    </w:p>
    <w:p>
      <w:pPr>
        <w:pStyle w:val="ListBullet"/>
        <w:spacing w:after="40"/>
        <w:ind w:left="288"/>
      </w:pPr>
      <w:r>
        <w:t>Engineering teams use it to define domains, APIs, data ownership, application boundaries, tenancy and release controls.</w:t>
      </w:r>
    </w:p>
    <w:p>
      <w:pPr>
        <w:pStyle w:val="ListBullet"/>
        <w:spacing w:after="40"/>
        <w:ind w:left="288"/>
      </w:pPr>
      <w:r>
        <w:t>Operational specialists use it to confirm workflows reflect real transport, yard, maintenance, compliance and safeguarding practice.</w:t>
      </w:r>
    </w:p>
    <w:p>
      <w:pPr>
        <w:pStyle w:val="ListBullet"/>
        <w:spacing w:after="40"/>
        <w:ind w:left="288"/>
      </w:pPr>
      <w:r>
        <w:t>Leadership uses it to control scope, prioritise delivery and determine whether a release is suitable for pilot, store, tenant onboarding or commercial SaaS operation.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432"/>
      </w:tblGrid>
      <w:tr>
        <w:tc>
          <w:tcPr>
            <w:tcW w:type="dxa" w:w="5040"/>
            <w:shd w:fill="4A8FA3"/>
          </w:tcPr>
          <w:p/>
        </w:tc>
        <w:tc>
          <w:tcPr>
            <w:tcW w:type="dxa" w:w="5040"/>
            <w:shd w:fill="F6F8FA"/>
          </w:tcPr>
          <w:p>
            <w:r/>
            <w:r>
              <w:rPr>
                <w:b/>
                <w:color w:val="173E48"/>
                <w:sz w:val="20"/>
              </w:rPr>
              <w:t>Authority rule</w:t>
            </w:r>
          </w:p>
          <w:p>
            <w:pPr>
              <w:spacing w:after="20"/>
            </w:pPr>
            <w:r>
              <w:rPr>
                <w:sz w:val="18"/>
              </w:rPr>
              <w:t>The blueprint defines the target state. The alignment plan records current gaps. Production gates decide whether a release may proceed. A feature is not complete merely because code exists.</w:t>
            </w:r>
          </w:p>
        </w:tc>
      </w:tr>
    </w:tbl>
    <w:p/>
    <w:p>
      <w:pPr>
        <w:pStyle w:val="Heading1"/>
      </w:pPr>
      <w:r>
        <w:t>Contents</w:t>
      </w:r>
    </w:p>
    <w:p>
      <w:pPr>
        <w:spacing w:after="20"/>
      </w:pPr>
      <w:r>
        <w:rPr>
          <w:sz w:val="18"/>
        </w:rPr>
        <w:t>1. Executive Blueprint</w:t>
      </w:r>
    </w:p>
    <w:p>
      <w:pPr>
        <w:spacing w:after="20"/>
      </w:pPr>
      <w:r>
        <w:rPr>
          <w:sz w:val="18"/>
        </w:rPr>
        <w:t>2. Product Vision and Platform Principles</w:t>
      </w:r>
    </w:p>
    <w:p>
      <w:pPr>
        <w:spacing w:after="20"/>
      </w:pPr>
      <w:r>
        <w:rPr>
          <w:sz w:val="18"/>
        </w:rPr>
        <w:t>3. Operating Model and Tenancy</w:t>
      </w:r>
    </w:p>
    <w:p>
      <w:pPr>
        <w:spacing w:after="20"/>
      </w:pPr>
      <w:r>
        <w:rPr>
          <w:sz w:val="18"/>
        </w:rPr>
        <w:t>4. Application Portfolio</w:t>
      </w:r>
    </w:p>
    <w:p>
      <w:pPr>
        <w:spacing w:after="20"/>
      </w:pPr>
      <w:r>
        <w:rPr>
          <w:sz w:val="18"/>
        </w:rPr>
        <w:t>5. Roles, Scopes and Permissions</w:t>
      </w:r>
    </w:p>
    <w:p>
      <w:pPr>
        <w:spacing w:after="20"/>
      </w:pPr>
      <w:r>
        <w:rPr>
          <w:sz w:val="18"/>
        </w:rPr>
        <w:t>6. Information Architecture</w:t>
      </w:r>
    </w:p>
    <w:p>
      <w:pPr>
        <w:spacing w:after="20"/>
      </w:pPr>
      <w:r>
        <w:rPr>
          <w:sz w:val="18"/>
        </w:rPr>
        <w:t>7. Core End-to-End Workflows</w:t>
      </w:r>
    </w:p>
    <w:p>
      <w:pPr>
        <w:spacing w:after="20"/>
      </w:pPr>
      <w:r>
        <w:rPr>
          <w:sz w:val="18"/>
        </w:rPr>
        <w:t>8. Domain and Application Specifications</w:t>
      </w:r>
    </w:p>
    <w:p>
      <w:pPr>
        <w:spacing w:after="20"/>
      </w:pPr>
      <w:r>
        <w:rPr>
          <w:sz w:val="18"/>
        </w:rPr>
        <w:t>9. Shared Data Model</w:t>
      </w:r>
    </w:p>
    <w:p>
      <w:pPr>
        <w:spacing w:after="20"/>
      </w:pPr>
      <w:r>
        <w:rPr>
          <w:sz w:val="18"/>
        </w:rPr>
        <w:t>10. Technical Architecture</w:t>
      </w:r>
    </w:p>
    <w:p>
      <w:pPr>
        <w:spacing w:after="20"/>
      </w:pPr>
      <w:r>
        <w:rPr>
          <w:sz w:val="18"/>
        </w:rPr>
        <w:t>11. Security, Privacy and Isolation</w:t>
      </w:r>
    </w:p>
    <w:p>
      <w:pPr>
        <w:spacing w:after="20"/>
      </w:pPr>
      <w:r>
        <w:rPr>
          <w:sz w:val="18"/>
        </w:rPr>
        <w:t>12. Offline, Mobile and Device Architecture</w:t>
      </w:r>
    </w:p>
    <w:p>
      <w:pPr>
        <w:spacing w:after="20"/>
      </w:pPr>
      <w:r>
        <w:rPr>
          <w:sz w:val="18"/>
        </w:rPr>
        <w:t>13. Notifications and Communication</w:t>
      </w:r>
    </w:p>
    <w:p>
      <w:pPr>
        <w:spacing w:after="20"/>
      </w:pPr>
      <w:r>
        <w:rPr>
          <w:sz w:val="18"/>
        </w:rPr>
        <w:t>14. Reporting, Intelligence and Audit</w:t>
      </w:r>
    </w:p>
    <w:p>
      <w:pPr>
        <w:spacing w:after="20"/>
      </w:pPr>
      <w:r>
        <w:rPr>
          <w:sz w:val="18"/>
        </w:rPr>
        <w:t>15. Integrations</w:t>
      </w:r>
    </w:p>
    <w:p>
      <w:pPr>
        <w:spacing w:after="20"/>
      </w:pPr>
      <w:r>
        <w:rPr>
          <w:sz w:val="18"/>
        </w:rPr>
        <w:t>16. UX and Design System</w:t>
      </w:r>
    </w:p>
    <w:p>
      <w:pPr>
        <w:spacing w:after="20"/>
      </w:pPr>
      <w:r>
        <w:rPr>
          <w:sz w:val="18"/>
        </w:rPr>
        <w:t>17. Non-Functional Requirements</w:t>
      </w:r>
    </w:p>
    <w:p>
      <w:pPr>
        <w:spacing w:after="20"/>
      </w:pPr>
      <w:r>
        <w:rPr>
          <w:sz w:val="18"/>
        </w:rPr>
        <w:t>18. Veyvio Hard Rules F-01 to F-35</w:t>
      </w:r>
    </w:p>
    <w:p>
      <w:pPr>
        <w:spacing w:after="20"/>
      </w:pPr>
      <w:r>
        <w:rPr>
          <w:sz w:val="18"/>
        </w:rPr>
        <w:t>19. Delivery Roadmap and Production Gates</w:t>
      </w:r>
    </w:p>
    <w:p>
      <w:pPr>
        <w:spacing w:after="20"/>
      </w:pPr>
      <w:r>
        <w:rPr>
          <w:sz w:val="18"/>
        </w:rPr>
        <w:t>20. Definition of Done and Release Verdicts</w:t>
      </w:r>
    </w:p>
    <w:p>
      <w:pPr>
        <w:spacing w:after="20"/>
      </w:pPr>
      <w:r>
        <w:rPr>
          <w:sz w:val="18"/>
        </w:rPr>
        <w:t>21. Decisions, Risks and Open Items</w:t>
      </w:r>
    </w:p>
    <w:p>
      <w:pPr>
        <w:spacing w:after="20"/>
      </w:pPr>
      <w:r>
        <w:rPr>
          <w:sz w:val="18"/>
        </w:rPr>
        <w:t>22. Governance and Maintenance</w:t>
      </w:r>
    </w:p>
    <w:p>
      <w:pPr>
        <w:pStyle w:val="Heading1"/>
      </w:pPr>
      <w:r>
        <w:t>1. Executive Blueprint</w:t>
      </w:r>
    </w:p>
    <w:p>
      <w:pPr>
        <w:pStyle w:val="Heading2"/>
      </w:pPr>
      <w:r>
        <w:t>1.1 The product</w:t>
      </w:r>
    </w:p>
    <w:p>
      <w:r>
        <w:t>Veyvio is a licensable, multi-tenant transport management platform for passenger transport operators. It connects bookings, passengers, duties, drivers, vehicles, depots, yard activity, maintenance, compliance, training, communication and audit in one trusted operating system.</w:t>
      </w:r>
    </w:p>
    <w:p>
      <w:pPr>
        <w:pStyle w:val="Heading2"/>
      </w:pPr>
      <w:r>
        <w:t>1.2 Target customers</w:t>
      </w:r>
    </w:p>
    <w:p>
      <w:pPr>
        <w:pStyle w:val="ListBullet"/>
        <w:spacing w:after="40"/>
        <w:ind w:left="288"/>
      </w:pPr>
      <w:r>
        <w:t>Community transport organisations and not-for-profit operators.</w:t>
      </w:r>
    </w:p>
    <w:p>
      <w:pPr>
        <w:pStyle w:val="ListBullet"/>
        <w:spacing w:after="40"/>
        <w:ind w:left="288"/>
      </w:pPr>
      <w:r>
        <w:t>Section 19 and Section 22 service operators.</w:t>
      </w:r>
    </w:p>
    <w:p>
      <w:pPr>
        <w:pStyle w:val="ListBullet"/>
        <w:spacing w:after="40"/>
        <w:ind w:left="288"/>
      </w:pPr>
      <w:r>
        <w:t>Home-to-school and special educational needs transport providers.</w:t>
      </w:r>
    </w:p>
    <w:p>
      <w:pPr>
        <w:pStyle w:val="ListBullet"/>
        <w:spacing w:after="40"/>
        <w:ind w:left="288"/>
      </w:pPr>
      <w:r>
        <w:t>Dial-a-Ride, demand-responsive and accessible transport operators.</w:t>
      </w:r>
    </w:p>
    <w:p>
      <w:pPr>
        <w:pStyle w:val="ListBullet"/>
        <w:spacing w:after="40"/>
        <w:ind w:left="288"/>
      </w:pPr>
      <w:r>
        <w:t>Private hire, PSV and mixed passenger fleet operators where configured.</w:t>
      </w:r>
    </w:p>
    <w:p>
      <w:pPr>
        <w:pStyle w:val="ListBullet"/>
        <w:spacing w:after="40"/>
        <w:ind w:left="288"/>
      </w:pPr>
      <w:r>
        <w:t>Local authority, NHS, social care and contracted passenger transport services.</w:t>
      </w:r>
    </w:p>
    <w:p>
      <w:pPr>
        <w:pStyle w:val="Heading2"/>
      </w:pPr>
      <w:r>
        <w:t>1.3 Product promise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Promise</w:t>
            </w:r>
          </w:p>
        </w:tc>
        <w:tc>
          <w:tcPr>
            <w:tcW w:type="dxa" w:w="705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Know what is happening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vehicle, duty, exception and compliance condition is visible from authoritative data.</w:t>
            </w:r>
          </w:p>
        </w:tc>
      </w:tr>
      <w:tr>
        <w:tc>
          <w:tcPr>
            <w:tcW w:type="dxa" w:w="25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Act on what matters</w:t>
            </w:r>
          </w:p>
        </w:tc>
        <w:tc>
          <w:tcPr>
            <w:tcW w:type="dxa" w:w="705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Users see prioritised actions, responsible owners, deadlines and blocked states.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Move safely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Safety and legal readiness are enforced by server-side rules, evidence and controlled overrides.</w:t>
            </w:r>
          </w:p>
        </w:tc>
      </w:tr>
    </w:tbl>
    <w:p/>
    <w:p>
      <w:pPr>
        <w:pStyle w:val="Heading2"/>
      </w:pPr>
      <w:r>
        <w:t>1.4 Release truth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432"/>
      </w:tblGrid>
      <w:tr>
        <w:tc>
          <w:tcPr>
            <w:tcW w:type="dxa" w:w="5040"/>
            <w:shd w:fill="B54708"/>
          </w:tcPr>
          <w:p/>
        </w:tc>
        <w:tc>
          <w:tcPr>
            <w:tcW w:type="dxa" w:w="5040"/>
            <w:shd w:fill="FFF8E8"/>
          </w:tcPr>
          <w:p>
            <w:r/>
            <w:r>
              <w:rPr>
                <w:b/>
                <w:color w:val="173E48"/>
                <w:sz w:val="20"/>
              </w:rPr>
              <w:t>Current classification</w:t>
            </w:r>
          </w:p>
          <w:p>
            <w:pPr>
              <w:spacing w:after="20"/>
            </w:pPr>
            <w:r>
              <w:rPr>
                <w:sz w:val="18"/>
              </w:rPr>
              <w:t>Operationally strong prototype progressing toward controlled pilot production. A public multi-company SaaS release requires complete tenant isolation, removal of production fallback paths, one authoritative job write path, physical iOS sign-off and release-gate evidence.</w:t>
            </w:r>
          </w:p>
        </w:tc>
      </w:tr>
    </w:tbl>
    <w:p/>
    <w:p>
      <w:pPr>
        <w:pStyle w:val="Heading1"/>
      </w:pPr>
      <w:r>
        <w:t>2. Product Vision and Platform Principles</w:t>
      </w:r>
    </w:p>
    <w:p>
      <w:pPr>
        <w:pStyle w:val="Heading2"/>
      </w:pPr>
      <w:r>
        <w:t>2.1 Vision</w:t>
      </w:r>
    </w:p>
    <w:p>
      <w:r>
        <w:t>Every vehicle accounted for, every issue visible, and every journey beginning with confidence.</w:t>
      </w:r>
    </w:p>
    <w:p>
      <w:pPr>
        <w:pStyle w:val="Heading2"/>
      </w:pPr>
      <w:r>
        <w:t>2.2 Mission</w:t>
      </w:r>
    </w:p>
    <w:p>
      <w:r>
        <w:t>Connect every vehicle, person, journey and operational decision in one trusted transport system.</w:t>
      </w:r>
    </w:p>
    <w:p>
      <w:pPr>
        <w:pStyle w:val="Heading2"/>
      </w:pPr>
      <w:r>
        <w:t>2.3 Core principles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Principle</w:t>
            </w:r>
          </w:p>
        </w:tc>
        <w:tc>
          <w:tcPr>
            <w:tcW w:type="dxa" w:w="720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Required behaviour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Safety first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Safety, safeguarding and legal compliance override speed, convenience and commercial pressure.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Platform first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Capabilities are designed once as reusable platform services, not separately for one company or frontend.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One operational truth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material fact has one authoritative owner and one server-controlled state.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Tenant isolation by construction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Independent companies remain isolated even when related, partnered or supported by the same platform team.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Evidence over assertion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Compliance, roadworthiness and completion are calculated from evidence, not manually declared labels.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Closed-loop operations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Every workflow has an owner, state, next action, escalation path and closure evidence.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Frontline simplicity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Driver and Yard experiences use plain language, large touch targets and progressive guidance.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Explainable control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Blocked actions, automation and overrides explain why they happened and what resolves them.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Auditability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Material actions are attributable, append-only and available for operational and regulatory review.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Progressive delivery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7"/>
              </w:rPr>
              <w:t>Preserve validated product value while replacing weak foundations in controlled phases.</w:t>
            </w:r>
          </w:p>
        </w:tc>
      </w:tr>
    </w:tbl>
    <w:p/>
    <w:p>
      <w:pPr>
        <w:pStyle w:val="Heading1"/>
      </w:pPr>
      <w:r>
        <w:t>3. Operating Model and Tenancy</w:t>
      </w:r>
    </w:p>
    <w:p>
      <w:pPr>
        <w:pStyle w:val="Heading2"/>
      </w:pPr>
      <w:r>
        <w:t>3.1 Hierarchy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432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5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Platform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Veyvio global service boundary; manages subscriptions, support access and platform configuration.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Veyvio operations, platform security, billing.</w:t>
            </w:r>
          </w:p>
        </w:tc>
      </w:tr>
      <w:tr>
        <w:tc>
          <w:tcPr>
            <w:tcW w:type="dxa" w:w="187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Tenant / Company</w:t>
            </w:r>
          </w:p>
        </w:tc>
        <w:tc>
          <w:tcPr>
            <w:tcW w:type="dxa" w:w="43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Independent legal and data boundary.</w:t>
            </w:r>
          </w:p>
        </w:tc>
        <w:tc>
          <w:tcPr>
            <w:tcW w:type="dxa" w:w="345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CoLoop Community Transport, BCT, future licensed operators.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Depot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Operational location and local access scope.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Harlesden depot, satellite depot, school base.</w:t>
            </w:r>
          </w:p>
        </w:tc>
      </w:tr>
      <w:tr>
        <w:tc>
          <w:tcPr>
            <w:tcW w:type="dxa" w:w="187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Zone / Bay</w:t>
            </w:r>
          </w:p>
        </w:tc>
        <w:tc>
          <w:tcPr>
            <w:tcW w:type="dxa" w:w="43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Physical yard position.</w:t>
            </w:r>
          </w:p>
        </w:tc>
        <w:tc>
          <w:tcPr>
            <w:tcW w:type="dxa" w:w="345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Wash bay, Bay 14, workshop holding area.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Application scope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Controls which frontend and API surface a session may access.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app.command, app.driver, app.yard, app.maintenance.</w:t>
            </w:r>
          </w:p>
        </w:tc>
      </w:tr>
    </w:tbl>
    <w:p/>
    <w:p>
      <w:pPr>
        <w:pStyle w:val="Heading2"/>
      </w:pPr>
      <w:r>
        <w:t>3.2 Isolation</w:t>
      </w:r>
    </w:p>
    <w:p>
      <w:pPr>
        <w:pStyle w:val="ListBullet"/>
        <w:spacing w:after="40"/>
        <w:ind w:left="288"/>
      </w:pPr>
      <w:r>
        <w:t>The authenticated membership determines tenant and depot scope; clients never choose or submit an authoritative tenant ID.</w:t>
      </w:r>
    </w:p>
    <w:p>
      <w:pPr>
        <w:pStyle w:val="ListBullet"/>
        <w:spacing w:after="40"/>
        <w:ind w:left="288"/>
      </w:pPr>
      <w:r>
        <w:t>Cross-tenant reads, writes, files, reports, searches, notifications, subscriptions and background jobs are denied by default.</w:t>
      </w:r>
    </w:p>
    <w:p>
      <w:pPr>
        <w:pStyle w:val="ListBullet"/>
        <w:spacing w:after="40"/>
        <w:ind w:left="288"/>
      </w:pPr>
      <w:r>
        <w:t>Related companies remain isolated unless a specific, approved cross-company mechanism exists.</w:t>
      </w:r>
    </w:p>
    <w:p>
      <w:pPr>
        <w:pStyle w:val="ListBullet"/>
        <w:spacing w:after="40"/>
        <w:ind w:left="288"/>
      </w:pPr>
      <w:r>
        <w:t>Platform administrators do not receive routine tenant-data access; support access is time-limited, approved and audited.</w:t>
      </w:r>
    </w:p>
    <w:p>
      <w:pPr>
        <w:pStyle w:val="Heading2"/>
      </w:pPr>
      <w:r>
        <w:t>3.3 Licensing model</w:t>
      </w:r>
    </w:p>
    <w:p>
      <w:pPr>
        <w:pStyle w:val="ListBullet"/>
        <w:spacing w:after="40"/>
        <w:ind w:left="288"/>
      </w:pPr>
      <w:r>
        <w:t>A company purchases or is granted a licence for enabled modules, applications, users, vehicles, depots or agreed usage limits.</w:t>
      </w:r>
    </w:p>
    <w:p>
      <w:pPr>
        <w:pStyle w:val="ListBullet"/>
        <w:spacing w:after="40"/>
        <w:ind w:left="288"/>
      </w:pPr>
      <w:r>
        <w:t>Entitlements are enforced server-side and do not replace role and resource permissions.</w:t>
      </w:r>
    </w:p>
    <w:p>
      <w:pPr>
        <w:pStyle w:val="ListBullet"/>
        <w:spacing w:after="40"/>
        <w:ind w:left="288"/>
      </w:pPr>
      <w:r>
        <w:t>Tenant configuration controls branding, terminology, workflows, compliance rules, notification policies and optional modules.</w:t>
      </w:r>
    </w:p>
    <w:p>
      <w:pPr>
        <w:pStyle w:val="Heading1"/>
      </w:pPr>
      <w:r>
        <w:t>4. Application Portfolio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Application</w:t>
            </w:r>
          </w:p>
        </w:tc>
        <w:tc>
          <w:tcPr>
            <w:tcW w:type="dxa" w:w="252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Primary users</w:t>
            </w:r>
          </w:p>
        </w:tc>
        <w:tc>
          <w:tcPr>
            <w:tcW w:type="dxa" w:w="4464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108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Scope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Veyvio Command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Controllers, schedulers, managers, compliance, customer service and leadership.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Connected operational control, booking, planning, dispatch, exceptions, reporting, configuration and audit.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app.command</w:t>
            </w:r>
          </w:p>
        </w:tc>
      </w:tr>
      <w:tr>
        <w:tc>
          <w:tcPr>
            <w:tcW w:type="dxa" w:w="18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Veyvio Driver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Drivers and escorts.</w:t>
            </w:r>
          </w:p>
        </w:tc>
        <w:tc>
          <w:tcPr>
            <w:tcW w:type="dxa" w:w="446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Duties, stop-by-stop execution, checks, defects, messages, training, documents and shift handback.</w:t>
            </w:r>
          </w:p>
        </w:tc>
        <w:tc>
          <w:tcPr>
            <w:tcW w:type="dxa" w:w="108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app.driver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Veyvio Yard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Yard managers and depot operatives.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Vehicle location, bodywork, inspections, equipment, VOR, movements, tasks and upcoming work.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app.yard</w:t>
            </w:r>
          </w:p>
        </w:tc>
      </w:tr>
      <w:tr>
        <w:tc>
          <w:tcPr>
            <w:tcW w:type="dxa" w:w="18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Veyvio Maintenance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Workshop, technician and fleet-maintenance users.</w:t>
            </w:r>
          </w:p>
        </w:tc>
        <w:tc>
          <w:tcPr>
            <w:tcW w:type="dxa" w:w="446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Work orders, inspections, parts, labour, tyres, external garage evidence and return-to-service.</w:t>
            </w:r>
          </w:p>
        </w:tc>
        <w:tc>
          <w:tcPr>
            <w:tcW w:type="dxa" w:w="108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app.maintenance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Customer Portal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Authorised customers, schools, councils and booking teams.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Own bookings, passengers, service status, documents and controlled communication.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app.customer</w:t>
            </w:r>
          </w:p>
        </w:tc>
      </w:tr>
      <w:tr>
        <w:tc>
          <w:tcPr>
            <w:tcW w:type="dxa" w:w="18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Platform Administration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Authorised Veyvio platform personnel.</w:t>
            </w:r>
          </w:p>
        </w:tc>
        <w:tc>
          <w:tcPr>
            <w:tcW w:type="dxa" w:w="446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Subscriptions, tenant lifecycle, platform health and time-limited support access.</w:t>
            </w:r>
          </w:p>
        </w:tc>
        <w:tc>
          <w:tcPr>
            <w:tcW w:type="dxa" w:w="108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app.platform_admin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432"/>
      </w:tblGrid>
      <w:tr>
        <w:tc>
          <w:tcPr>
            <w:tcW w:type="dxa" w:w="5040"/>
            <w:shd w:fill="4A8FA3"/>
          </w:tcPr>
          <w:p/>
        </w:tc>
        <w:tc>
          <w:tcPr>
            <w:tcW w:type="dxa" w:w="5040"/>
            <w:shd w:fill="EEF6F7"/>
          </w:tcPr>
          <w:p>
            <w:r/>
            <w:r>
              <w:rPr>
                <w:b/>
                <w:color w:val="173E48"/>
                <w:sz w:val="20"/>
              </w:rPr>
              <w:t>Frontend boundary</w:t>
            </w:r>
          </w:p>
          <w:p>
            <w:pPr>
              <w:spacing w:after="20"/>
            </w:pPr>
            <w:r>
              <w:rPr>
                <w:sz w:val="18"/>
              </w:rPr>
              <w:t>No application may become the source of shared business truth. Driver, Yard, Command, Maintenance and Customer applications consume shared APIs and domain services. They must not directly own duplicate operational state.</w:t>
            </w:r>
          </w:p>
        </w:tc>
      </w:tr>
    </w:tbl>
    <w:p/>
    <w:p>
      <w:pPr>
        <w:pStyle w:val="Heading1"/>
      </w:pPr>
      <w:r>
        <w:t>5. Roles, Scopes and Permissions</w:t>
      </w:r>
    </w:p>
    <w:p>
      <w:pPr>
        <w:pStyle w:val="Heading2"/>
      </w:pPr>
      <w:r>
        <w:t>5.1 Permission decision</w:t>
      </w:r>
    </w:p>
    <w:p>
      <w:pPr>
        <w:pStyle w:val="ListNumber"/>
        <w:spacing w:after="40"/>
        <w:ind w:left="288"/>
      </w:pPr>
      <w:r>
        <w:t>Authenticate the user and verify the session.</w:t>
      </w:r>
    </w:p>
    <w:p>
      <w:pPr>
        <w:pStyle w:val="ListNumber"/>
        <w:spacing w:after="40"/>
        <w:ind w:left="288"/>
      </w:pPr>
      <w:r>
        <w:t>Verify the application scope.</w:t>
      </w:r>
    </w:p>
    <w:p>
      <w:pPr>
        <w:pStyle w:val="ListNumber"/>
        <w:spacing w:after="40"/>
        <w:ind w:left="288"/>
      </w:pPr>
      <w:r>
        <w:t>Resolve active tenant membership and depot/resource scope.</w:t>
      </w:r>
    </w:p>
    <w:p>
      <w:pPr>
        <w:pStyle w:val="ListNumber"/>
        <w:spacing w:after="40"/>
        <w:ind w:left="288"/>
      </w:pPr>
      <w:r>
        <w:t>Check the granular permission required by the operation.</w:t>
      </w:r>
    </w:p>
    <w:p>
      <w:pPr>
        <w:pStyle w:val="ListNumber"/>
        <w:spacing w:after="40"/>
        <w:ind w:left="288"/>
      </w:pPr>
      <w:r>
        <w:t>Check the resource belongs to the same authorised tenant and permitted depot.</w:t>
      </w:r>
    </w:p>
    <w:p>
      <w:pPr>
        <w:pStyle w:val="ListNumber"/>
        <w:spacing w:after="40"/>
        <w:ind w:left="288"/>
      </w:pPr>
      <w:r>
        <w:t>Run business, safety, state-machine and entitlement rules.</w:t>
      </w:r>
    </w:p>
    <w:p>
      <w:pPr>
        <w:pStyle w:val="ListNumber"/>
        <w:spacing w:after="40"/>
        <w:ind w:left="288"/>
      </w:pPr>
      <w:r>
        <w:t>Record the material decision and any override.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360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417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Default boundary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Company Owner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Own tenant governance, subscriptions and broad oversight.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Full tenant control subject to separation-of-duty rules.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Director / Executive</w:t>
            </w:r>
          </w:p>
        </w:tc>
        <w:tc>
          <w:tcPr>
            <w:tcW w:type="dxa" w:w="36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Read and approve high-risk actions.</w:t>
            </w:r>
          </w:p>
        </w:tc>
        <w:tc>
          <w:tcPr>
            <w:tcW w:type="dxa" w:w="417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Read, approvals and selected exports.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Operations Manager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Operations, booking, planning and exception ownership.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Broad Command access within assigned scope.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Dispatcher / Controller</w:t>
            </w:r>
          </w:p>
        </w:tc>
        <w:tc>
          <w:tcPr>
            <w:tcW w:type="dxa" w:w="36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Assign, replan and manage live duties.</w:t>
            </w:r>
          </w:p>
        </w:tc>
        <w:tc>
          <w:tcPr>
            <w:tcW w:type="dxa" w:w="417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Bookings/dispatch operations; no unrestricted compliance changes.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Compliance Manager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Rules, evidence, expiry and audit oversight.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Compliance configuration, review and export.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Fleet Manager</w:t>
            </w:r>
          </w:p>
        </w:tc>
        <w:tc>
          <w:tcPr>
            <w:tcW w:type="dxa" w:w="36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Vehicle readiness, VOR and fleet control.</w:t>
            </w:r>
          </w:p>
        </w:tc>
        <w:tc>
          <w:tcPr>
            <w:tcW w:type="dxa" w:w="417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Fleet, yard and maintenance approvals.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Yard Manager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Physical fleet condition and location.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Yard checks, movements, bodywork and tasks.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Maintenance User</w:t>
            </w:r>
          </w:p>
        </w:tc>
        <w:tc>
          <w:tcPr>
            <w:tcW w:type="dxa" w:w="36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Assigned maintenance work.</w:t>
            </w:r>
          </w:p>
        </w:tc>
        <w:tc>
          <w:tcPr>
            <w:tcW w:type="dxa" w:w="417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Work orders, parts, inspections and completion.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Driver / Escort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Own duties and assigned vehicle.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Own records only; controlled status changes.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Customer / Booker</w:t>
            </w:r>
          </w:p>
        </w:tc>
        <w:tc>
          <w:tcPr>
            <w:tcW w:type="dxa" w:w="36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Own bookings and passengers.</w:t>
            </w:r>
          </w:p>
        </w:tc>
        <w:tc>
          <w:tcPr>
            <w:tcW w:type="dxa" w:w="417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Own organisation resources only.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Platform Admin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Platform operations without standing tenant-data access.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Platform resources; tenant data only through approved support grant.</w:t>
            </w:r>
          </w:p>
        </w:tc>
      </w:tr>
    </w:tbl>
    <w:p/>
    <w:p>
      <w:pPr>
        <w:pStyle w:val="Heading1"/>
      </w:pPr>
      <w:r>
        <w:t>6. Information Architecture</w:t>
      </w:r>
    </w:p>
    <w:p>
      <w:pPr>
        <w:pStyle w:val="Heading2"/>
      </w:pPr>
      <w:r>
        <w:t>6.1 Veyvio Command navigation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720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pages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Command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Overview, Live Operations, Exceptions, Notifications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Operations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Bookings, Dispatch, Jobs, Runs, Trips, Schedule, Recurring Transport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People and Fleet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Drivers, Staff, Vehicles, Depots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Yard and Maintenance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Yard Operations, Maintenance, Tyres, Upcoming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Safety and Compliance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Vehicle Checks, Defects, Bodywork, Inspections, Incidents, Compliance Rules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Customers and Commercial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Customers, Passengers, Schools, Contracts, Pricing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Communication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Messages, Announcements, Templates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Intelligence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Reports, Performance, Audit Log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Administration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Company Settings, Users and Roles, Integrations, Billing and Entitlements</w:t>
            </w:r>
          </w:p>
        </w:tc>
      </w:tr>
    </w:tbl>
    <w:p/>
    <w:p>
      <w:pPr>
        <w:pStyle w:val="Heading2"/>
      </w:pPr>
      <w:r>
        <w:t>6.2 Driver navigation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Primary tab</w:t>
            </w:r>
          </w:p>
        </w:tc>
        <w:tc>
          <w:tcPr>
            <w:tcW w:type="dxa" w:w="7488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Secondary destinations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Home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Next duty, readiness, current vehicle, location/bay, pre-duty actions, urgent messages.</w:t>
            </w:r>
          </w:p>
        </w:tc>
      </w:tr>
      <w:tr>
        <w:tc>
          <w:tcPr>
            <w:tcW w:type="dxa" w:w="21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Trips</w:t>
            </w:r>
          </w:p>
        </w:tc>
        <w:tc>
          <w:tcPr>
            <w:tcW w:type="dxa" w:w="74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Today, upcoming duties, stop sequence, navigation, controlled status and changes.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Vehicle Checks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Start check, select vehicle, history, defect report, equipment and check outcome.</w:t>
            </w:r>
          </w:p>
        </w:tc>
      </w:tr>
      <w:tr>
        <w:tc>
          <w:tcPr>
            <w:tcW w:type="dxa" w:w="21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Messages</w:t>
            </w:r>
          </w:p>
        </w:tc>
        <w:tc>
          <w:tcPr>
            <w:tcW w:type="dxa" w:w="74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Conversations, alerts, announcements, acknowledgements and contact Operations.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Profile, documents, licence, training, working time, schedule, leave, policies, sync, diagnostics, settings and support.</w:t>
            </w:r>
          </w:p>
        </w:tc>
      </w:tr>
    </w:tbl>
    <w:p/>
    <w:p>
      <w:pPr>
        <w:pStyle w:val="Heading2"/>
      </w:pPr>
      <w:r>
        <w:t>6.3 Yard navigation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7344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Home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Exceptions, tasks, VOR, vehicles not located and due work.</w:t>
            </w:r>
          </w:p>
        </w:tc>
      </w:tr>
      <w:tr>
        <w:tc>
          <w:tcPr>
            <w:tcW w:type="dxa" w:w="230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Vehicles</w:t>
            </w:r>
          </w:p>
        </w:tc>
        <w:tc>
          <w:tcPr>
            <w:tcW w:type="dxa" w:w="734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Fleet search, readiness, depot, bay, assignment and fuel/charge.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Vehicle Bodywork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Known damage, baseline, images, history and new-damage wizard.</w:t>
            </w:r>
          </w:p>
        </w:tc>
      </w:tr>
      <w:tr>
        <w:tc>
          <w:tcPr>
            <w:tcW w:type="dxa" w:w="230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Vehicle Check</w:t>
            </w:r>
          </w:p>
        </w:tc>
        <w:tc>
          <w:tcPr>
            <w:tcW w:type="dxa" w:w="734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Guided yard inspection and body condition evidence.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Equipment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QR-based assignment, expiry, quantities and condition.</w:t>
            </w:r>
          </w:p>
        </w:tc>
      </w:tr>
      <w:tr>
        <w:tc>
          <w:tcPr>
            <w:tcW w:type="dxa" w:w="230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Movements</w:t>
            </w:r>
          </w:p>
        </w:tc>
        <w:tc>
          <w:tcPr>
            <w:tcW w:type="dxa" w:w="734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Zone/bay moves, key status, reason and movement history.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VOR / Return to Road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Restrictions, evidence, maintenance linkage and approvals.</w:t>
            </w:r>
          </w:p>
        </w:tc>
      </w:tr>
      <w:tr>
        <w:tc>
          <w:tcPr>
            <w:tcW w:type="dxa" w:w="230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Upcoming</w:t>
            </w:r>
          </w:p>
        </w:tc>
        <w:tc>
          <w:tcPr>
            <w:tcW w:type="dxa" w:w="734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MOT, PMI, service, tyres, retorque, weekly checks and inactive-vehicle battery tasks.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Messages / Profile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Operational communication, sync, account and device settings.</w:t>
            </w:r>
          </w:p>
        </w:tc>
      </w:tr>
    </w:tbl>
    <w:p/>
    <w:p>
      <w:pPr>
        <w:pStyle w:val="Heading1"/>
      </w:pPr>
      <w:r>
        <w:t>7. Core End-to-End Workflows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04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Workflow</w:t>
            </w:r>
          </w:p>
        </w:tc>
        <w:tc>
          <w:tcPr>
            <w:tcW w:type="dxa" w:w="7344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Required closed loop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Company onboarding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Licence accepted → tenant created → owner invited → depots configured → roles/scopes set → rules selected → integrations configured → pilot data imported → isolation and acceptance tests passed.</w:t>
            </w:r>
          </w:p>
        </w:tc>
      </w:tr>
      <w:tr>
        <w:tc>
          <w:tcPr>
            <w:tcW w:type="dxa" w:w="230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Vehicle onboarding</w:t>
            </w:r>
          </w:p>
        </w:tc>
        <w:tc>
          <w:tcPr>
            <w:tcW w:type="dxa" w:w="734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Vehicle created → mandatory documents/configuration recorded → Yard baseline task created → all-round images and equipment captured → compliance/readiness calculated → authorised release to operational state.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Booking to duty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Booking captured in correct service flow → validation and pricing/contract rules → jobs created → run/trip planning → driver and vehicle eligibility/readiness gates → publish → acknowledgement → execution → closeout.</w:t>
            </w:r>
          </w:p>
        </w:tc>
      </w:tr>
      <w:tr>
        <w:tc>
          <w:tcPr>
            <w:tcW w:type="dxa" w:w="230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Driver duty</w:t>
            </w:r>
          </w:p>
        </w:tc>
        <w:tc>
          <w:tcPr>
            <w:tcW w:type="dxa" w:w="734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Authenticate → readiness → acknowledge duty → pre-use check → sign-on → stop-by-stop execution → exceptions/changes → end-of-duty check → mileage/fuel/AdBlue/equipment/keys/bay → declaration and closeout.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Vehicle damage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Baseline/known damage review → new damage report → evidence and severity → defect/incident linkage where relevant → Yard task → estimate/work order → repair → verification → known-damage history updated.</w:t>
            </w:r>
          </w:p>
        </w:tc>
      </w:tr>
      <w:tr>
        <w:tc>
          <w:tcPr>
            <w:tcW w:type="dxa" w:w="230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VOR and return to service</w:t>
            </w:r>
          </w:p>
        </w:tc>
        <w:tc>
          <w:tcPr>
            <w:tcW w:type="dxa" w:w="734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Blocking condition detected → VOR reason/restriction → assignments blocked → work order and evidence → completion → independent approval where required → readiness recalculated → VOR cleared.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Incident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Immediate safety action → report → persons/vehicle/trip/evidence linked → acknowledgement → escalation/safeguarding/insurer authority routes → actions → closure and audit pack.</w:t>
            </w:r>
          </w:p>
        </w:tc>
      </w:tr>
      <w:tr>
        <w:tc>
          <w:tcPr>
            <w:tcW w:type="dxa" w:w="230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Vehicle swap</w:t>
            </w:r>
          </w:p>
        </w:tc>
        <w:tc>
          <w:tcPr>
            <w:tcW w:type="dxa" w:w="734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Driver requests or Operations initiates → replacement readiness and eligibility checks → Operations approves/rejects → assignment history preserved → checks required for new vehicle → all affected users notified.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Offline command replay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5"/>
              </w:rPr>
              <w:t>Action stored with idempotency key and original context → reconnect → session/tenant/permission/state revalidated → accepted or rejected with reason → local state reconciled; never silently marked synced.</w:t>
            </w:r>
          </w:p>
        </w:tc>
      </w:tr>
    </w:tbl>
    <w:p/>
    <w:p>
      <w:pPr>
        <w:pStyle w:val="Heading1"/>
      </w:pPr>
      <w:r>
        <w:t>8. Domain and Application Specifications</w:t>
      </w:r>
    </w:p>
    <w:p>
      <w:pPr>
        <w:pStyle w:val="Heading2"/>
      </w:pPr>
      <w:r>
        <w:t>8.1 Booking, jobs, runs and trips</w:t>
      </w:r>
    </w:p>
    <w:p>
      <w:pPr>
        <w:pStyle w:val="ListBullet"/>
        <w:spacing w:after="40"/>
        <w:ind w:left="288"/>
      </w:pPr>
      <w:r>
        <w:t>General Booking is for work that is not Dial-a-Ride or School Routes; specialist services have their own booking flows.</w:t>
      </w:r>
    </w:p>
    <w:p>
      <w:pPr>
        <w:pStyle w:val="ListBullet"/>
        <w:spacing w:after="40"/>
        <w:ind w:left="288"/>
      </w:pPr>
      <w:r>
        <w:t>A Booking is the customer request. Jobs are executable transport tasks. Runs group planned work. A Trip/Duty is the published assignment executed by a driver and vehicle.</w:t>
      </w:r>
    </w:p>
    <w:p>
      <w:pPr>
        <w:pStyle w:val="ListBullet"/>
        <w:spacing w:after="40"/>
        <w:ind w:left="288"/>
      </w:pPr>
      <w:r>
        <w:t>Recurring transport stores a template, recurrence, exceptions, holidays and future-regeneration logic without losing historical instances.</w:t>
      </w:r>
    </w:p>
    <w:p>
      <w:pPr>
        <w:pStyle w:val="ListBullet"/>
        <w:spacing w:after="40"/>
        <w:ind w:left="288"/>
      </w:pPr>
      <w:r>
        <w:t>Transfers preserve original and revised assignments, reason, actor, affected stops, notifications and audit history.</w:t>
      </w:r>
    </w:p>
    <w:p>
      <w:pPr>
        <w:pStyle w:val="ListBullet"/>
        <w:spacing w:after="40"/>
        <w:ind w:left="288"/>
      </w:pPr>
      <w:r>
        <w:t>Cancellation and no-show handling records policy, reason, commercial decision, communication and reporting impact.</w:t>
      </w:r>
    </w:p>
    <w:p>
      <w:pPr>
        <w:pStyle w:val="Heading2"/>
      </w:pPr>
      <w:r>
        <w:t>8.2 Dispatch and live operations</w:t>
      </w:r>
    </w:p>
    <w:p>
      <w:pPr>
        <w:pStyle w:val="ListBullet"/>
        <w:spacing w:after="40"/>
        <w:ind w:left="288"/>
      </w:pPr>
      <w:r>
        <w:t>Map and timeline show active duties with explicit location freshness.</w:t>
      </w:r>
    </w:p>
    <w:p>
      <w:pPr>
        <w:pStyle w:val="ListBullet"/>
        <w:spacing w:after="40"/>
        <w:ind w:left="288"/>
      </w:pPr>
      <w:r>
        <w:t>Exception queues include late start, missed check, no acknowledgement, route deviation, passenger not ready, breakdown, incident, lost connectivity and overdue completion.</w:t>
      </w:r>
    </w:p>
    <w:p>
      <w:pPr>
        <w:pStyle w:val="ListBullet"/>
        <w:spacing w:after="40"/>
        <w:ind w:left="288"/>
      </w:pPr>
      <w:r>
        <w:t>Replanning stores planned, revised and actual states; original plans are never destroyed.</w:t>
      </w:r>
    </w:p>
    <w:p>
      <w:pPr>
        <w:pStyle w:val="ListBullet"/>
        <w:spacing w:after="40"/>
        <w:ind w:left="288"/>
      </w:pPr>
      <w:r>
        <w:t>Controller actions are guided, permissioned, reason-coded and audited.</w:t>
      </w:r>
    </w:p>
    <w:p>
      <w:pPr>
        <w:pStyle w:val="ListBullet"/>
        <w:spacing w:after="40"/>
        <w:ind w:left="288"/>
      </w:pPr>
      <w:r>
        <w:t>Passenger-sensitive information is minimised in maps, alerts and lock-screen notifications.</w:t>
      </w:r>
    </w:p>
    <w:p>
      <w:pPr>
        <w:pStyle w:val="Heading2"/>
      </w:pPr>
      <w:r>
        <w:t>8.3 Driver</w:t>
      </w:r>
    </w:p>
    <w:p>
      <w:pPr>
        <w:pStyle w:val="ListBullet"/>
        <w:spacing w:after="40"/>
        <w:ind w:left="288"/>
      </w:pPr>
      <w:r>
        <w:t>Home shows next duty, start countdown, depot, exact vehicle location/bay, job count, estimated finish, acknowledgement and required pre-duty actions.</w:t>
      </w:r>
    </w:p>
    <w:p>
      <w:pPr>
        <w:pStyle w:val="ListBullet"/>
        <w:spacing w:after="40"/>
        <w:ind w:left="288"/>
      </w:pPr>
      <w:r>
        <w:t>Trips expose only controlled state transitions and necessary passenger requirements.</w:t>
      </w:r>
    </w:p>
    <w:p>
      <w:pPr>
        <w:pStyle w:val="ListBullet"/>
        <w:spacing w:after="40"/>
        <w:ind w:left="288"/>
      </w:pPr>
      <w:r>
        <w:t>Checks support pre-use, change-of-vehicle, defect, end-of-duty, media queue and offline replay.</w:t>
      </w:r>
    </w:p>
    <w:p>
      <w:pPr>
        <w:pStyle w:val="ListBullet"/>
        <w:spacing w:after="40"/>
        <w:ind w:left="288"/>
      </w:pPr>
      <w:r>
        <w:t>End shift captures mileage, fuel/charge/AdBlue, defects, cleanliness, lost property, equipment, keys and exact parking location.</w:t>
      </w:r>
    </w:p>
    <w:p>
      <w:pPr>
        <w:pStyle w:val="ListBullet"/>
        <w:spacing w:after="40"/>
        <w:ind w:left="288"/>
      </w:pPr>
      <w:r>
        <w:t>Training, documents, leave, working time, biometric preferences and app diagnostics are accessible through More.</w:t>
      </w:r>
    </w:p>
    <w:p>
      <w:pPr>
        <w:pStyle w:val="Heading2"/>
      </w:pPr>
      <w:r>
        <w:t>8.4 Yard</w:t>
      </w:r>
    </w:p>
    <w:p>
      <w:pPr>
        <w:pStyle w:val="ListBullet"/>
        <w:spacing w:after="40"/>
        <w:ind w:left="288"/>
      </w:pPr>
      <w:r>
        <w:t>Vehicle Bodywork starts from the full company fleet, shows baseline and known damage, and links new reports to repair work.</w:t>
      </w:r>
    </w:p>
    <w:p>
      <w:pPr>
        <w:pStyle w:val="ListBullet"/>
        <w:spacing w:after="40"/>
        <w:ind w:left="288"/>
      </w:pPr>
      <w:r>
        <w:t>Vehicle movement records depot, zone, bay, keys, actor, time and reason.</w:t>
      </w:r>
    </w:p>
    <w:p>
      <w:pPr>
        <w:pStyle w:val="ListBullet"/>
        <w:spacing w:after="40"/>
        <w:ind w:left="288"/>
      </w:pPr>
      <w:r>
        <w:t>Equipment tracks fixed and movable assets by QR code, condition, expiry and assignment history.</w:t>
      </w:r>
    </w:p>
    <w:p>
      <w:pPr>
        <w:pStyle w:val="ListBullet"/>
        <w:spacing w:after="40"/>
        <w:ind w:left="288"/>
      </w:pPr>
      <w:r>
        <w:t>Upcoming work combines MOT, PMI/safety inspection, service, tyres, retorque, weekly checks and battery-start tasks.</w:t>
      </w:r>
    </w:p>
    <w:p>
      <w:pPr>
        <w:pStyle w:val="ListBullet"/>
        <w:spacing w:after="40"/>
        <w:ind w:left="288"/>
      </w:pPr>
      <w:r>
        <w:t>Yard remains standalone, invitation-only, tenant/depot scoped and offline capable.</w:t>
      </w:r>
    </w:p>
    <w:p>
      <w:pPr>
        <w:pStyle w:val="Heading2"/>
      </w:pPr>
      <w:r>
        <w:t>8.5 Maintenance and tyres</w:t>
      </w:r>
    </w:p>
    <w:p>
      <w:pPr>
        <w:pStyle w:val="ListBullet"/>
        <w:spacing w:after="40"/>
        <w:ind w:left="288"/>
      </w:pPr>
      <w:r>
        <w:t>Work orders progress through requested, approved, scheduled, in progress, awaiting parts, completed and verified states.</w:t>
      </w:r>
    </w:p>
    <w:p>
      <w:pPr>
        <w:pStyle w:val="ListBullet"/>
        <w:spacing w:after="40"/>
        <w:ind w:left="288"/>
      </w:pPr>
      <w:r>
        <w:t>Return-to-service requires adequate evidence, permission and independent verification where policy requires it.</w:t>
      </w:r>
    </w:p>
    <w:p>
      <w:pPr>
        <w:pStyle w:val="ListBullet"/>
        <w:spacing w:after="40"/>
        <w:ind w:left="288"/>
      </w:pPr>
      <w:r>
        <w:t>Tyres are tracked by asset/serial where practical, axle/position, make/model, size, fit/removal mileage, tread, pressure, condition, reason, supplier, cost and warranty.</w:t>
      </w:r>
    </w:p>
    <w:p>
      <w:pPr>
        <w:pStyle w:val="ListBullet"/>
        <w:spacing w:after="40"/>
        <w:ind w:left="288"/>
      </w:pPr>
      <w:r>
        <w:t>External garages use controlled portals or expiring secure upload requests; original certificates are preserved.</w:t>
      </w:r>
    </w:p>
    <w:p>
      <w:pPr>
        <w:pStyle w:val="Heading2"/>
      </w:pPr>
      <w:r>
        <w:t>8.6 People, compliance, training and leave</w:t>
      </w:r>
    </w:p>
    <w:p>
      <w:pPr>
        <w:pStyle w:val="ListBullet"/>
        <w:spacing w:after="40"/>
        <w:ind w:left="288"/>
      </w:pPr>
      <w:r>
        <w:t>Identity, employment, permissions, licence, training, availability, documents and emergency details are separated logically.</w:t>
      </w:r>
    </w:p>
    <w:p>
      <w:pPr>
        <w:pStyle w:val="ListBullet"/>
        <w:spacing w:after="40"/>
        <w:ind w:left="288"/>
      </w:pPr>
      <w:r>
        <w:t>Mandatory training is determined by role, vehicle, passenger need, contract and service type.</w:t>
      </w:r>
    </w:p>
    <w:p>
      <w:pPr>
        <w:pStyle w:val="ListBullet"/>
        <w:spacing w:after="40"/>
        <w:ind w:left="288"/>
      </w:pPr>
      <w:r>
        <w:t>Eligibility and compliance are calculated from evidence and configured rules.</w:t>
      </w:r>
    </w:p>
    <w:p>
      <w:pPr>
        <w:pStyle w:val="ListBullet"/>
        <w:spacing w:after="40"/>
        <w:ind w:left="288"/>
      </w:pPr>
      <w:r>
        <w:t>Holiday balances show earned, taken, booked and remaining amounts with the calculation explanation.</w:t>
      </w:r>
    </w:p>
    <w:p>
      <w:pPr>
        <w:pStyle w:val="ListBullet"/>
        <w:spacing w:after="40"/>
        <w:ind w:left="288"/>
      </w:pPr>
      <w:r>
        <w:t>Administrators may invite, suspend or reset access but never see or choose user passwords.</w:t>
      </w:r>
    </w:p>
    <w:p>
      <w:pPr>
        <w:pStyle w:val="Heading1"/>
      </w:pPr>
      <w:r>
        <w:t>9. Shared Data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20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Tenant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Company boundary and configuration root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Depot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Operating location and yard hierarchy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Authentication identity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Membership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User-to-tenant role, app scope and depot/resource scope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Person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Driver, staff, passenger, guardian, contact or witness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Customer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Organisation commissioning or paying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Contract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Service, safeguarding, operational and commercial rules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Vehicle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Fleet asset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VehiclePosition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Depot, zone, bay and movement history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EquipmentAsset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Trackable vehicle/depot equipment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Booking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Customer request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Job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Operational transport task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Run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Planned group of jobs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TripDuty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Executable published assignment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Stop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Ordered waypoint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Assignment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Driver, vehicle and escort allocation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Check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Structured inspection instance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Defect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Mechanical, safety or operational fault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Damage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Body condition and physical damage record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Incident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Operational, safety or safeguarding event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WorkOrder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Maintenance action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TyreAsset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Tyre identity and position history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Document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Tenant-scoped file and metadata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MessageThread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Operational communication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Notification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Delivery record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DomainEvent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Material business event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AuditEvent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Immutable security and business history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Override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Reasoned approval to bypass an eligible rule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SupportGrant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Time-limited platform support access</w:t>
            </w:r>
          </w:p>
        </w:tc>
      </w:tr>
      <w:tr>
        <w:tc>
          <w:tcPr>
            <w:tcW w:type="dxa" w:w="244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Entitlement</w:t>
            </w:r>
          </w:p>
        </w:tc>
        <w:tc>
          <w:tcPr>
            <w:tcW w:type="dxa" w:w="720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Licensed module and usage permission</w:t>
            </w:r>
          </w:p>
        </w:tc>
      </w:tr>
    </w:tbl>
    <w:p/>
    <w:p>
      <w:pPr>
        <w:pStyle w:val="Heading2"/>
      </w:pPr>
      <w:r>
        <w:t>9.1 Ownership rules</w:t>
      </w:r>
    </w:p>
    <w:p>
      <w:pPr>
        <w:pStyle w:val="ListBullet"/>
        <w:spacing w:after="40"/>
        <w:ind w:left="288"/>
      </w:pPr>
      <w:r>
        <w:t>Every tenant-owned record carries an enforced company boundary; depot scope is added where operationally applicable.</w:t>
      </w:r>
    </w:p>
    <w:p>
      <w:pPr>
        <w:pStyle w:val="ListBullet"/>
        <w:spacing w:after="40"/>
        <w:ind w:left="288"/>
      </w:pPr>
      <w:r>
        <w:t>The authenticated context, never a client-supplied field, sets tenant ownership.</w:t>
      </w:r>
    </w:p>
    <w:p>
      <w:pPr>
        <w:pStyle w:val="ListBullet"/>
        <w:spacing w:after="40"/>
        <w:ind w:left="288"/>
      </w:pPr>
      <w:r>
        <w:t>Operational records use stable identifiers and immutable history; human-readable numbers are additional references.</w:t>
      </w:r>
    </w:p>
    <w:p>
      <w:pPr>
        <w:pStyle w:val="ListBullet"/>
        <w:spacing w:after="40"/>
        <w:ind w:left="288"/>
      </w:pPr>
      <w:r>
        <w:t>Documents and media use tenant-scoped storage paths and database-owned metadata.</w:t>
      </w:r>
    </w:p>
    <w:p>
      <w:pPr>
        <w:pStyle w:val="ListBullet"/>
        <w:spacing w:after="40"/>
        <w:ind w:left="288"/>
      </w:pPr>
      <w:r>
        <w:t>Critical state changes append events rather than erasing prior state.</w:t>
      </w:r>
    </w:p>
    <w:p>
      <w:pPr>
        <w:pStyle w:val="Heading1"/>
      </w:pPr>
      <w:r>
        <w:t>10. Technical Architecture</w:t>
      </w:r>
    </w:p>
    <w:p>
      <w:pPr>
        <w:pStyle w:val="Heading2"/>
      </w:pPr>
      <w:r>
        <w:t>10.1 Target pattern</w:t>
      </w:r>
    </w:p>
    <w:p>
      <w:pPr>
        <w:pStyle w:val="ListBullet"/>
        <w:spacing w:after="40"/>
        <w:ind w:left="288"/>
      </w:pPr>
      <w:r>
        <w:t>A modular monolith is the preferred initial production architecture: clear domain modules, shared platform services and one deployable backend where practical.</w:t>
      </w:r>
    </w:p>
    <w:p>
      <w:pPr>
        <w:pStyle w:val="ListBullet"/>
        <w:spacing w:after="40"/>
        <w:ind w:left="288"/>
      </w:pPr>
      <w:r>
        <w:t>Frontends call versioned APIs through an authenticated gateway. They do not directly implement authoritative business decisions.</w:t>
      </w:r>
    </w:p>
    <w:p>
      <w:pPr>
        <w:pStyle w:val="ListBullet"/>
        <w:spacing w:after="40"/>
        <w:ind w:left="288"/>
      </w:pPr>
      <w:r>
        <w:t>Side effects are emitted as domain events and handled asynchronously where appropriate.</w:t>
      </w:r>
    </w:p>
    <w:p>
      <w:pPr>
        <w:pStyle w:val="ListBullet"/>
        <w:spacing w:after="40"/>
        <w:ind w:left="288"/>
      </w:pPr>
      <w:r>
        <w:t>Background jobs, notification delivery, report generation and integration sync are isolated from interactive requests.</w:t>
      </w:r>
    </w:p>
    <w:p>
      <w:pPr>
        <w:pStyle w:val="ListBullet"/>
        <w:spacing w:after="40"/>
        <w:ind w:left="288"/>
      </w:pPr>
      <w:r>
        <w:t>Service extraction occurs only when scale, ownership, security or reliability evidence justifies it.</w:t>
      </w:r>
    </w:p>
    <w:p>
      <w:pPr>
        <w:pStyle w:val="Heading2"/>
      </w:pPr>
      <w:r>
        <w:t>10.2 API conventions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Convention</w:t>
            </w:r>
          </w:p>
        </w:tc>
        <w:tc>
          <w:tcPr>
            <w:tcW w:type="dxa" w:w="756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Versioning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 /api/v1. Breaking changes use a new version and published deprecation window.</w:t>
            </w:r>
          </w:p>
        </w:tc>
      </w:tr>
      <w:tr>
        <w:tc>
          <w:tcPr>
            <w:tcW w:type="dxa" w:w="20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Idempotency</w:t>
            </w:r>
          </w:p>
        </w:tc>
        <w:tc>
          <w:tcPr>
            <w:tcW w:type="dxa" w:w="75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Create and replay-sensitive writes accept Idempotency-Key and return the original result for retries.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Pagination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All list endpoints use bounded cursor pagination.</w:t>
            </w:r>
          </w:p>
        </w:tc>
      </w:tr>
      <w:tr>
        <w:tc>
          <w:tcPr>
            <w:tcW w:type="dxa" w:w="20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Error shape</w:t>
            </w:r>
          </w:p>
        </w:tc>
        <w:tc>
          <w:tcPr>
            <w:tcW w:type="dxa" w:w="75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{"error":"machine_code","message":"human text","details":[...]}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Tenancy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Tenant is derived from authenticated membership; endpoints never trust a client tenant_id.</w:t>
            </w:r>
          </w:p>
        </w:tc>
      </w:tr>
      <w:tr>
        <w:tc>
          <w:tcPr>
            <w:tcW w:type="dxa" w:w="20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Validation</w:t>
            </w:r>
          </w:p>
        </w:tc>
        <w:tc>
          <w:tcPr>
            <w:tcW w:type="dxa" w:w="75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Schema, permissions, ownership, state and business rules are checked at the API boundary.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Concurrency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 optimistic concurrency/version checks for material operational updates.</w:t>
            </w:r>
          </w:p>
        </w:tc>
      </w:tr>
      <w:tr>
        <w:tc>
          <w:tcPr>
            <w:tcW w:type="dxa" w:w="20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Observability</w:t>
            </w:r>
          </w:p>
        </w:tc>
        <w:tc>
          <w:tcPr>
            <w:tcW w:type="dxa" w:w="75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Every request carries a correlation ID and produces structured logs and metrics.</w:t>
            </w:r>
          </w:p>
        </w:tc>
      </w:tr>
    </w:tbl>
    <w:p/>
    <w:p>
      <w:pPr>
        <w:pStyle w:val="Heading2"/>
      </w:pPr>
      <w:r>
        <w:t>10.3 Event architecture</w:t>
      </w:r>
    </w:p>
    <w:p>
      <w:pPr>
        <w:pStyle w:val="ListBullet"/>
        <w:spacing w:after="40"/>
        <w:ind w:left="288"/>
      </w:pPr>
      <w:r>
        <w:t>Material writes emit durable domain events with tenant, actor, resource, prior/new state, correlation and causation identifiers.</w:t>
      </w:r>
    </w:p>
    <w:p>
      <w:pPr>
        <w:pStyle w:val="ListBullet"/>
        <w:spacing w:after="40"/>
        <w:ind w:left="288"/>
      </w:pPr>
      <w:r>
        <w:t>Consumers are idempotent, retry safely and send exhausted failures to a dead-letter process.</w:t>
      </w:r>
    </w:p>
    <w:p>
      <w:pPr>
        <w:pStyle w:val="ListBullet"/>
        <w:spacing w:after="40"/>
        <w:ind w:left="288"/>
      </w:pPr>
      <w:r>
        <w:t>Notifications are downstream effects and never become authoritative operational state.</w:t>
      </w:r>
    </w:p>
    <w:p>
      <w:pPr>
        <w:pStyle w:val="ListBullet"/>
        <w:spacing w:after="40"/>
        <w:ind w:left="288"/>
      </w:pPr>
      <w:r>
        <w:t>Outbox or equivalent atomic publication prevents database commits without corresponding events.</w:t>
      </w:r>
    </w:p>
    <w:p>
      <w:pPr>
        <w:pStyle w:val="Heading1"/>
      </w:pPr>
      <w:r>
        <w:t>11. Security, Privacy and Isolation</w:t>
      </w:r>
    </w:p>
    <w:p>
      <w:pPr>
        <w:pStyle w:val="ListBullet"/>
        <w:spacing w:after="40"/>
        <w:ind w:left="288"/>
      </w:pPr>
      <w:r>
        <w:t>Deny by default at gateway, application scope, permission, tenant, depot/resource and state levels.</w:t>
      </w:r>
    </w:p>
    <w:p>
      <w:pPr>
        <w:pStyle w:val="ListBullet"/>
        <w:spacing w:after="40"/>
        <w:ind w:left="288"/>
      </w:pPr>
      <w:r>
        <w:t>Use MFA and secure recovery for privileged users; support biometric unlock on supported mobile devices without replacing server authentication.</w:t>
      </w:r>
    </w:p>
    <w:p>
      <w:pPr>
        <w:pStyle w:val="ListBullet"/>
        <w:spacing w:after="40"/>
        <w:ind w:left="288"/>
      </w:pPr>
      <w:r>
        <w:t>Secrets are held in managed secret stores, rotated, environment-specific and absent from repositories, archives and client bundles.</w:t>
      </w:r>
    </w:p>
    <w:p>
      <w:pPr>
        <w:pStyle w:val="ListBullet"/>
        <w:spacing w:after="40"/>
        <w:ind w:left="288"/>
      </w:pPr>
      <w:r>
        <w:t>Files use private storage, tenant-scoped paths, short-lived signed access and purpose checks.</w:t>
      </w:r>
    </w:p>
    <w:p>
      <w:pPr>
        <w:pStyle w:val="ListBullet"/>
        <w:spacing w:after="40"/>
        <w:ind w:left="288"/>
      </w:pPr>
      <w:r>
        <w:t>Personal information is minimised by role and screen; safeguarding and health-related information receives additional restrictions.</w:t>
      </w:r>
    </w:p>
    <w:p>
      <w:pPr>
        <w:pStyle w:val="ListBullet"/>
        <w:spacing w:after="40"/>
        <w:ind w:left="288"/>
      </w:pPr>
      <w:r>
        <w:t>UK GDPR-aligned retention, access, export, rectification and deletion processes are designed per data category, with legal/audit holds where required.</w:t>
      </w:r>
    </w:p>
    <w:p>
      <w:pPr>
        <w:pStyle w:val="ListBullet"/>
        <w:spacing w:after="40"/>
        <w:ind w:left="288"/>
      </w:pPr>
      <w:r>
        <w:t>Production access is logged, reviewed and time-limited. Direct database edits are prohibited except controlled break-glass recovery.</w:t>
      </w:r>
    </w:p>
    <w:p>
      <w:pPr>
        <w:pStyle w:val="Heading1"/>
      </w:pPr>
      <w:r>
        <w:t>12. Offline, Mobile and Device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88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Driver offline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Checks, duty actions, messages and closeout queue locally with encrypted storage, visible pending state and idempotent replay.</w:t>
            </w:r>
          </w:p>
        </w:tc>
      </w:tr>
      <w:tr>
        <w:tc>
          <w:tcPr>
            <w:tcW w:type="dxa" w:w="21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Yard offline</w:t>
            </w:r>
          </w:p>
        </w:tc>
        <w:tc>
          <w:tcPr>
            <w:tcW w:type="dxa" w:w="74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Checks, damage, movement, equipment and task actions queue safely and revalidate on reconnect.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Conflict handling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Server returns explicit accepted, rejected or conflict outcomes; the app never displays false success.</w:t>
            </w:r>
          </w:p>
        </w:tc>
      </w:tr>
      <w:tr>
        <w:tc>
          <w:tcPr>
            <w:tcW w:type="dxa" w:w="21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Media</w:t>
            </w:r>
          </w:p>
        </w:tc>
        <w:tc>
          <w:tcPr>
            <w:tcW w:type="dxa" w:w="74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Uploads queue independently, preserve local references and link only after secure server confirmation.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Device security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Secure storage, app lock, remote session revocation, no secrets in logs, and privacy-aware notification previews.</w:t>
            </w:r>
          </w:p>
        </w:tc>
      </w:tr>
      <w:tr>
        <w:tc>
          <w:tcPr>
            <w:tcW w:type="dxa" w:w="21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Location</w:t>
            </w:r>
          </w:p>
        </w:tc>
        <w:tc>
          <w:tcPr>
            <w:tcW w:type="dxa" w:w="74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Permission and freshness are visible; background collection is limited to authorised operational purpose.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Diagnostics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User can see app version, connectivity, queue state, permissions and support information.</w:t>
            </w:r>
          </w:p>
        </w:tc>
      </w:tr>
    </w:tbl>
    <w:p/>
    <w:p>
      <w:pPr>
        <w:pStyle w:val="Heading1"/>
      </w:pPr>
      <w:r>
        <w:t>13. Notifications and Communication</w:t>
      </w:r>
    </w:p>
    <w:p>
      <w:pPr>
        <w:pStyle w:val="ListBullet"/>
        <w:spacing w:after="40"/>
        <w:ind w:left="288"/>
      </w:pPr>
      <w:r>
        <w:t>Use operational threads for two-way work communication, announcements for broad notices and alerts for urgent conditions.</w:t>
      </w:r>
    </w:p>
    <w:p>
      <w:pPr>
        <w:pStyle w:val="ListBullet"/>
        <w:spacing w:after="40"/>
        <w:ind w:left="288"/>
      </w:pPr>
      <w:r>
        <w:t>Required-read messages record delivery, presentation and acknowledgement separately.</w:t>
      </w:r>
    </w:p>
    <w:p>
      <w:pPr>
        <w:pStyle w:val="ListBullet"/>
        <w:spacing w:after="40"/>
        <w:ind w:left="288"/>
      </w:pPr>
      <w:r>
        <w:t>Templates are tenant-configurable but system safety content may be protected.</w:t>
      </w:r>
    </w:p>
    <w:p>
      <w:pPr>
        <w:pStyle w:val="ListBullet"/>
        <w:spacing w:after="40"/>
        <w:ind w:left="288"/>
      </w:pPr>
      <w:r>
        <w:t>Channel selection considers urgency, user preference, legal basis, quiet hours and fallback.</w:t>
      </w:r>
    </w:p>
    <w:p>
      <w:pPr>
        <w:pStyle w:val="ListBullet"/>
        <w:spacing w:after="40"/>
        <w:ind w:left="288"/>
      </w:pPr>
      <w:r>
        <w:t>Notification failures are observable and retryable; a notification never changes the underlying business state.</w:t>
      </w:r>
    </w:p>
    <w:p>
      <w:pPr>
        <w:pStyle w:val="ListBullet"/>
        <w:spacing w:after="40"/>
        <w:ind w:left="288"/>
      </w:pPr>
      <w:r>
        <w:t>Affected drivers, controllers, customers and other roles are notified when assignments, stops, times, vehicles or service status materially change.</w:t>
      </w:r>
    </w:p>
    <w:p>
      <w:pPr>
        <w:pStyle w:val="Heading1"/>
      </w:pPr>
      <w:r>
        <w:t>14. Reporting, Intelligence and Audit</w:t>
      </w:r>
    </w:p>
    <w:p>
      <w:pPr>
        <w:pStyle w:val="ListBullet"/>
        <w:spacing w:after="40"/>
        <w:ind w:left="288"/>
      </w:pPr>
      <w:r>
        <w:t>Operational reports read from authoritative domain data and show freshness, filters and applied definitions.</w:t>
      </w:r>
    </w:p>
    <w:p>
      <w:pPr>
        <w:pStyle w:val="ListBullet"/>
        <w:spacing w:after="40"/>
        <w:ind w:left="288"/>
      </w:pPr>
      <w:r>
        <w:t>Audit log is immutable, tenant-scoped, filterable and exportable only with permission.</w:t>
      </w:r>
    </w:p>
    <w:p>
      <w:pPr>
        <w:pStyle w:val="ListBullet"/>
        <w:spacing w:after="40"/>
        <w:ind w:left="288"/>
      </w:pPr>
      <w:r>
        <w:t>Compliance packs assemble evidence without altering originals.</w:t>
      </w:r>
    </w:p>
    <w:p>
      <w:pPr>
        <w:pStyle w:val="ListBullet"/>
        <w:spacing w:after="40"/>
        <w:ind w:left="288"/>
      </w:pPr>
      <w:r>
        <w:t>Performance measures distinguish planned, revised and actual outcomes.</w:t>
      </w:r>
    </w:p>
    <w:p>
      <w:pPr>
        <w:pStyle w:val="ListBullet"/>
        <w:spacing w:after="40"/>
        <w:ind w:left="288"/>
      </w:pPr>
      <w:r>
        <w:t>Intelligence and recommendations are deferred until core operational truth, Gate 2 data quality and auditability are established.</w:t>
      </w:r>
    </w:p>
    <w:p>
      <w:pPr>
        <w:pStyle w:val="ListBullet"/>
        <w:spacing w:after="40"/>
        <w:ind w:left="288"/>
      </w:pPr>
      <w:r>
        <w:t>Automated scoring must expose inputs, rule version and reason; it must not silently make high-risk decisions.</w:t>
      </w:r>
    </w:p>
    <w:p>
      <w:pPr>
        <w:pStyle w:val="Heading1"/>
      </w:pPr>
      <w:r>
        <w:t>15. Integrations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23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Integration domain</w:t>
            </w:r>
          </w:p>
        </w:tc>
        <w:tc>
          <w:tcPr>
            <w:tcW w:type="dxa" w:w="741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Boundary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Identity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OIDC/SAML where required; secure invitation and lifecycle provisioning.</w:t>
            </w:r>
          </w:p>
        </w:tc>
      </w:tr>
      <w:tr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Communications</w:t>
            </w:r>
          </w:p>
        </w:tc>
        <w:tc>
          <w:tcPr>
            <w:tcW w:type="dxa" w:w="74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Email, SMS and push providers with delivery events.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Payments and billing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Subscription billing and optional customer payment workflows.</w:t>
            </w:r>
          </w:p>
        </w:tc>
      </w:tr>
      <w:tr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Vehicle data</w:t>
            </w:r>
          </w:p>
        </w:tc>
        <w:tc>
          <w:tcPr>
            <w:tcW w:type="dxa" w:w="74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Telematics, mileage, location, fuel/energy and diagnostics.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Tachograph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Driver card and vehicle-unit data through approved providers for operators that require tachograph compliance.</w:t>
            </w:r>
          </w:p>
        </w:tc>
      </w:tr>
      <w:tr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Compliance</w:t>
            </w:r>
          </w:p>
        </w:tc>
        <w:tc>
          <w:tcPr>
            <w:tcW w:type="dxa" w:w="74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Licence/check services, document verification and external inspection uploads.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Finance/export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Accounting, invoicing, payroll/time and funding exports rather than replacing specialist systems.</w:t>
            </w:r>
          </w:p>
        </w:tc>
      </w:tr>
      <w:tr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Calendar/import</w:t>
            </w:r>
          </w:p>
        </w:tc>
        <w:tc>
          <w:tcPr>
            <w:tcW w:type="dxa" w:w="74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School terms, public holidays, customer rosters and controlled CSV/API import.</w:t>
            </w:r>
          </w:p>
        </w:tc>
      </w:tr>
    </w:tbl>
    <w:p/>
    <w:p>
      <w:pPr>
        <w:pStyle w:val="ListBullet"/>
        <w:spacing w:after="40"/>
        <w:ind w:left="288"/>
      </w:pPr>
      <w:r>
        <w:t>Integration credentials are hashed or held in a secret store, scoped, revocable and auditable.</w:t>
      </w:r>
    </w:p>
    <w:p>
      <w:pPr>
        <w:pStyle w:val="ListBullet"/>
        <w:spacing w:after="40"/>
        <w:ind w:left="288"/>
      </w:pPr>
      <w:r>
        <w:t>Inbound data is validated, tenant-mapped and quarantined when ownership is ambiguous.</w:t>
      </w:r>
    </w:p>
    <w:p>
      <w:pPr>
        <w:pStyle w:val="ListBullet"/>
        <w:spacing w:after="40"/>
        <w:ind w:left="288"/>
      </w:pPr>
      <w:r>
        <w:t>Integrations never bypass domain rules or write directly to protected tables.</w:t>
      </w:r>
    </w:p>
    <w:p>
      <w:pPr>
        <w:pStyle w:val="Heading1"/>
      </w:pPr>
      <w:r>
        <w:t>16. UX and Design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Token</w:t>
            </w:r>
          </w:p>
        </w:tc>
        <w:tc>
          <w:tcPr>
            <w:tcW w:type="dxa" w:w="763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#4A8FA3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Primary teal: trust, platform identity, headings and key navigation.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#7AB82E</w:t>
            </w:r>
          </w:p>
        </w:tc>
        <w:tc>
          <w:tcPr>
            <w:tcW w:type="dxa" w:w="76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Lime: primary action and positive operational state.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#8EC63F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Supporting green: onboarding and success emphasis.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#173E48</w:t>
            </w:r>
          </w:p>
        </w:tc>
        <w:tc>
          <w:tcPr>
            <w:tcW w:type="dxa" w:w="76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Deep teal: high-contrast text and professional surfaces.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Neutral greys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Backgrounds, borders, disabled states and dense operational data.</w:t>
            </w:r>
          </w:p>
        </w:tc>
      </w:tr>
    </w:tbl>
    <w:p/>
    <w:p>
      <w:pPr>
        <w:pStyle w:val="ListBullet"/>
        <w:spacing w:after="40"/>
        <w:ind w:left="288"/>
      </w:pPr>
      <w:r>
        <w:t>Use plain operational language and one dominant action per screen.</w:t>
      </w:r>
    </w:p>
    <w:p>
      <w:pPr>
        <w:pStyle w:val="ListBullet"/>
        <w:spacing w:after="40"/>
        <w:ind w:left="288"/>
      </w:pPr>
      <w:r>
        <w:t>Do not use colour alone for status; pair colour with icon, text and accessible contrast.</w:t>
      </w:r>
    </w:p>
    <w:p>
      <w:pPr>
        <w:pStyle w:val="ListBullet"/>
        <w:spacing w:after="40"/>
        <w:ind w:left="288"/>
      </w:pPr>
      <w:r>
        <w:t>Frontline forms use large touch targets, progress, autosave, camera-first evidence and visible offline status.</w:t>
      </w:r>
    </w:p>
    <w:p>
      <w:pPr>
        <w:pStyle w:val="ListBullet"/>
        <w:spacing w:after="40"/>
        <w:ind w:left="288"/>
      </w:pPr>
      <w:r>
        <w:t>Admin tables support search, filters, saved views, bulk actions and links to related records.</w:t>
      </w:r>
    </w:p>
    <w:p>
      <w:pPr>
        <w:pStyle w:val="ListBullet"/>
        <w:spacing w:after="40"/>
        <w:ind w:left="288"/>
      </w:pPr>
      <w:r>
        <w:t>Wizards reveal complexity progressively and explain why information is needed.</w:t>
      </w:r>
    </w:p>
    <w:p>
      <w:pPr>
        <w:pStyle w:val="ListBullet"/>
        <w:spacing w:after="40"/>
        <w:ind w:left="288"/>
      </w:pPr>
      <w:r>
        <w:t>Every blocked action explains the failed gate and responsible team or action needed to resolve it.</w:t>
      </w:r>
    </w:p>
    <w:p>
      <w:pPr>
        <w:pStyle w:val="ListBullet"/>
        <w:spacing w:after="40"/>
        <w:ind w:left="288"/>
      </w:pPr>
      <w:r>
        <w:t>Meet WCAG 2.2 AA as the target for user-facing applications.</w:t>
      </w:r>
    </w:p>
    <w:p>
      <w:pPr>
        <w:pStyle w:val="Heading1"/>
      </w:pPr>
      <w:r>
        <w:t>17. Non-Functional Requirements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Quality</w:t>
            </w:r>
          </w:p>
        </w:tc>
        <w:tc>
          <w:tcPr>
            <w:tcW w:type="dxa" w:w="763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Target requirement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Availability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Operational services designed for high availability, graceful degradation and published status.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Performance</w:t>
            </w:r>
          </w:p>
        </w:tc>
        <w:tc>
          <w:tcPr>
            <w:tcW w:type="dxa" w:w="76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Common pages remain responsive under realistic tenant volumes; live updates avoid uncontrolled polling.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Scalability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Tenant, depot, user and vehicle growth without redesigning ownership boundaries.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Accessibility</w:t>
            </w:r>
          </w:p>
        </w:tc>
        <w:tc>
          <w:tcPr>
            <w:tcW w:type="dxa" w:w="76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WCAG 2.2 AA target with keyboard, screen-reader, contrast and touch support.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Privacy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UK GDPR-aligned minimisation, retention, access, export and deletion workflows.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Resilience</w:t>
            </w:r>
          </w:p>
        </w:tc>
        <w:tc>
          <w:tcPr>
            <w:tcW w:type="dxa" w:w="76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Backups, point-in-time recovery, tested restore, retry/dead-letter handling and mobile continuity.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Observability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Actionable monitoring for API, sync, notifications, security, queues and integrations.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Maintainability</w:t>
            </w:r>
          </w:p>
        </w:tc>
        <w:tc>
          <w:tcPr>
            <w:tcW w:type="dxa" w:w="76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Typed contracts, modular domains, automated tests, migration discipline and documented ownership.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Recoverability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Published RPO/RTO targets by service tier and periodic recovery exercises.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Compatibility</w:t>
            </w:r>
          </w:p>
        </w:tc>
        <w:tc>
          <w:tcPr>
            <w:tcW w:type="dxa" w:w="76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Supported browser/OS/device matrix and minimum app-version policy.</w:t>
            </w:r>
          </w:p>
        </w:tc>
      </w:tr>
    </w:tbl>
    <w:p/>
    <w:p>
      <w:pPr>
        <w:pStyle w:val="Heading1"/>
      </w:pPr>
      <w:r>
        <w:t>18. Veyvio Hard Rules — F-01 to F-35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432"/>
      </w:tblGrid>
      <w:tr>
        <w:tc>
          <w:tcPr>
            <w:tcW w:type="dxa" w:w="5040"/>
            <w:shd w:fill="B42318"/>
          </w:tcPr>
          <w:p/>
        </w:tc>
        <w:tc>
          <w:tcPr>
            <w:tcW w:type="dxa" w:w="5040"/>
            <w:shd w:fill="FFF1F0"/>
          </w:tcPr>
          <w:p>
            <w:r/>
            <w:r>
              <w:rPr>
                <w:b/>
                <w:color w:val="173E48"/>
                <w:sz w:val="20"/>
              </w:rPr>
              <w:t>Non-negotiable</w:t>
            </w:r>
          </w:p>
          <w:p>
            <w:pPr>
              <w:spacing w:after="20"/>
            </w:pPr>
            <w:r>
              <w:rPr>
                <w:sz w:val="18"/>
              </w:rPr>
              <w:t>These rules are stop-ship architecture and operating controls. A rule may only be waived through a named, time-limited risk acceptance with compensating controls and an expiry date.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691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ID</w:t>
            </w:r>
          </w:p>
        </w:tc>
        <w:tc>
          <w:tcPr>
            <w:tcW w:type="dxa" w:w="252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Rule</w:t>
            </w:r>
          </w:p>
        </w:tc>
        <w:tc>
          <w:tcPr>
            <w:tcW w:type="dxa" w:w="576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Mandatory interpretation</w:t>
            </w:r>
          </w:p>
        </w:tc>
        <w:tc>
          <w:tcPr>
            <w:tcW w:type="dxa" w:w="79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3"/>
              </w:rPr>
              <w:t>Class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F-01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Deny by default and enforce application scopes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Every request is denied unless the authenticated user, app scope, tenant membership, permission, ownership and state checks explicitly permit it.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F-02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Structural tenant isolation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Tenant isolation applies to APIs, database, storage, searches, reports, events, notifications, background jobs, live subscriptions and integrations.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F-03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No mock or fallback production behaviour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Production never returns fixture data, empty-success placeholders, local operational truth or insecure legacy fallbacks.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F-04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Secure and rotate credentials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Secrets are environment-specific, managed, rotated, revocable and never committed, archived or shipped to clients.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F-05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Centralise business rules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Eligibility, readiness, compliance, pricing and workflow rules have a server-owned source and version.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F-06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Safety rules are hard gates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Unsafe or non-compliant assignments, sign-on, movement and return-to-service actions fail closed.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F-07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Overrides are never silent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Eligible overrides require permission, reason, scope, expiry where applicable and immutable audit.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F-08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Use explicit state machines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Duties, jobs, checks, incidents, work orders, VOR and other critical workflows permit only defined transitions.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F-09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Material writes produce domain events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Important changes emit durable, attributable, tenant-scoped events with correlation and causation.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F-10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Audit is immutable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Security, safety and material business history is append-only and cannot be rewritten by ordinary users.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F-11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Use granular permissions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Broad roles are templates; APIs enforce action-level permissions and resource scope.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F-12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Validate at every API boundary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Never trust client fields, calculations, identifiers, state, ownership or permissions.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Secure files and documents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Use private tenant paths, safe file validation, malware controls where needed and short-lived authorised access.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F-14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Secure integrations and API keys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Keys are scoped, hashed or secret-managed, revocable, rate-limited and audited.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F-15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Offline commands revalidate safely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Reconnect replay rechecks identity, tenant, permission, resource, state and safety; it never silently succeeds.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F-16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Privileged support access is temporary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Platform support access requires approval, purpose, expiry, least privilege and full audit.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F-17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Stop-ship tests run in CI and release gates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Isolation, auth, permission, storage, migration, rules and critical workflow tests block release.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F-18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One source of operational truth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Each operational fact has exactly one authoritative service and write path; mirrors and caches are never co-authoritative.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F-19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Everything belongs to an enforced tenant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All tenant-owned records, including media, messages, notifications, audit and derived data, carry enforced company ownership.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F-20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Enforce depot and resource boundaries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Users see and change only authorised depots, teams, vehicles, duties and records even inside the same company.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F-21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Safety beats convenience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Commercial pressure, deadlines, connectivity and user preference never weaken a safety or safeguarding gate.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F-22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No uncontrolled production database editing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Production changes use approved APIs, migrations or audited break-glass procedures; ordinary support never edits tables directly.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F-23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Every action is attributable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Material writes record actor, tenant, application, device/session, time, reason where required, and correlation context.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F-24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Time is consistent and authoritative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Store timestamps in UTC, use server time for decisions and retain relevant local timezone for display and legal context.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F-25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Operational history is retained safely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Use archive, cancellation and retention states; hard deletion of safety and operational evidence is restricted by policy and legal basis.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F-26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Media has integrity and provenance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Evidence records checksum, uploader, server receipt time, tenant, linked resource, capture metadata where permitted and transformation history.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F-27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Compliance is calculated from evidence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Users cannot simply mark a driver, vehicle or duty compliant; the platform evaluates configured rules and underlying evidence.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F-28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Every workflow has one accountable owner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Each state identifies responsible role, next action, escalation and closure evidence; stages cannot be skipped without an authorised transition.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F-29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Notifications never create business state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Messages and alerts report state changes; the domain record remains authoritative.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F-30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No critical capability depends on one client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Command remains authoritative without mobile devices; mobile apps continue safely offline within defined limits.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F-31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Unfinished or risky features use server-controlled flags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Feature exposure is tenant/app/environment controlled, auditable and reversible without shipping dead conditional code.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F-32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Assume the client is compromised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Permissions, validation, calculations and transitions are enforced server-side even when duplicated for user experience.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Red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F-33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Critical operations preserve an event history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Bookings, assignments, vehicle movements, VOR, checks and duty execution append history rather than overwriting the past.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F-34</w:t>
            </w:r>
          </w:p>
        </w:tc>
        <w:tc>
          <w:tcPr>
            <w:tcW w:type="dxa" w:w="252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Automation is explainable</w:t>
            </w:r>
          </w:p>
        </w:tc>
        <w:tc>
          <w:tcPr>
            <w:tcW w:type="dxa" w:w="57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Automatic decisions show the rule, inputs, time, outcome, owner and permitted review or override path.</w:t>
            </w:r>
          </w:p>
        </w:tc>
        <w:tc>
          <w:tcPr>
            <w:tcW w:type="dxa" w:w="7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  <w:tr>
        <w:tc>
          <w:tcPr>
            <w:tcW w:type="dxa" w:w="691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F-35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Blueprint and acceptance criteria precede production code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Material features require an approved workflow, data owner, API contract, permissions, audit behaviour, failure states and acceptance tests.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3"/>
              </w:rPr>
              <w:t>Amber</w:t>
            </w:r>
          </w:p>
        </w:tc>
      </w:tr>
    </w:tbl>
    <w:p/>
    <w:p>
      <w:pPr>
        <w:pStyle w:val="Heading2"/>
      </w:pPr>
      <w:r>
        <w:t>18.1 Hard Rule evidence standard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Evidence type</w:t>
            </w:r>
          </w:p>
        </w:tc>
        <w:tc>
          <w:tcPr>
            <w:tcW w:type="dxa" w:w="756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Minimum acceptable proof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Code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Named module, pull request and commit reference.</w:t>
            </w:r>
          </w:p>
        </w:tc>
      </w:tr>
      <w:tr>
        <w:tc>
          <w:tcPr>
            <w:tcW w:type="dxa" w:w="20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Test</w:t>
            </w:r>
          </w:p>
        </w:tc>
        <w:tc>
          <w:tcPr>
            <w:tcW w:type="dxa" w:w="75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Automated test name, CI run and pass date.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Deployment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Environment, migration/deployment record and version.</w:t>
            </w:r>
          </w:p>
        </w:tc>
      </w:tr>
      <w:tr>
        <w:tc>
          <w:tcPr>
            <w:tcW w:type="dxa" w:w="20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Live verification</w:t>
            </w:r>
          </w:p>
        </w:tc>
        <w:tc>
          <w:tcPr>
            <w:tcW w:type="dxa" w:w="75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API/UI evidence showing expected allow and deny behaviour.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Device verification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Named device/OS, scenario, result and operator sign-off.</w:t>
            </w:r>
          </w:p>
        </w:tc>
      </w:tr>
      <w:tr>
        <w:tc>
          <w:tcPr>
            <w:tcW w:type="dxa" w:w="208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Operational acceptance</w:t>
            </w:r>
          </w:p>
        </w:tc>
        <w:tc>
          <w:tcPr>
            <w:tcW w:type="dxa" w:w="756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Named product/operations owner and dated acceptance.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Waiver</w:t>
            </w:r>
          </w:p>
        </w:tc>
        <w:tc>
          <w:tcPr>
            <w:tcW w:type="dxa" w:w="756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Risk owner, justification, affected scope, compensating control, deadline and approver.</w:t>
            </w:r>
          </w:p>
        </w:tc>
      </w:tr>
    </w:tbl>
    <w:p/>
    <w:p>
      <w:pPr>
        <w:pStyle w:val="Heading1"/>
      </w:pPr>
      <w:r>
        <w:t>19. Delivery Roadmap and Production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5328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Scope</w:t>
            </w:r>
          </w:p>
        </w:tc>
        <w:tc>
          <w:tcPr>
            <w:tcW w:type="dxa" w:w="223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Exit outcome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Phase 0 — Control and discovery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Freeze uncontrolled feature growth; inventory pages, mock data, APIs, schemas, secrets, tenancy and legacy paths.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Audited baseline and prioritised backlog.</w:t>
            </w:r>
          </w:p>
        </w:tc>
      </w:tr>
      <w:tr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Phase 1 — Production foundation</w:t>
            </w:r>
          </w:p>
        </w:tc>
        <w:tc>
          <w:tcPr>
            <w:tcW w:type="dxa" w:w="532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Credentials, isolation, authentication, roles, audit, environment separation, CI, observability and file security.</w:t>
            </w:r>
          </w:p>
        </w:tc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Secure platform foundation.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Phase 2 — Core master data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Companies, depots, users, people, vehicles, customers, passengers, documents and onboarding.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Trusted shared records.</w:t>
            </w:r>
          </w:p>
        </w:tc>
      </w:tr>
      <w:tr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Phase 3 — Operations core</w:t>
            </w:r>
          </w:p>
        </w:tc>
        <w:tc>
          <w:tcPr>
            <w:tcW w:type="dxa" w:w="532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General booking, jobs, schedule, runs/trips, assignment, publishing and driver duty flow.</w:t>
            </w:r>
          </w:p>
        </w:tc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End-to-end operational service.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Phase 4 — Yard and fleet readiness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Standalone Yard, location/bays, tasks, checks, equipment, bodywork, VOR and upcoming.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Physical fleet control.</w:t>
            </w:r>
          </w:p>
        </w:tc>
      </w:tr>
      <w:tr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Phase 5 — Maintenance and compliance</w:t>
            </w:r>
          </w:p>
        </w:tc>
        <w:tc>
          <w:tcPr>
            <w:tcW w:type="dxa" w:w="532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Work orders, service plans, tyres, inspections, incidents, training and release gates.</w:t>
            </w:r>
          </w:p>
        </w:tc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Evidence-based safety system.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Phase 6 — Specialist services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Dial-a-Ride, School Routes, recurring transport and customer workflows.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Service-specific depth.</w:t>
            </w:r>
          </w:p>
        </w:tc>
      </w:tr>
      <w:tr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Phase 7 — Enterprise and integrations</w:t>
            </w:r>
          </w:p>
        </w:tc>
        <w:tc>
          <w:tcPr>
            <w:tcW w:type="dxa" w:w="532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Tachograph, compliance passports, audit packs, sustainability and partner APIs.</w:t>
            </w:r>
          </w:p>
        </w:tc>
        <w:tc>
          <w:tcPr>
            <w:tcW w:type="dxa" w:w="22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Enterprise readiness.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Phase 8 — Intelligence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Digital twin, forecasting and explainable recommendations after data-quality exit.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Trusted intelligence.</w:t>
            </w:r>
          </w:p>
        </w:tc>
      </w:tr>
    </w:tbl>
    <w:p/>
    <w:p>
      <w:pPr>
        <w:pStyle w:val="Heading2"/>
      </w:pPr>
      <w:r>
        <w:t>19.1 Release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05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Exit condition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Gate 0 — Baseline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Inventory, secrets, architecture, tenancy and mock-data audit complete.</w:t>
            </w:r>
          </w:p>
        </w:tc>
      </w:tr>
      <w:tr>
        <w:tc>
          <w:tcPr>
            <w:tcW w:type="dxa" w:w="25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Gate 1 — Controlled pilot foundation</w:t>
            </w:r>
          </w:p>
        </w:tc>
        <w:tc>
          <w:tcPr>
            <w:tcW w:type="dxa" w:w="705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Red security rules operational; closed-loop pilot duty; Android and iOS physical sign-off; no false sync.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Gate 2 — Operational completeness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Command, Driver, Yard and core fleet workflows integrated; rules, events, audit and reporting evidence.</w:t>
            </w:r>
          </w:p>
        </w:tc>
      </w:tr>
      <w:tr>
        <w:tc>
          <w:tcPr>
            <w:tcW w:type="dxa" w:w="25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Gate 3 — Store readiness</w:t>
            </w:r>
          </w:p>
        </w:tc>
        <w:tc>
          <w:tcPr>
            <w:tcW w:type="dxa" w:w="705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Identity, signing, privacy disclosures, permissions, accessibility, crash/telemetry and store assets approved.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Gate 4 — Pilot acceptance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BCT/selected operator completes defined live scenarios, recovery drill and operational sign-off.</w:t>
            </w:r>
          </w:p>
        </w:tc>
      </w:tr>
      <w:tr>
        <w:tc>
          <w:tcPr>
            <w:tcW w:type="dxa" w:w="259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Gate 5 — Second-tenant readiness</w:t>
            </w:r>
          </w:p>
        </w:tc>
        <w:tc>
          <w:tcPr>
            <w:tcW w:type="dxa" w:w="705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Independent company onboarding and comprehensive isolation evidence; no tenant-specific shortcuts.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Gate 6 — Commercial SaaS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Support, billing, SLAs, monitoring, incident response, data lifecycle and contractual readiness.</w:t>
            </w:r>
          </w:p>
        </w:tc>
      </w:tr>
    </w:tbl>
    <w:p/>
    <w:p>
      <w:pPr>
        <w:pStyle w:val="Heading1"/>
      </w:pPr>
      <w:r>
        <w:t>20. Definition of Done and Release Verdicts</w:t>
      </w:r>
    </w:p>
    <w:p>
      <w:pPr>
        <w:pStyle w:val="Heading2"/>
      </w:pPr>
      <w:r>
        <w:t>20.1 Capability status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763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Designed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Workflow, terminology, owner, states and acceptance criteria approved.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Implemented</w:t>
            </w:r>
          </w:p>
        </w:tc>
        <w:tc>
          <w:tcPr>
            <w:tcW w:type="dxa" w:w="76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Code exists and is reviewed.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Integrated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Frontend, API, database, events and dependencies are connected.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Tested</w:t>
            </w:r>
          </w:p>
        </w:tc>
        <w:tc>
          <w:tcPr>
            <w:tcW w:type="dxa" w:w="76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Required automated tests pass.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Deployed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Present in the intended environment.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Verified</w:t>
            </w:r>
          </w:p>
        </w:tc>
        <w:tc>
          <w:tcPr>
            <w:tcW w:type="dxa" w:w="76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Live behaviour, failure states and permissions are confirmed.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Device verified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Required physical-device scenarios pass.</w:t>
            </w:r>
          </w:p>
        </w:tc>
      </w:tr>
      <w:tr>
        <w:tc>
          <w:tcPr>
            <w:tcW w:type="dxa" w:w="201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Accepted</w:t>
            </w:r>
          </w:p>
        </w:tc>
        <w:tc>
          <w:tcPr>
            <w:tcW w:type="dxa" w:w="763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Product and operational owner signs off.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Complete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Every required stage above is satisfied and evidence is linked.</w:t>
            </w:r>
          </w:p>
        </w:tc>
      </w:tr>
    </w:tbl>
    <w:p/>
    <w:p>
      <w:pPr>
        <w:pStyle w:val="Heading2"/>
      </w:pPr>
      <w:r>
        <w:t>20.2 Release verdicts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Verdict</w:t>
            </w:r>
          </w:p>
        </w:tc>
        <w:tc>
          <w:tcPr>
            <w:tcW w:type="dxa" w:w="727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Prototype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Useful UI/domain behaviour; not suitable for operational reliance.</w:t>
            </w:r>
          </w:p>
        </w:tc>
      </w:tr>
      <w:tr>
        <w:tc>
          <w:tcPr>
            <w:tcW w:type="dxa" w:w="237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Controlled internal test</w:t>
            </w:r>
          </w:p>
        </w:tc>
        <w:tc>
          <w:tcPr>
            <w:tcW w:type="dxa" w:w="727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Restricted users and test data; known gaps and rollback available.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Controlled pilot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Named company, routes and users; defined operational support and signed risk controls.</w:t>
            </w:r>
          </w:p>
        </w:tc>
      </w:tr>
      <w:tr>
        <w:tc>
          <w:tcPr>
            <w:tcW w:type="dxa" w:w="237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Store pilot</w:t>
            </w:r>
          </w:p>
        </w:tc>
        <w:tc>
          <w:tcPr>
            <w:tcW w:type="dxa" w:w="727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Signed mobile distribution with privacy, device and crash evidence; still limited operator scope.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Second-tenant onboarding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Isolation, entitlements and configuration proven with an independent company.</w:t>
            </w:r>
          </w:p>
        </w:tc>
      </w:tr>
      <w:tr>
        <w:tc>
          <w:tcPr>
            <w:tcW w:type="dxa" w:w="237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Commercial multi-tenant SaaS</w:t>
            </w:r>
          </w:p>
        </w:tc>
        <w:tc>
          <w:tcPr>
            <w:tcW w:type="dxa" w:w="727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Production support, security, recovery, billing, legal/data processes and all mandatory gates complete.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432"/>
      </w:tblGrid>
      <w:tr>
        <w:tc>
          <w:tcPr>
            <w:tcW w:type="dxa" w:w="5040"/>
            <w:shd w:fill="B54708"/>
          </w:tcPr>
          <w:p/>
        </w:tc>
        <w:tc>
          <w:tcPr>
            <w:tcW w:type="dxa" w:w="5040"/>
            <w:shd w:fill="FFF8E8"/>
          </w:tcPr>
          <w:p>
            <w:r/>
            <w:r>
              <w:rPr>
                <w:b/>
                <w:color w:val="173E48"/>
                <w:sz w:val="20"/>
              </w:rPr>
              <w:t>No percentage completion</w:t>
            </w:r>
          </w:p>
          <w:p>
            <w:pPr>
              <w:spacing w:after="20"/>
            </w:pPr>
            <w:r>
              <w:rPr>
                <w:sz w:val="18"/>
              </w:rPr>
              <w:t>Approximate values such as 70% or 85% are not release evidence. Use the status model above and link objective proof.</w:t>
            </w:r>
          </w:p>
        </w:tc>
      </w:tr>
    </w:tbl>
    <w:p/>
    <w:p>
      <w:pPr>
        <w:pStyle w:val="Heading1"/>
      </w:pPr>
      <w:r>
        <w:t>21. Decisions, Risks and Open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224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468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Required decision/action</w:t>
            </w:r>
          </w:p>
        </w:tc>
        <w:tc>
          <w:tcPr>
            <w:tcW w:type="dxa" w:w="93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1368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Owner</w:t>
            </w:r>
          </w:p>
        </w:tc>
        <w:tc>
          <w:tcPr>
            <w:tcW w:type="dxa" w:w="1440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Deadline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TD-010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Retire PHV direct jobs/job_stops writes and make Command the sole authoritative job execution path.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High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Engineering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Before Gate 2 exit</w:t>
            </w:r>
          </w:p>
        </w:tc>
      </w:tr>
      <w:tr>
        <w:tc>
          <w:tcPr>
            <w:tcW w:type="dxa" w:w="122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F-02 depth</w:t>
            </w:r>
          </w:p>
        </w:tc>
        <w:tc>
          <w:tcPr>
            <w:tcW w:type="dxa" w:w="468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Complete endpoint/table/storage/event/background-job tenant-isolation coverage, not only smoke routes.</w:t>
            </w:r>
          </w:p>
        </w:tc>
        <w:tc>
          <w:tcPr>
            <w:tcW w:type="dxa" w:w="93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Critical</w:t>
            </w:r>
          </w:p>
        </w:tc>
        <w:tc>
          <w:tcPr>
            <w:tcW w:type="dxa" w:w="136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Security/Engineering</w:t>
            </w:r>
          </w:p>
        </w:tc>
        <w:tc>
          <w:tcPr>
            <w:tcW w:type="dxa" w:w="144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Before second tenant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F-03 depth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Inventory and remove or block remaining production mock, fallback and legacy runtime paths.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Critical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Engineering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Before public production</w:t>
            </w:r>
          </w:p>
        </w:tc>
      </w:tr>
      <w:tr>
        <w:tc>
          <w:tcPr>
            <w:tcW w:type="dxa" w:w="122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iOS physical sign-off</w:t>
            </w:r>
          </w:p>
        </w:tc>
        <w:tc>
          <w:tcPr>
            <w:tcW w:type="dxa" w:w="468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Complete login, biometrics, duty, offline/sync, media, push and closeout checks on supported iPhone.</w:t>
            </w:r>
          </w:p>
        </w:tc>
        <w:tc>
          <w:tcPr>
            <w:tcW w:type="dxa" w:w="93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High</w:t>
            </w:r>
          </w:p>
        </w:tc>
        <w:tc>
          <w:tcPr>
            <w:tcW w:type="dxa" w:w="136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Mobile/Operations</w:t>
            </w:r>
          </w:p>
        </w:tc>
        <w:tc>
          <w:tcPr>
            <w:tcW w:type="dxa" w:w="144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Before Gate 1 exit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Manual device UI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Eyes-on verification of sync, handback, push, blocked states and recovery.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High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Product/Operations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Before pilot acceptance</w:t>
            </w:r>
          </w:p>
        </w:tc>
      </w:tr>
      <w:tr>
        <w:tc>
          <w:tcPr>
            <w:tcW w:type="dxa" w:w="1224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Companion blueprints</w:t>
            </w:r>
          </w:p>
        </w:tc>
        <w:tc>
          <w:tcPr>
            <w:tcW w:type="dxa" w:w="468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Create full Command, Driver, Yard and Maintenance implementation blueprints referencing this document.</w:t>
            </w:r>
          </w:p>
        </w:tc>
        <w:tc>
          <w:tcPr>
            <w:tcW w:type="dxa" w:w="93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Medium</w:t>
            </w:r>
          </w:p>
        </w:tc>
        <w:tc>
          <w:tcPr>
            <w:tcW w:type="dxa" w:w="1368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Product/Architecture</w:t>
            </w:r>
          </w:p>
        </w:tc>
        <w:tc>
          <w:tcPr>
            <w:tcW w:type="dxa" w:w="1440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During Gate 2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Regulatory addendum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Map applicable UK transport, safeguarding, privacy and operator obligations with legal review.</w:t>
            </w:r>
          </w:p>
        </w:tc>
        <w:tc>
          <w:tcPr>
            <w:tcW w:type="dxa" w:w="93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High</w:t>
            </w:r>
          </w:p>
        </w:tc>
        <w:tc>
          <w:tcPr>
            <w:tcW w:type="dxa" w:w="1368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Compliance/Legal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4"/>
              </w:rPr>
              <w:t>Before commercial launch</w:t>
            </w:r>
          </w:p>
        </w:tc>
      </w:tr>
    </w:tbl>
    <w:p/>
    <w:p>
      <w:pPr>
        <w:pStyle w:val="Heading2"/>
      </w:pPr>
      <w:r>
        <w:t>21.1 Risk waiver requirements</w:t>
      </w:r>
    </w:p>
    <w:p>
      <w:pPr>
        <w:pStyle w:val="ListBullet"/>
        <w:spacing w:after="40"/>
        <w:ind w:left="288"/>
      </w:pPr>
      <w:r>
        <w:t>Unique waiver ID and affected Hard Rule or gate.</w:t>
      </w:r>
    </w:p>
    <w:p>
      <w:pPr>
        <w:pStyle w:val="ListBullet"/>
        <w:spacing w:after="40"/>
        <w:ind w:left="288"/>
      </w:pPr>
      <w:r>
        <w:t>Named accountable risk owner and approving authority.</w:t>
      </w:r>
    </w:p>
    <w:p>
      <w:pPr>
        <w:pStyle w:val="ListBullet"/>
        <w:spacing w:after="40"/>
        <w:ind w:left="288"/>
      </w:pPr>
      <w:r>
        <w:t>Exact scope: tenant, app, environment, users and dates.</w:t>
      </w:r>
    </w:p>
    <w:p>
      <w:pPr>
        <w:pStyle w:val="ListBullet"/>
        <w:spacing w:after="40"/>
        <w:ind w:left="288"/>
      </w:pPr>
      <w:r>
        <w:t>Reason launch must proceed and consequence of delay.</w:t>
      </w:r>
    </w:p>
    <w:p>
      <w:pPr>
        <w:pStyle w:val="ListBullet"/>
        <w:spacing w:after="40"/>
        <w:ind w:left="288"/>
      </w:pPr>
      <w:r>
        <w:t>Security, safety, operational and privacy impact.</w:t>
      </w:r>
    </w:p>
    <w:p>
      <w:pPr>
        <w:pStyle w:val="ListBullet"/>
        <w:spacing w:after="40"/>
        <w:ind w:left="288"/>
      </w:pPr>
      <w:r>
        <w:t>Compensating controls, monitoring and rollback.</w:t>
      </w:r>
    </w:p>
    <w:p>
      <w:pPr>
        <w:pStyle w:val="ListBullet"/>
        <w:spacing w:after="40"/>
        <w:ind w:left="288"/>
      </w:pPr>
      <w:r>
        <w:t>Expiry date and mandatory remediation deadline.</w:t>
      </w:r>
    </w:p>
    <w:p>
      <w:pPr>
        <w:pStyle w:val="ListBullet"/>
        <w:spacing w:after="40"/>
        <w:ind w:left="288"/>
      </w:pPr>
      <w:r>
        <w:t>Evidence that affected operator has been informed where appropriate.</w:t>
      </w:r>
    </w:p>
    <w:p>
      <w:pPr>
        <w:pStyle w:val="Heading1"/>
      </w:pPr>
      <w:r>
        <w:t>22. Governance and Maintenance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376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7272"/>
            <w:shd w:fill="173E48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Product authority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Product model, application scope, terminology, user journeys and acceptance.</w:t>
            </w:r>
          </w:p>
        </w:tc>
      </w:tr>
      <w:tr>
        <w:tc>
          <w:tcPr>
            <w:tcW w:type="dxa" w:w="237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Principal architecture</w:t>
            </w:r>
          </w:p>
        </w:tc>
        <w:tc>
          <w:tcPr>
            <w:tcW w:type="dxa" w:w="727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Domain boundaries, data ownership, APIs, events, technical rules and decision records.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Security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F-01 to F-04, F-11 to F-17, isolation, access and release evidence.</w:t>
            </w:r>
          </w:p>
        </w:tc>
      </w:tr>
      <w:tr>
        <w:tc>
          <w:tcPr>
            <w:tcW w:type="dxa" w:w="237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Operations</w:t>
            </w:r>
          </w:p>
        </w:tc>
        <w:tc>
          <w:tcPr>
            <w:tcW w:type="dxa" w:w="727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Workflow realism, pilot scenarios, support model and acceptance.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Compliance / safeguarding</w:t>
            </w:r>
          </w:p>
        </w:tc>
        <w:tc>
          <w:tcPr>
            <w:tcW w:type="dxa" w:w="7272"/>
            <w:vAlign w:val="center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Rules, evidence, escalation, retention and regulatory addendum.</w:t>
            </w:r>
          </w:p>
        </w:tc>
      </w:tr>
      <w:tr>
        <w:tc>
          <w:tcPr>
            <w:tcW w:type="dxa" w:w="2376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Engineering leads</w:t>
            </w:r>
          </w:p>
        </w:tc>
        <w:tc>
          <w:tcPr>
            <w:tcW w:type="dxa" w:w="7272"/>
            <w:vAlign w:val="center"/>
            <w:shd w:fill="F8FAFB"/>
          </w:tcPr>
          <w:p>
            <w:r/>
            <w:r>
              <w:rPr>
                <w:rFonts w:ascii="Aptos" w:hAnsi="Aptos"/>
                <w:b w:val="0"/>
                <w:color w:val="1F2937"/>
                <w:sz w:val="16"/>
              </w:rPr>
              <w:t>Implementation plan, PR traceability, tests, deployments and debt closure.</w:t>
            </w:r>
          </w:p>
        </w:tc>
      </w:tr>
    </w:tbl>
    <w:p/>
    <w:p>
      <w:pPr>
        <w:pStyle w:val="Heading2"/>
      </w:pPr>
      <w:r>
        <w:t>22.1 Change control</w:t>
      </w:r>
    </w:p>
    <w:p>
      <w:pPr>
        <w:pStyle w:val="ListNumber"/>
        <w:spacing w:after="40"/>
        <w:ind w:left="288"/>
      </w:pPr>
      <w:r>
        <w:t>Raise a decision or change request with affected blueprint sections and Hard Rules.</w:t>
      </w:r>
    </w:p>
    <w:p>
      <w:pPr>
        <w:pStyle w:val="ListNumber"/>
        <w:spacing w:after="40"/>
        <w:ind w:left="288"/>
      </w:pPr>
      <w:r>
        <w:t>Identify data ownership, workflow, API, permissions, events, audit, failure and migration impact.</w:t>
      </w:r>
    </w:p>
    <w:p>
      <w:pPr>
        <w:pStyle w:val="ListNumber"/>
        <w:spacing w:after="40"/>
        <w:ind w:left="288"/>
      </w:pPr>
      <w:r>
        <w:t>Approve the product and architecture decision before production implementation.</w:t>
      </w:r>
    </w:p>
    <w:p>
      <w:pPr>
        <w:pStyle w:val="ListNumber"/>
        <w:spacing w:after="40"/>
        <w:ind w:left="288"/>
      </w:pPr>
      <w:r>
        <w:t>Update this blueprint version and the alignment plan.</w:t>
      </w:r>
    </w:p>
    <w:p>
      <w:pPr>
        <w:pStyle w:val="ListNumber"/>
        <w:spacing w:after="40"/>
        <w:ind w:left="288"/>
      </w:pPr>
      <w:r>
        <w:t>Require each feature PR to cite the relevant blueprint identifiers.</w:t>
      </w:r>
    </w:p>
    <w:p>
      <w:pPr>
        <w:pStyle w:val="ListNumber"/>
        <w:spacing w:after="40"/>
        <w:ind w:left="288"/>
      </w:pPr>
      <w:r>
        <w:t>Update gate evidence and release verdict after deployment and verification.</w:t>
      </w:r>
    </w:p>
    <w:p>
      <w:pPr>
        <w:pStyle w:val="Heading2"/>
      </w:pPr>
      <w:r>
        <w:t>22.2 Required companion documents</w:t>
      </w:r>
    </w:p>
    <w:p>
      <w:pPr>
        <w:pStyle w:val="ListBullet"/>
        <w:spacing w:after="40"/>
        <w:ind w:left="288"/>
      </w:pPr>
      <w:r>
        <w:t>Veyvio Blueprint Alignment Plan.</w:t>
      </w:r>
    </w:p>
    <w:p>
      <w:pPr>
        <w:pStyle w:val="ListBullet"/>
        <w:spacing w:after="40"/>
        <w:ind w:left="288"/>
      </w:pPr>
      <w:r>
        <w:t>Production Gates and pilot exit tests.</w:t>
      </w:r>
    </w:p>
    <w:p>
      <w:pPr>
        <w:pStyle w:val="ListBullet"/>
        <w:spacing w:after="40"/>
        <w:ind w:left="288"/>
      </w:pPr>
      <w:r>
        <w:t>Command, Driver, Yard and Maintenance companion implementation blueprints.</w:t>
      </w:r>
    </w:p>
    <w:p>
      <w:pPr>
        <w:pStyle w:val="ListBullet"/>
        <w:spacing w:after="40"/>
        <w:ind w:left="288"/>
      </w:pPr>
      <w:r>
        <w:t>Multi-tenant SaaS roadmap and entitlement model.</w:t>
      </w:r>
    </w:p>
    <w:p>
      <w:pPr>
        <w:pStyle w:val="ListBullet"/>
        <w:spacing w:after="40"/>
        <w:ind w:left="288"/>
      </w:pPr>
      <w:r>
        <w:t>Backend module and API catalogue.</w:t>
      </w:r>
    </w:p>
    <w:p>
      <w:pPr>
        <w:pStyle w:val="ListBullet"/>
        <w:spacing w:after="40"/>
        <w:ind w:left="288"/>
      </w:pPr>
      <w:r>
        <w:t>Roles and permission matrix.</w:t>
      </w:r>
    </w:p>
    <w:p>
      <w:pPr>
        <w:pStyle w:val="ListBullet"/>
        <w:spacing w:after="40"/>
        <w:ind w:left="288"/>
      </w:pPr>
      <w:r>
        <w:t>Data retention, privacy and safeguarding matrix.</w:t>
      </w:r>
    </w:p>
    <w:p>
      <w:pPr>
        <w:pStyle w:val="ListBullet"/>
        <w:spacing w:after="40"/>
        <w:ind w:left="288"/>
      </w:pPr>
      <w:r>
        <w:t>Credential rotation, incident response, backup and recovery runbooks.</w:t>
      </w:r>
    </w:p>
    <w:p>
      <w:pPr>
        <w:pStyle w:val="ListBullet"/>
        <w:spacing w:after="40"/>
        <w:ind w:left="288"/>
      </w:pPr>
      <w:r>
        <w:t>Store-readiness and physical-device acceptance records.</w:t>
      </w:r>
    </w:p>
    <w:p>
      <w:pPr>
        <w:pStyle w:val="Heading1"/>
      </w:pPr>
      <w:r>
        <w:t>Final Authority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"/>
        <w:gridCol w:w="9432"/>
      </w:tblGrid>
      <w:tr>
        <w:tc>
          <w:tcPr>
            <w:tcW w:type="dxa" w:w="5040"/>
            <w:shd w:fill="7AB82E"/>
          </w:tcPr>
          <w:p/>
        </w:tc>
        <w:tc>
          <w:tcPr>
            <w:tcW w:type="dxa" w:w="5040"/>
            <w:shd w:fill="EEF6F7"/>
          </w:tcPr>
          <w:p>
            <w:r/>
            <w:r>
              <w:rPr>
                <w:b/>
                <w:color w:val="173E48"/>
                <w:sz w:val="20"/>
              </w:rPr>
              <w:t>Veyvio v2.0 target state</w:t>
            </w:r>
          </w:p>
          <w:p>
            <w:pPr>
              <w:spacing w:after="20"/>
            </w:pPr>
            <w:r>
              <w:rPr>
                <w:sz w:val="18"/>
              </w:rPr>
              <w:t>Veyvio is a shared, licensable transport operating platform. It is not a collection of independent apps, customer-specific shortcuts or duplicated databases. Every application must operate through the same tenant-safe services, explicit rules, evidence, state machines and audit history.</w:t>
            </w:r>
          </w:p>
        </w:tc>
      </w:tr>
    </w:tbl>
    <w:p/>
    <w:p>
      <w:pPr>
        <w:spacing w:before="360"/>
        <w:jc w:val="center"/>
      </w:pPr>
      <w:r>
        <w:rPr>
          <w:b/>
          <w:color w:val="4A8FA3"/>
          <w:sz w:val="22"/>
        </w:rPr>
        <w:t>END OF BLUEPRINT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Confidential product and technical planning document  •  25 July 2026</w:t>
    </w:r>
    <w:r>
      <w:t xml:space="preserve">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A8FA3"/>
        <w:sz w:val="16"/>
      </w:rPr>
      <w:t>VEYVIO  |  COMBINED BLUEPRINT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E4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A8FA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E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E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4A8FA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Kicker"/>
    <w:pPr>
      <w:spacing w:after="80"/>
    </w:pPr>
    <w:rPr>
      <w:rFonts w:ascii="Aptos" w:hAnsi="Aptos"/>
      <w:b/>
      <w:color w:val="7AB82E"/>
      <w:sz w:val="22"/>
    </w:rPr>
  </w:style>
  <w:style w:type="paragraph" w:customStyle="1" w:styleId="Callout">
    <w:name w:val="Callout"/>
    <w:pPr>
      <w:spacing w:after="80"/>
    </w:pPr>
    <w:rPr>
      <w:rFonts w:ascii="Aptos" w:hAnsi="Aptos"/>
      <w:b/>
      <w:color w:val="173E48"/>
      <w:sz w:val="20"/>
    </w:rPr>
  </w:style>
  <w:style w:type="paragraph" w:customStyle="1" w:styleId="SmallNote">
    <w:name w:val="SmallNote"/>
    <w:pPr>
      <w:spacing w:after="80"/>
    </w:pPr>
    <w:rPr>
      <w:rFonts w:ascii="Aptos" w:hAnsi="Aptos"/>
      <w:b w:val="0"/>
      <w:color w:val="667085"/>
      <w:sz w:val="16"/>
    </w:rPr>
  </w:style>
  <w:style w:type="paragraph" w:customStyle="1" w:styleId="RuleTitle">
    <w:name w:val="RuleTitle"/>
    <w:pPr>
      <w:spacing w:after="80"/>
    </w:pPr>
    <w:rPr>
      <w:rFonts w:ascii="Aptos" w:hAnsi="Aptos"/>
      <w:b/>
      <w:color w:val="173E4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