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pPr>
      <w:r>
        <w:rPr>
          <w:b/>
          <w:color w:val="0F766E"/>
          <w:sz w:val="18"/>
        </w:rPr>
        <w:t>PRODUCT AND TECHNICAL SPECIFICATION</w:t>
      </w:r>
    </w:p>
    <w:p>
      <w:pPr>
        <w:spacing w:before="1800" w:after="160"/>
        <w:jc w:val="left"/>
      </w:pPr>
      <w:r>
        <w:rPr>
          <w:rFonts w:ascii="Calibri" w:hAnsi="Calibri"/>
          <w:b/>
          <w:color w:val="0B1F33"/>
          <w:sz w:val="60"/>
        </w:rPr>
        <w:t>Veyvio Cost Control</w:t>
        <w:br/>
        <w:t>Master Blueprint</w:t>
      </w:r>
    </w:p>
    <w:p>
      <w:pPr>
        <w:spacing w:after="440"/>
      </w:pPr>
      <w:r>
        <w:rPr>
          <w:color w:val="0F766E"/>
          <w:sz w:val="30"/>
        </w:rPr>
        <w:t>Authoritative product, experience, data and engineering plan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SCOPE DECISION</w:t>
            </w:r>
          </w:p>
          <w:p>
            <w:pPr>
              <w:spacing w:after="0"/>
            </w:pPr>
            <w:r>
              <w:rPr>
                <w:b/>
                <w:color w:val="0B1F33"/>
                <w:sz w:val="23"/>
              </w:rPr>
              <w:t>Veyvio is a cost-only platform. It captures, validates, allocates, forecasts and controls costs against approved budgets. It does not manage bookings, dispatch, income, sales, payroll processing or unrelated operations.</w:t>
            </w:r>
          </w:p>
        </w:tc>
      </w:tr>
    </w:tbl>
    <w:p>
      <w:pPr>
        <w:spacing w:after="0"/>
      </w:pPr>
    </w:p>
    <w:p>
      <w:pPr>
        <w:spacing w:before="520"/>
      </w:pPr>
      <w:r>
        <w:rPr>
          <w:b/>
          <w:color w:val="0B1F33"/>
        </w:rPr>
        <w:t>Version 1.2</w:t>
      </w:r>
    </w:p>
    <w:p>
      <w:r>
        <w:t>Prepared 28 July 2026</w:t>
      </w:r>
    </w:p>
    <w:p>
      <w:r>
        <w:t>Status: Master product blueprint</w:t>
      </w:r>
    </w:p>
    <w:p>
      <w:r>
        <w:br w:type="page"/>
      </w:r>
    </w:p>
    <w:p>
      <w:pPr>
        <w:pStyle w:val="Heading1"/>
      </w:pPr>
      <w:r>
        <w:t>Document purpose</w:t>
      </w:r>
    </w:p>
    <w:p>
      <w:r>
        <w:t>This document consolidates the Veyvio product discussion into one consistent specification. Where earlier ideas included broader finance or operational features, this blueprint applies the final product decision: only information required to identify, verify, allocate, approve, forecast, explain or reduce a cost belongs in Veyvio.</w:t>
      </w:r>
    </w:p>
    <w:p>
      <w:pPr>
        <w:pStyle w:val="Heading1"/>
      </w:pPr>
      <w:r>
        <w:t>Contents</w:t>
      </w:r>
    </w:p>
    <w:p>
      <w:pPr>
        <w:spacing w:after="80" w:line="264" w:lineRule="auto"/>
        <w:ind w:left="720" w:hanging="360"/>
        <w:numPr>
          <w:ilvl w:val="0"/>
          <w:numId w:val="10"/>
        </w:numPr>
      </w:pPr>
      <w:r>
        <w:t>Executive product definition</w:t>
      </w:r>
    </w:p>
    <w:p>
      <w:pPr>
        <w:spacing w:after="80" w:line="264" w:lineRule="auto"/>
        <w:ind w:left="720" w:hanging="360"/>
        <w:numPr>
          <w:ilvl w:val="0"/>
          <w:numId w:val="10"/>
        </w:numPr>
      </w:pPr>
      <w:r>
        <w:t>Scope and boundaries</w:t>
      </w:r>
    </w:p>
    <w:p>
      <w:pPr>
        <w:spacing w:after="80" w:line="264" w:lineRule="auto"/>
        <w:ind w:left="720" w:hanging="360"/>
        <w:numPr>
          <w:ilvl w:val="0"/>
          <w:numId w:val="10"/>
        </w:numPr>
      </w:pPr>
      <w:r>
        <w:t>Product principles and success measures</w:t>
      </w:r>
    </w:p>
    <w:p>
      <w:pPr>
        <w:spacing w:after="80" w:line="264" w:lineRule="auto"/>
        <w:ind w:left="720" w:hanging="360"/>
        <w:numPr>
          <w:ilvl w:val="0"/>
          <w:numId w:val="10"/>
        </w:numPr>
      </w:pPr>
      <w:r>
        <w:t>Users and permissions</w:t>
      </w:r>
    </w:p>
    <w:p>
      <w:pPr>
        <w:spacing w:after="80" w:line="264" w:lineRule="auto"/>
        <w:ind w:left="720" w:hanging="360"/>
        <w:numPr>
          <w:ilvl w:val="0"/>
          <w:numId w:val="10"/>
        </w:numPr>
      </w:pPr>
      <w:r>
        <w:t>Cost model and terminology</w:t>
      </w:r>
    </w:p>
    <w:p>
      <w:pPr>
        <w:spacing w:after="80" w:line="264" w:lineRule="auto"/>
        <w:ind w:left="720" w:hanging="360"/>
        <w:numPr>
          <w:ilvl w:val="0"/>
          <w:numId w:val="10"/>
        </w:numPr>
      </w:pPr>
      <w:r>
        <w:t>Cost categories and allocation</w:t>
      </w:r>
    </w:p>
    <w:p>
      <w:pPr>
        <w:spacing w:after="80" w:line="264" w:lineRule="auto"/>
        <w:ind w:left="720" w:hanging="360"/>
        <w:numPr>
          <w:ilvl w:val="0"/>
          <w:numId w:val="10"/>
        </w:numPr>
      </w:pPr>
      <w:r>
        <w:t>Page-by-page product specification</w:t>
      </w:r>
    </w:p>
    <w:p>
      <w:pPr>
        <w:spacing w:after="80" w:line="264" w:lineRule="auto"/>
        <w:ind w:left="720" w:hanging="360"/>
        <w:numPr>
          <w:ilvl w:val="0"/>
          <w:numId w:val="10"/>
        </w:numPr>
      </w:pPr>
      <w:r>
        <w:t>End-to-end cost workflows</w:t>
      </w:r>
    </w:p>
    <w:p>
      <w:pPr>
        <w:spacing w:after="80" w:line="264" w:lineRule="auto"/>
        <w:ind w:left="720" w:hanging="360"/>
        <w:numPr>
          <w:ilvl w:val="0"/>
          <w:numId w:val="10"/>
        </w:numPr>
      </w:pPr>
      <w:r>
        <w:t>Budget and forecasting engine</w:t>
      </w:r>
    </w:p>
    <w:p>
      <w:pPr>
        <w:spacing w:after="80" w:line="264" w:lineRule="auto"/>
        <w:ind w:left="720" w:hanging="360"/>
        <w:numPr>
          <w:ilvl w:val="0"/>
          <w:numId w:val="10"/>
        </w:numPr>
      </w:pPr>
      <w:r>
        <w:t>Decision-support and cost review</w:t>
      </w:r>
    </w:p>
    <w:p>
      <w:pPr>
        <w:spacing w:after="80" w:line="264" w:lineRule="auto"/>
        <w:ind w:left="720" w:hanging="360"/>
        <w:numPr>
          <w:ilvl w:val="0"/>
          <w:numId w:val="10"/>
        </w:numPr>
      </w:pPr>
      <w:r>
        <w:t>Data model and integrations</w:t>
      </w:r>
    </w:p>
    <w:p>
      <w:pPr>
        <w:spacing w:after="80" w:line="264" w:lineRule="auto"/>
        <w:ind w:left="720" w:hanging="360"/>
        <w:numPr>
          <w:ilvl w:val="0"/>
          <w:numId w:val="10"/>
        </w:numPr>
      </w:pPr>
      <w:r>
        <w:t>Technical architecture</w:t>
      </w:r>
    </w:p>
    <w:p>
      <w:pPr>
        <w:spacing w:after="80" w:line="264" w:lineRule="auto"/>
        <w:ind w:left="720" w:hanging="360"/>
        <w:numPr>
          <w:ilvl w:val="0"/>
          <w:numId w:val="10"/>
        </w:numPr>
      </w:pPr>
      <w:r>
        <w:t>Financial correctness controls</w:t>
      </w:r>
    </w:p>
    <w:p>
      <w:pPr>
        <w:spacing w:after="80" w:line="264" w:lineRule="auto"/>
        <w:ind w:left="720" w:hanging="360"/>
        <w:numPr>
          <w:ilvl w:val="0"/>
          <w:numId w:val="10"/>
        </w:numPr>
      </w:pPr>
      <w:r>
        <w:t>AI architecture and safeguards</w:t>
      </w:r>
    </w:p>
    <w:p>
      <w:pPr>
        <w:spacing w:after="80" w:line="264" w:lineRule="auto"/>
        <w:ind w:left="720" w:hanging="360"/>
        <w:numPr>
          <w:ilvl w:val="0"/>
          <w:numId w:val="10"/>
        </w:numPr>
      </w:pPr>
      <w:r>
        <w:t>Security, privacy and auditability</w:t>
      </w:r>
    </w:p>
    <w:p>
      <w:pPr>
        <w:spacing w:after="80" w:line="264" w:lineRule="auto"/>
        <w:ind w:left="720" w:hanging="360"/>
        <w:numPr>
          <w:ilvl w:val="0"/>
          <w:numId w:val="10"/>
        </w:numPr>
      </w:pPr>
      <w:r>
        <w:t>UI/UX and visual design system</w:t>
      </w:r>
    </w:p>
    <w:p>
      <w:pPr>
        <w:spacing w:after="80" w:line="264" w:lineRule="auto"/>
        <w:ind w:left="720" w:hanging="360"/>
        <w:numPr>
          <w:ilvl w:val="0"/>
          <w:numId w:val="10"/>
        </w:numPr>
      </w:pPr>
      <w:r>
        <w:t>Reports and management information</w:t>
      </w:r>
    </w:p>
    <w:p>
      <w:pPr>
        <w:spacing w:after="80" w:line="264" w:lineRule="auto"/>
        <w:ind w:left="720" w:hanging="360"/>
        <w:numPr>
          <w:ilvl w:val="0"/>
          <w:numId w:val="10"/>
        </w:numPr>
      </w:pPr>
      <w:r>
        <w:t>Testing and acceptance strategy</w:t>
      </w:r>
    </w:p>
    <w:p>
      <w:pPr>
        <w:spacing w:after="80" w:line="264" w:lineRule="auto"/>
        <w:ind w:left="720" w:hanging="360"/>
        <w:numPr>
          <w:ilvl w:val="0"/>
          <w:numId w:val="10"/>
        </w:numPr>
      </w:pPr>
      <w:r>
        <w:t>Delivery roadmap</w:t>
      </w:r>
    </w:p>
    <w:p>
      <w:pPr>
        <w:spacing w:after="80" w:line="264" w:lineRule="auto"/>
        <w:ind w:left="720" w:hanging="360"/>
        <w:numPr>
          <w:ilvl w:val="0"/>
          <w:numId w:val="10"/>
        </w:numPr>
      </w:pPr>
      <w:r>
        <w:t>Risks, decisions and open definitions</w:t>
      </w:r>
    </w:p>
    <w:p>
      <w:pPr>
        <w:pStyle w:val="Heading2"/>
      </w:pPr>
      <w:r>
        <w:t>How to read this blueprint</w:t>
      </w:r>
    </w:p>
    <w:p>
      <w:pPr>
        <w:pStyle w:val="ListBullet"/>
      </w:pPr>
      <w:r>
        <w:t>Product sections define what users can see and do.</w:t>
      </w:r>
    </w:p>
    <w:p>
      <w:pPr>
        <w:pStyle w:val="ListBullet"/>
      </w:pPr>
      <w:r>
        <w:t>Financial sections define how amounts are classified and calculated.</w:t>
      </w:r>
    </w:p>
    <w:p>
      <w:pPr>
        <w:pStyle w:val="ListBullet"/>
      </w:pPr>
      <w:r>
        <w:t>Workflow sections define validation, approval, correction and audit behaviour.</w:t>
      </w:r>
    </w:p>
    <w:p>
      <w:pPr>
        <w:pStyle w:val="ListBullet"/>
      </w:pPr>
      <w:r>
        <w:t>Technical sections define how the application should be implemented safely.</w:t>
      </w:r>
    </w:p>
    <w:p>
      <w:pPr>
        <w:pStyle w:val="ListBullet"/>
      </w:pPr>
      <w:r>
        <w:t>The exclusions section overrides any conflicting earlier concept.</w:t>
      </w:r>
    </w:p>
    <w:p>
      <w:r>
        <w:br w:type="page"/>
      </w:r>
    </w:p>
    <w:p>
      <w:pPr>
        <w:pStyle w:val="Heading1"/>
      </w:pPr>
      <w:r>
        <w:t>1. Executive product definition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PRODUCT PROMISE</w:t>
            </w:r>
          </w:p>
          <w:p>
            <w:pPr>
              <w:spacing w:after="0"/>
            </w:pPr>
            <w:r>
              <w:rPr>
                <w:b/>
                <w:color w:val="0B1F33"/>
                <w:sz w:val="23"/>
              </w:rPr>
              <w:t>Know exactly what has been spent, what is committed, what is expected and whether the CEC budget will hold.</w:t>
            </w:r>
          </w:p>
        </w:tc>
      </w:tr>
    </w:tbl>
    <w:p>
      <w:pPr>
        <w:spacing w:after="0"/>
      </w:pPr>
    </w:p>
    <w:p>
      <w:r>
        <w:t>Veyvio is a cost intelligence and budget-control platform. It brings cost data from fuel cards, supplier invoices, bank transactions, payroll summaries, recurring contracts and approved manual entries into a single validated cost record. It then allocates those costs to the correct budget, category, vehicle, department, contract or cost centre.</w:t>
      </w:r>
    </w:p>
    <w:p>
      <w:r>
        <w:t>The product's value is not merely showing historical expenditure. Veyvio must identify what changed, forecast the final cost, detect unsupported or unusual expenditure, show the cause of budget variance and prepare controlled cost decisions.</w:t>
      </w:r>
    </w:p>
    <w:p>
      <w:pPr>
        <w:pStyle w:val="Heading2"/>
      </w:pPr>
      <w:r>
        <w:t>Core questions Veyvio answers</w:t>
      </w:r>
    </w:p>
    <w:p>
      <w:pPr>
        <w:pStyle w:val="ListBullet"/>
      </w:pPr>
      <w:r>
        <w:t>How much has been spent?</w:t>
      </w:r>
    </w:p>
    <w:p>
      <w:pPr>
        <w:pStyle w:val="ListBullet"/>
      </w:pPr>
      <w:r>
        <w:t>How much expenditure is already committed?</w:t>
      </w:r>
    </w:p>
    <w:p>
      <w:pPr>
        <w:pStyle w:val="ListBullet"/>
      </w:pPr>
      <w:r>
        <w:t>What additional costs are expected?</w:t>
      </w:r>
    </w:p>
    <w:p>
      <w:pPr>
        <w:pStyle w:val="ListBullet"/>
      </w:pPr>
      <w:r>
        <w:t>What is the projected final cost?</w:t>
      </w:r>
    </w:p>
    <w:p>
      <w:pPr>
        <w:pStyle w:val="ListBullet"/>
      </w:pPr>
      <w:r>
        <w:t>How much approved budget remains?</w:t>
      </w:r>
    </w:p>
    <w:p>
      <w:pPr>
        <w:pStyle w:val="ListBullet"/>
      </w:pPr>
      <w:r>
        <w:t>Which categories, vehicles, departments or suppliers are over budget?</w:t>
      </w:r>
    </w:p>
    <w:p>
      <w:pPr>
        <w:pStyle w:val="ListBullet"/>
      </w:pPr>
      <w:r>
        <w:t>Why did a cost change?</w:t>
      </w:r>
    </w:p>
    <w:p>
      <w:pPr>
        <w:pStyle w:val="ListBullet"/>
      </w:pPr>
      <w:r>
        <w:t>Which costs are missing evidence or require review?</w:t>
      </w:r>
    </w:p>
    <w:p>
      <w:pPr>
        <w:pStyle w:val="ListBullet"/>
      </w:pPr>
      <w:r>
        <w:t>What action could reduce or contain the projected overspend?</w:t>
      </w:r>
    </w:p>
    <w:p>
      <w:pPr>
        <w:pStyle w:val="Heading2"/>
      </w:pPr>
      <w:r>
        <w:t>North-star outcome</w:t>
      </w:r>
    </w:p>
    <w:p>
      <w:r>
        <w:t>The primary outcome is cost under control: the value of verified costs, avoided duplicate or unsupported expenditure, and forecast overspend identified early enough for management action.</w:t>
      </w:r>
    </w:p>
    <w:p>
      <w:pPr>
        <w:pStyle w:val="Heading1"/>
      </w:pPr>
      <w:r>
        <w:t>2. Scope and boundaries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0B1F33"/>
            <w:vAlign w:val="center"/>
            <w:tcMar>
              <w:top w:w="100" w:type="dxa"/>
              <w:start w:w="120" w:type="dxa"/>
              <w:bottom w:w="100" w:type="dxa"/>
              <w:end w:w="120" w:type="dxa"/>
            </w:tcMar>
          </w:tcPr>
          <w:p>
            <w:pPr>
              <w:spacing w:after="0"/>
            </w:pPr>
            <w:r>
              <w:rPr>
                <w:b/>
                <w:color w:val="FFFFFF"/>
                <w:sz w:val="18"/>
              </w:rPr>
              <w:t>In scope</w:t>
            </w:r>
          </w:p>
        </w:tc>
        <w:tc>
          <w:tcPr>
            <w:tcW w:type="dxa" w:w="4680"/>
            <w:shd w:fill="0B1F33"/>
            <w:vAlign w:val="center"/>
            <w:tcMar>
              <w:top w:w="100" w:type="dxa"/>
              <w:start w:w="120" w:type="dxa"/>
              <w:bottom w:w="100" w:type="dxa"/>
              <w:end w:w="120" w:type="dxa"/>
            </w:tcMar>
          </w:tcPr>
          <w:p>
            <w:pPr>
              <w:spacing w:after="0"/>
            </w:pPr>
            <w:r>
              <w:rPr>
                <w:b/>
                <w:color w:val="FFFFFF"/>
                <w:sz w:val="18"/>
              </w:rPr>
              <w:t>Out of scope</w:t>
            </w:r>
          </w:p>
        </w:tc>
      </w:tr>
      <w:tr>
        <w:tc>
          <w:tcPr>
            <w:tcW w:type="dxa" w:w="4680"/>
            <w:vAlign w:val="center"/>
            <w:tcMar>
              <w:top w:w="100" w:type="dxa"/>
              <w:start w:w="120" w:type="dxa"/>
              <w:bottom w:w="100" w:type="dxa"/>
              <w:end w:w="120" w:type="dxa"/>
            </w:tcMar>
          </w:tcPr>
          <w:p>
            <w:pPr>
              <w:spacing w:after="0"/>
            </w:pPr>
            <w:r>
              <w:rPr>
                <w:color w:val="102130"/>
                <w:sz w:val="18"/>
              </w:rPr>
              <w:t>Capture and import costs</w:t>
            </w:r>
          </w:p>
        </w:tc>
        <w:tc>
          <w:tcPr>
            <w:tcW w:type="dxa" w:w="4680"/>
            <w:vAlign w:val="center"/>
            <w:tcMar>
              <w:top w:w="100" w:type="dxa"/>
              <w:start w:w="120" w:type="dxa"/>
              <w:bottom w:w="100" w:type="dxa"/>
              <w:end w:w="120" w:type="dxa"/>
            </w:tcMar>
          </w:tcPr>
          <w:p>
            <w:pPr>
              <w:spacing w:after="0"/>
            </w:pPr>
            <w:r>
              <w:rPr>
                <w:color w:val="102130"/>
                <w:sz w:val="18"/>
              </w:rPr>
              <w:t>Booking and job scheduling</w:t>
            </w:r>
          </w:p>
        </w:tc>
      </w:tr>
      <w:tr>
        <w:tc>
          <w:tcPr>
            <w:tcW w:type="dxa" w:w="4680"/>
            <w:vAlign w:val="center"/>
            <w:shd w:fill="F5F7F9"/>
            <w:tcMar>
              <w:top w:w="100" w:type="dxa"/>
              <w:start w:w="120" w:type="dxa"/>
              <w:bottom w:w="100" w:type="dxa"/>
              <w:end w:w="120" w:type="dxa"/>
            </w:tcMar>
          </w:tcPr>
          <w:p>
            <w:pPr>
              <w:spacing w:after="0"/>
            </w:pPr>
            <w:r>
              <w:rPr>
                <w:color w:val="102130"/>
                <w:sz w:val="18"/>
              </w:rPr>
              <w:t>Cost validation and duplicate detection</w:t>
            </w:r>
          </w:p>
        </w:tc>
        <w:tc>
          <w:tcPr>
            <w:tcW w:type="dxa" w:w="4680"/>
            <w:vAlign w:val="center"/>
            <w:shd w:fill="F5F7F9"/>
            <w:tcMar>
              <w:top w:w="100" w:type="dxa"/>
              <w:start w:w="120" w:type="dxa"/>
              <w:bottom w:w="100" w:type="dxa"/>
              <w:end w:w="120" w:type="dxa"/>
            </w:tcMar>
          </w:tcPr>
          <w:p>
            <w:pPr>
              <w:spacing w:after="0"/>
            </w:pPr>
            <w:r>
              <w:rPr>
                <w:color w:val="102130"/>
                <w:sz w:val="18"/>
              </w:rPr>
              <w:t>Dispatch and route management</w:t>
            </w:r>
          </w:p>
        </w:tc>
      </w:tr>
      <w:tr>
        <w:tc>
          <w:tcPr>
            <w:tcW w:type="dxa" w:w="4680"/>
            <w:vAlign w:val="center"/>
            <w:tcMar>
              <w:top w:w="100" w:type="dxa"/>
              <w:start w:w="120" w:type="dxa"/>
              <w:bottom w:w="100" w:type="dxa"/>
              <w:end w:w="120" w:type="dxa"/>
            </w:tcMar>
          </w:tcPr>
          <w:p>
            <w:pPr>
              <w:spacing w:after="0"/>
            </w:pPr>
            <w:r>
              <w:rPr>
                <w:color w:val="102130"/>
                <w:sz w:val="18"/>
              </w:rPr>
              <w:t>Cost categorisation and allocation</w:t>
            </w:r>
          </w:p>
        </w:tc>
        <w:tc>
          <w:tcPr>
            <w:tcW w:type="dxa" w:w="4680"/>
            <w:vAlign w:val="center"/>
            <w:tcMar>
              <w:top w:w="100" w:type="dxa"/>
              <w:start w:w="120" w:type="dxa"/>
              <w:bottom w:w="100" w:type="dxa"/>
              <w:end w:w="120" w:type="dxa"/>
            </w:tcMar>
          </w:tcPr>
          <w:p>
            <w:pPr>
              <w:spacing w:after="0"/>
            </w:pPr>
            <w:r>
              <w:rPr>
                <w:color w:val="102130"/>
                <w:sz w:val="18"/>
              </w:rPr>
              <w:t>Customer relationship management</w:t>
            </w:r>
          </w:p>
        </w:tc>
      </w:tr>
      <w:tr>
        <w:tc>
          <w:tcPr>
            <w:tcW w:type="dxa" w:w="4680"/>
            <w:vAlign w:val="center"/>
            <w:shd w:fill="F5F7F9"/>
            <w:tcMar>
              <w:top w:w="100" w:type="dxa"/>
              <w:start w:w="120" w:type="dxa"/>
              <w:bottom w:w="100" w:type="dxa"/>
              <w:end w:w="120" w:type="dxa"/>
            </w:tcMar>
          </w:tcPr>
          <w:p>
            <w:pPr>
              <w:spacing w:after="0"/>
            </w:pPr>
            <w:r>
              <w:rPr>
                <w:color w:val="102130"/>
                <w:sz w:val="18"/>
              </w:rPr>
              <w:t>Fuel, vehicle and maintenance costs</w:t>
            </w:r>
          </w:p>
        </w:tc>
        <w:tc>
          <w:tcPr>
            <w:tcW w:type="dxa" w:w="4680"/>
            <w:vAlign w:val="center"/>
            <w:shd w:fill="F5F7F9"/>
            <w:tcMar>
              <w:top w:w="100" w:type="dxa"/>
              <w:start w:w="120" w:type="dxa"/>
              <w:bottom w:w="100" w:type="dxa"/>
              <w:end w:w="120" w:type="dxa"/>
            </w:tcMar>
          </w:tcPr>
          <w:p>
            <w:pPr>
              <w:spacing w:after="0"/>
            </w:pPr>
            <w:r>
              <w:rPr>
                <w:color w:val="102130"/>
                <w:sz w:val="18"/>
              </w:rPr>
              <w:t>Income, sales and profitability</w:t>
            </w:r>
          </w:p>
        </w:tc>
      </w:tr>
      <w:tr>
        <w:tc>
          <w:tcPr>
            <w:tcW w:type="dxa" w:w="4680"/>
            <w:vAlign w:val="center"/>
            <w:tcMar>
              <w:top w:w="100" w:type="dxa"/>
              <w:start w:w="120" w:type="dxa"/>
              <w:bottom w:w="100" w:type="dxa"/>
              <w:end w:w="120" w:type="dxa"/>
            </w:tcMar>
          </w:tcPr>
          <w:p>
            <w:pPr>
              <w:spacing w:after="0"/>
            </w:pPr>
            <w:r>
              <w:rPr>
                <w:color w:val="102130"/>
                <w:sz w:val="18"/>
              </w:rPr>
              <w:t>Wage-cost summaries</w:t>
            </w:r>
          </w:p>
        </w:tc>
        <w:tc>
          <w:tcPr>
            <w:tcW w:type="dxa" w:w="4680"/>
            <w:vAlign w:val="center"/>
            <w:tcMar>
              <w:top w:w="100" w:type="dxa"/>
              <w:start w:w="120" w:type="dxa"/>
              <w:bottom w:w="100" w:type="dxa"/>
              <w:end w:w="120" w:type="dxa"/>
            </w:tcMar>
          </w:tcPr>
          <w:p>
            <w:pPr>
              <w:spacing w:after="0"/>
            </w:pPr>
            <w:r>
              <w:rPr>
                <w:color w:val="102130"/>
                <w:sz w:val="18"/>
              </w:rPr>
              <w:t>Payroll calculation or submission</w:t>
            </w:r>
          </w:p>
        </w:tc>
      </w:tr>
      <w:tr>
        <w:tc>
          <w:tcPr>
            <w:tcW w:type="dxa" w:w="4680"/>
            <w:vAlign w:val="center"/>
            <w:shd w:fill="F5F7F9"/>
            <w:tcMar>
              <w:top w:w="100" w:type="dxa"/>
              <w:start w:w="120" w:type="dxa"/>
              <w:bottom w:w="100" w:type="dxa"/>
              <w:end w:w="120" w:type="dxa"/>
            </w:tcMar>
          </w:tcPr>
          <w:p>
            <w:pPr>
              <w:spacing w:after="0"/>
            </w:pPr>
            <w:r>
              <w:rPr>
                <w:color w:val="102130"/>
                <w:sz w:val="18"/>
              </w:rPr>
              <w:t>Actual, committed and forecast costs</w:t>
            </w:r>
          </w:p>
        </w:tc>
        <w:tc>
          <w:tcPr>
            <w:tcW w:type="dxa" w:w="4680"/>
            <w:vAlign w:val="center"/>
            <w:shd w:fill="F5F7F9"/>
            <w:tcMar>
              <w:top w:w="100" w:type="dxa"/>
              <w:start w:w="120" w:type="dxa"/>
              <w:bottom w:w="100" w:type="dxa"/>
              <w:end w:w="120" w:type="dxa"/>
            </w:tcMar>
          </w:tcPr>
          <w:p>
            <w:pPr>
              <w:spacing w:after="0"/>
            </w:pPr>
            <w:r>
              <w:rPr>
                <w:color w:val="102130"/>
                <w:sz w:val="18"/>
              </w:rPr>
              <w:t>Customer invoicing and debt collection</w:t>
            </w:r>
          </w:p>
        </w:tc>
      </w:tr>
      <w:tr>
        <w:tc>
          <w:tcPr>
            <w:tcW w:type="dxa" w:w="4680"/>
            <w:vAlign w:val="center"/>
            <w:tcMar>
              <w:top w:w="100" w:type="dxa"/>
              <w:start w:w="120" w:type="dxa"/>
              <w:bottom w:w="100" w:type="dxa"/>
              <w:end w:w="120" w:type="dxa"/>
            </w:tcMar>
          </w:tcPr>
          <w:p>
            <w:pPr>
              <w:spacing w:after="0"/>
            </w:pPr>
            <w:r>
              <w:rPr>
                <w:color w:val="102130"/>
                <w:sz w:val="18"/>
              </w:rPr>
              <w:t>CEC and other budget control</w:t>
            </w:r>
          </w:p>
        </w:tc>
        <w:tc>
          <w:tcPr>
            <w:tcW w:type="dxa" w:w="4680"/>
            <w:vAlign w:val="center"/>
            <w:tcMar>
              <w:top w:w="100" w:type="dxa"/>
              <w:start w:w="120" w:type="dxa"/>
              <w:bottom w:w="100" w:type="dxa"/>
              <w:end w:w="120" w:type="dxa"/>
            </w:tcMar>
          </w:tcPr>
          <w:p>
            <w:pPr>
              <w:spacing w:after="0"/>
            </w:pPr>
            <w:r>
              <w:rPr>
                <w:color w:val="102130"/>
                <w:sz w:val="18"/>
              </w:rPr>
              <w:t>Employee performance management</w:t>
            </w:r>
          </w:p>
        </w:tc>
      </w:tr>
      <w:tr>
        <w:tc>
          <w:tcPr>
            <w:tcW w:type="dxa" w:w="4680"/>
            <w:vAlign w:val="center"/>
            <w:shd w:fill="F5F7F9"/>
            <w:tcMar>
              <w:top w:w="100" w:type="dxa"/>
              <w:start w:w="120" w:type="dxa"/>
              <w:bottom w:w="100" w:type="dxa"/>
              <w:end w:w="120" w:type="dxa"/>
            </w:tcMar>
          </w:tcPr>
          <w:p>
            <w:pPr>
              <w:spacing w:after="0"/>
            </w:pPr>
            <w:r>
              <w:rPr>
                <w:color w:val="102130"/>
                <w:sz w:val="18"/>
              </w:rPr>
              <w:t>Supplier cost analysis</w:t>
            </w:r>
          </w:p>
        </w:tc>
        <w:tc>
          <w:tcPr>
            <w:tcW w:type="dxa" w:w="4680"/>
            <w:vAlign w:val="center"/>
            <w:shd w:fill="F5F7F9"/>
            <w:tcMar>
              <w:top w:w="100" w:type="dxa"/>
              <w:start w:w="120" w:type="dxa"/>
              <w:bottom w:w="100" w:type="dxa"/>
              <w:end w:w="120" w:type="dxa"/>
            </w:tcMar>
          </w:tcPr>
          <w:p>
            <w:pPr>
              <w:spacing w:after="0"/>
            </w:pPr>
            <w:r>
              <w:rPr>
                <w:color w:val="102130"/>
                <w:sz w:val="18"/>
              </w:rPr>
              <w:t>Live vehicle tracking</w:t>
            </w:r>
          </w:p>
        </w:tc>
      </w:tr>
      <w:tr>
        <w:tc>
          <w:tcPr>
            <w:tcW w:type="dxa" w:w="4680"/>
            <w:vAlign w:val="center"/>
            <w:tcMar>
              <w:top w:w="100" w:type="dxa"/>
              <w:start w:w="120" w:type="dxa"/>
              <w:bottom w:w="100" w:type="dxa"/>
              <w:end w:w="120" w:type="dxa"/>
            </w:tcMar>
          </w:tcPr>
          <w:p>
            <w:pPr>
              <w:spacing w:after="0"/>
            </w:pPr>
            <w:r>
              <w:rPr>
                <w:color w:val="102130"/>
                <w:sz w:val="18"/>
              </w:rPr>
              <w:t>Cost forecasting and scenarios</w:t>
            </w:r>
          </w:p>
        </w:tc>
        <w:tc>
          <w:tcPr>
            <w:tcW w:type="dxa" w:w="4680"/>
            <w:vAlign w:val="center"/>
            <w:tcMar>
              <w:top w:w="100" w:type="dxa"/>
              <w:start w:w="120" w:type="dxa"/>
              <w:bottom w:w="100" w:type="dxa"/>
              <w:end w:w="120" w:type="dxa"/>
            </w:tcMar>
          </w:tcPr>
          <w:p>
            <w:pPr>
              <w:spacing w:after="0"/>
            </w:pPr>
            <w:r>
              <w:rPr>
                <w:color w:val="102130"/>
                <w:sz w:val="18"/>
              </w:rPr>
              <w:t>Full MOT, inspection or workshop management</w:t>
            </w:r>
          </w:p>
        </w:tc>
      </w:tr>
      <w:tr>
        <w:tc>
          <w:tcPr>
            <w:tcW w:type="dxa" w:w="4680"/>
            <w:vAlign w:val="center"/>
            <w:shd w:fill="F5F7F9"/>
            <w:tcMar>
              <w:top w:w="100" w:type="dxa"/>
              <w:start w:w="120" w:type="dxa"/>
              <w:bottom w:w="100" w:type="dxa"/>
              <w:end w:w="120" w:type="dxa"/>
            </w:tcMar>
          </w:tcPr>
          <w:p>
            <w:pPr>
              <w:spacing w:after="0"/>
            </w:pPr>
            <w:r>
              <w:rPr>
                <w:color w:val="102130"/>
                <w:sz w:val="18"/>
              </w:rPr>
              <w:t>Cost decisions and approvals</w:t>
            </w:r>
          </w:p>
        </w:tc>
        <w:tc>
          <w:tcPr>
            <w:tcW w:type="dxa" w:w="4680"/>
            <w:vAlign w:val="center"/>
            <w:shd w:fill="F5F7F9"/>
            <w:tcMar>
              <w:top w:w="100" w:type="dxa"/>
              <w:start w:w="120" w:type="dxa"/>
              <w:bottom w:w="100" w:type="dxa"/>
              <w:end w:w="120" w:type="dxa"/>
            </w:tcMar>
          </w:tcPr>
          <w:p>
            <w:pPr>
              <w:spacing w:after="0"/>
            </w:pPr>
            <w:r>
              <w:rPr>
                <w:color w:val="102130"/>
                <w:sz w:val="18"/>
              </w:rPr>
              <w:t>Autonomous purchasing or payments</w:t>
            </w:r>
          </w:p>
        </w:tc>
      </w:tr>
      <w:tr>
        <w:tc>
          <w:tcPr>
            <w:tcW w:type="dxa" w:w="4680"/>
            <w:vAlign w:val="center"/>
            <w:tcMar>
              <w:top w:w="100" w:type="dxa"/>
              <w:start w:w="120" w:type="dxa"/>
              <w:bottom w:w="100" w:type="dxa"/>
              <w:end w:w="120" w:type="dxa"/>
            </w:tcMar>
          </w:tcPr>
          <w:p>
            <w:pPr>
              <w:spacing w:after="0"/>
            </w:pPr>
            <w:r>
              <w:rPr>
                <w:color w:val="102130"/>
                <w:sz w:val="18"/>
              </w:rPr>
              <w:t>Reports and audit history</w:t>
            </w:r>
          </w:p>
        </w:tc>
        <w:tc>
          <w:tcPr>
            <w:tcW w:type="dxa" w:w="4680"/>
            <w:vAlign w:val="center"/>
            <w:tcMar>
              <w:top w:w="100" w:type="dxa"/>
              <w:start w:w="120" w:type="dxa"/>
              <w:bottom w:w="100" w:type="dxa"/>
              <w:end w:w="120" w:type="dxa"/>
            </w:tcMar>
          </w:tcPr>
          <w:p>
            <w:pPr>
              <w:spacing w:after="0"/>
            </w:pPr>
            <w:r>
              <w:rPr>
                <w:color w:val="102130"/>
                <w:sz w:val="18"/>
              </w:rPr>
              <w:t>General operational management</w:t>
            </w:r>
          </w:p>
        </w:tc>
      </w:tr>
    </w:tbl>
    <w:p>
      <w:pPr>
        <w:spacing w:after="0"/>
      </w:pPr>
    </w:p>
    <w:p>
      <w:pPr>
        <w:pStyle w:val="Heading2"/>
      </w:pPr>
      <w:r>
        <w:t>The relevance test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ADMISSION RULE</w:t>
            </w:r>
          </w:p>
          <w:p>
            <w:pPr>
              <w:spacing w:after="0"/>
            </w:pPr>
            <w:r>
              <w:rPr>
                <w:b/>
                <w:color w:val="0B1F33"/>
                <w:sz w:val="23"/>
              </w:rPr>
              <w:t>A field, page or workflow belongs in Veyvio only when it materially improves the capture, accuracy, validation, allocation, forecasting, approval, explanation or reduction of a cost.</w:t>
            </w:r>
          </w:p>
        </w:tc>
      </w:tr>
    </w:tbl>
    <w:p>
      <w:pPr>
        <w:spacing w:after="0"/>
      </w:pPr>
    </w:p>
    <w:p>
      <w:r>
        <w:t>For example, an MOT date may be stored to forecast the next MOT cost. Veyvio does not need the wider operational detail required to manage the MOT process. A vehicle identifier may be stored to allocate fuel and maintenance costs, but Veyvio does not need to dispatch that vehicle.</w:t>
      </w:r>
    </w:p>
    <w:p>
      <w:pPr>
        <w:pStyle w:val="Heading1"/>
      </w:pPr>
      <w:r>
        <w:t>3. Product principles and success measures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0B1F33"/>
            <w:vAlign w:val="center"/>
            <w:tcMar>
              <w:top w:w="100" w:type="dxa"/>
              <w:start w:w="120" w:type="dxa"/>
              <w:bottom w:w="100" w:type="dxa"/>
              <w:end w:w="120" w:type="dxa"/>
            </w:tcMar>
          </w:tcPr>
          <w:p>
            <w:pPr>
              <w:spacing w:after="0"/>
            </w:pPr>
            <w:r>
              <w:rPr>
                <w:b/>
                <w:color w:val="FFFFFF"/>
                <w:sz w:val="18"/>
              </w:rPr>
              <w:t>Principle</w:t>
            </w:r>
          </w:p>
        </w:tc>
        <w:tc>
          <w:tcPr>
            <w:tcW w:type="dxa" w:w="7128"/>
            <w:shd w:fill="0B1F33"/>
            <w:vAlign w:val="center"/>
            <w:tcMar>
              <w:top w:w="100" w:type="dxa"/>
              <w:start w:w="120" w:type="dxa"/>
              <w:bottom w:w="100" w:type="dxa"/>
              <w:end w:w="120" w:type="dxa"/>
            </w:tcMar>
          </w:tcPr>
          <w:p>
            <w:pPr>
              <w:spacing w:after="0"/>
            </w:pPr>
            <w:r>
              <w:rPr>
                <w:b/>
                <w:color w:val="FFFFFF"/>
                <w:sz w:val="18"/>
              </w:rPr>
              <w:t>Meaning</w:t>
            </w:r>
          </w:p>
        </w:tc>
      </w:tr>
      <w:tr>
        <w:tc>
          <w:tcPr>
            <w:tcW w:type="dxa" w:w="2232"/>
            <w:vAlign w:val="center"/>
            <w:tcMar>
              <w:top w:w="100" w:type="dxa"/>
              <w:start w:w="120" w:type="dxa"/>
              <w:bottom w:w="100" w:type="dxa"/>
              <w:end w:w="120" w:type="dxa"/>
            </w:tcMar>
          </w:tcPr>
          <w:p>
            <w:pPr>
              <w:spacing w:after="0"/>
            </w:pPr>
            <w:r>
              <w:rPr>
                <w:color w:val="102130"/>
                <w:sz w:val="18"/>
              </w:rPr>
              <w:t>Cost only</w:t>
            </w:r>
          </w:p>
        </w:tc>
        <w:tc>
          <w:tcPr>
            <w:tcW w:type="dxa" w:w="7128"/>
            <w:vAlign w:val="center"/>
            <w:tcMar>
              <w:top w:w="100" w:type="dxa"/>
              <w:start w:w="120" w:type="dxa"/>
              <w:bottom w:w="100" w:type="dxa"/>
              <w:end w:w="120" w:type="dxa"/>
            </w:tcMar>
          </w:tcPr>
          <w:p>
            <w:pPr>
              <w:spacing w:after="0"/>
            </w:pPr>
            <w:r>
              <w:rPr>
                <w:color w:val="102130"/>
                <w:sz w:val="18"/>
              </w:rPr>
              <w:t>Every capability must serve cost accuracy or cost control.</w:t>
            </w:r>
          </w:p>
        </w:tc>
      </w:tr>
      <w:tr>
        <w:tc>
          <w:tcPr>
            <w:tcW w:type="dxa" w:w="2232"/>
            <w:vAlign w:val="center"/>
            <w:shd w:fill="F5F7F9"/>
            <w:tcMar>
              <w:top w:w="100" w:type="dxa"/>
              <w:start w:w="120" w:type="dxa"/>
              <w:bottom w:w="100" w:type="dxa"/>
              <w:end w:w="120" w:type="dxa"/>
            </w:tcMar>
          </w:tcPr>
          <w:p>
            <w:pPr>
              <w:spacing w:after="0"/>
            </w:pPr>
            <w:r>
              <w:rPr>
                <w:color w:val="102130"/>
                <w:sz w:val="18"/>
              </w:rPr>
              <w:t>One cost truth</w:t>
            </w:r>
          </w:p>
        </w:tc>
        <w:tc>
          <w:tcPr>
            <w:tcW w:type="dxa" w:w="7128"/>
            <w:vAlign w:val="center"/>
            <w:shd w:fill="F5F7F9"/>
            <w:tcMar>
              <w:top w:w="100" w:type="dxa"/>
              <w:start w:w="120" w:type="dxa"/>
              <w:bottom w:w="100" w:type="dxa"/>
              <w:end w:w="120" w:type="dxa"/>
            </w:tcMar>
          </w:tcPr>
          <w:p>
            <w:pPr>
              <w:spacing w:after="0"/>
            </w:pPr>
            <w:r>
              <w:rPr>
                <w:color w:val="102130"/>
                <w:sz w:val="18"/>
              </w:rPr>
              <w:t>All pages and reports use the same validated canonical cost records.</w:t>
            </w:r>
          </w:p>
        </w:tc>
      </w:tr>
      <w:tr>
        <w:tc>
          <w:tcPr>
            <w:tcW w:type="dxa" w:w="2232"/>
            <w:vAlign w:val="center"/>
            <w:tcMar>
              <w:top w:w="100" w:type="dxa"/>
              <w:start w:w="120" w:type="dxa"/>
              <w:bottom w:w="100" w:type="dxa"/>
              <w:end w:w="120" w:type="dxa"/>
            </w:tcMar>
          </w:tcPr>
          <w:p>
            <w:pPr>
              <w:spacing w:after="0"/>
            </w:pPr>
            <w:r>
              <w:rPr>
                <w:color w:val="102130"/>
                <w:sz w:val="18"/>
              </w:rPr>
              <w:t>Explain every amount</w:t>
            </w:r>
          </w:p>
        </w:tc>
        <w:tc>
          <w:tcPr>
            <w:tcW w:type="dxa" w:w="7128"/>
            <w:vAlign w:val="center"/>
            <w:tcMar>
              <w:top w:w="100" w:type="dxa"/>
              <w:start w:w="120" w:type="dxa"/>
              <w:bottom w:w="100" w:type="dxa"/>
              <w:end w:w="120" w:type="dxa"/>
            </w:tcMar>
          </w:tcPr>
          <w:p>
            <w:pPr>
              <w:spacing w:after="0"/>
            </w:pPr>
            <w:r>
              <w:rPr>
                <w:color w:val="102130"/>
                <w:sz w:val="18"/>
              </w:rPr>
              <w:t>Users can inspect source, status, allocation, formula and change history.</w:t>
            </w:r>
          </w:p>
        </w:tc>
      </w:tr>
      <w:tr>
        <w:tc>
          <w:tcPr>
            <w:tcW w:type="dxa" w:w="2232"/>
            <w:vAlign w:val="center"/>
            <w:shd w:fill="F5F7F9"/>
            <w:tcMar>
              <w:top w:w="100" w:type="dxa"/>
              <w:start w:w="120" w:type="dxa"/>
              <w:bottom w:w="100" w:type="dxa"/>
              <w:end w:w="120" w:type="dxa"/>
            </w:tcMar>
          </w:tcPr>
          <w:p>
            <w:pPr>
              <w:spacing w:after="0"/>
            </w:pPr>
            <w:r>
              <w:rPr>
                <w:color w:val="102130"/>
                <w:sz w:val="18"/>
              </w:rPr>
              <w:t>AI explains; rules calculate</w:t>
            </w:r>
          </w:p>
        </w:tc>
        <w:tc>
          <w:tcPr>
            <w:tcW w:type="dxa" w:w="7128"/>
            <w:vAlign w:val="center"/>
            <w:shd w:fill="F5F7F9"/>
            <w:tcMar>
              <w:top w:w="100" w:type="dxa"/>
              <w:start w:w="120" w:type="dxa"/>
              <w:bottom w:w="100" w:type="dxa"/>
              <w:end w:w="120" w:type="dxa"/>
            </w:tcMar>
          </w:tcPr>
          <w:p>
            <w:pPr>
              <w:spacing w:after="0"/>
            </w:pPr>
            <w:r>
              <w:rPr>
                <w:color w:val="102130"/>
                <w:sz w:val="18"/>
              </w:rPr>
              <w:t>Authoritative amounts are produced by deterministic, versioned services.</w:t>
            </w:r>
          </w:p>
        </w:tc>
      </w:tr>
      <w:tr>
        <w:tc>
          <w:tcPr>
            <w:tcW w:type="dxa" w:w="2232"/>
            <w:vAlign w:val="center"/>
            <w:tcMar>
              <w:top w:w="100" w:type="dxa"/>
              <w:start w:w="120" w:type="dxa"/>
              <w:bottom w:w="100" w:type="dxa"/>
              <w:end w:w="120" w:type="dxa"/>
            </w:tcMar>
          </w:tcPr>
          <w:p>
            <w:pPr>
              <w:spacing w:after="0"/>
            </w:pPr>
            <w:r>
              <w:rPr>
                <w:color w:val="102130"/>
                <w:sz w:val="18"/>
              </w:rPr>
              <w:t>No silent corrections</w:t>
            </w:r>
          </w:p>
        </w:tc>
        <w:tc>
          <w:tcPr>
            <w:tcW w:type="dxa" w:w="7128"/>
            <w:vAlign w:val="center"/>
            <w:tcMar>
              <w:top w:w="100" w:type="dxa"/>
              <w:start w:w="120" w:type="dxa"/>
              <w:bottom w:w="100" w:type="dxa"/>
              <w:end w:w="120" w:type="dxa"/>
            </w:tcMar>
          </w:tcPr>
          <w:p>
            <w:pPr>
              <w:spacing w:after="0"/>
            </w:pPr>
            <w:r>
              <w:rPr>
                <w:color w:val="102130"/>
                <w:sz w:val="18"/>
              </w:rPr>
              <w:t>Changes create new versions and preserve the previous record.</w:t>
            </w:r>
          </w:p>
        </w:tc>
      </w:tr>
      <w:tr>
        <w:tc>
          <w:tcPr>
            <w:tcW w:type="dxa" w:w="2232"/>
            <w:vAlign w:val="center"/>
            <w:shd w:fill="F5F7F9"/>
            <w:tcMar>
              <w:top w:w="100" w:type="dxa"/>
              <w:start w:w="120" w:type="dxa"/>
              <w:bottom w:w="100" w:type="dxa"/>
              <w:end w:w="120" w:type="dxa"/>
            </w:tcMar>
          </w:tcPr>
          <w:p>
            <w:pPr>
              <w:spacing w:after="0"/>
            </w:pPr>
            <w:r>
              <w:rPr>
                <w:color w:val="102130"/>
                <w:sz w:val="18"/>
              </w:rPr>
              <w:t>Approval before consequence</w:t>
            </w:r>
          </w:p>
        </w:tc>
        <w:tc>
          <w:tcPr>
            <w:tcW w:type="dxa" w:w="7128"/>
            <w:vAlign w:val="center"/>
            <w:shd w:fill="F5F7F9"/>
            <w:tcMar>
              <w:top w:w="100" w:type="dxa"/>
              <w:start w:w="120" w:type="dxa"/>
              <w:bottom w:w="100" w:type="dxa"/>
              <w:end w:w="120" w:type="dxa"/>
            </w:tcMar>
          </w:tcPr>
          <w:p>
            <w:pPr>
              <w:spacing w:after="0"/>
            </w:pPr>
            <w:r>
              <w:rPr>
                <w:color w:val="102130"/>
                <w:sz w:val="18"/>
              </w:rPr>
              <w:t>Budget changes, overrides and external actions require authority.</w:t>
            </w:r>
          </w:p>
        </w:tc>
      </w:tr>
      <w:tr>
        <w:tc>
          <w:tcPr>
            <w:tcW w:type="dxa" w:w="2232"/>
            <w:vAlign w:val="center"/>
            <w:tcMar>
              <w:top w:w="100" w:type="dxa"/>
              <w:start w:w="120" w:type="dxa"/>
              <w:bottom w:w="100" w:type="dxa"/>
              <w:end w:w="120" w:type="dxa"/>
            </w:tcMar>
          </w:tcPr>
          <w:p>
            <w:pPr>
              <w:spacing w:after="0"/>
            </w:pPr>
            <w:r>
              <w:rPr>
                <w:color w:val="102130"/>
                <w:sz w:val="18"/>
              </w:rPr>
              <w:t>Uncertainty is visible</w:t>
            </w:r>
          </w:p>
        </w:tc>
        <w:tc>
          <w:tcPr>
            <w:tcW w:type="dxa" w:w="7128"/>
            <w:vAlign w:val="center"/>
            <w:tcMar>
              <w:top w:w="100" w:type="dxa"/>
              <w:start w:w="120" w:type="dxa"/>
              <w:bottom w:w="100" w:type="dxa"/>
              <w:end w:w="120" w:type="dxa"/>
            </w:tcMar>
          </w:tcPr>
          <w:p>
            <w:pPr>
              <w:spacing w:after="0"/>
            </w:pPr>
            <w:r>
              <w:rPr>
                <w:color w:val="102130"/>
                <w:sz w:val="18"/>
              </w:rPr>
              <w:t>Forecast and estimated costs are never presented as actual.</w:t>
            </w:r>
          </w:p>
        </w:tc>
      </w:tr>
      <w:tr>
        <w:tc>
          <w:tcPr>
            <w:tcW w:type="dxa" w:w="2232"/>
            <w:vAlign w:val="center"/>
            <w:shd w:fill="F5F7F9"/>
            <w:tcMar>
              <w:top w:w="100" w:type="dxa"/>
              <w:start w:w="120" w:type="dxa"/>
              <w:bottom w:w="100" w:type="dxa"/>
              <w:end w:w="120" w:type="dxa"/>
            </w:tcMar>
          </w:tcPr>
          <w:p>
            <w:pPr>
              <w:spacing w:after="0"/>
            </w:pPr>
            <w:r>
              <w:rPr>
                <w:color w:val="102130"/>
                <w:sz w:val="18"/>
              </w:rPr>
              <w:t>Last valid state protection</w:t>
            </w:r>
          </w:p>
        </w:tc>
        <w:tc>
          <w:tcPr>
            <w:tcW w:type="dxa" w:w="7128"/>
            <w:vAlign w:val="center"/>
            <w:shd w:fill="F5F7F9"/>
            <w:tcMar>
              <w:top w:w="100" w:type="dxa"/>
              <w:start w:w="120" w:type="dxa"/>
              <w:bottom w:w="100" w:type="dxa"/>
              <w:end w:w="120" w:type="dxa"/>
            </w:tcMar>
          </w:tcPr>
          <w:p>
            <w:pPr>
              <w:spacing w:after="0"/>
            </w:pPr>
            <w:r>
              <w:rPr>
                <w:color w:val="102130"/>
                <w:sz w:val="18"/>
              </w:rPr>
              <w:t>Failed imports or calculations cannot replace trusted results.</w:t>
            </w:r>
          </w:p>
        </w:tc>
      </w:tr>
    </w:tbl>
    <w:p>
      <w:pPr>
        <w:spacing w:after="0"/>
      </w:pPr>
    </w:p>
    <w:p>
      <w:pPr>
        <w:pStyle w:val="Heading2"/>
      </w:pPr>
      <w:r>
        <w:t>Success measures</w:t>
      </w:r>
    </w:p>
    <w:p>
      <w:pPr>
        <w:pStyle w:val="ListBullet"/>
      </w:pPr>
      <w:r>
        <w:t>Time from connection or upload to the first reconciled cost view.</w:t>
      </w:r>
    </w:p>
    <w:p>
      <w:pPr>
        <w:pStyle w:val="ListBullet"/>
      </w:pPr>
      <w:r>
        <w:t>Percentage of costs automatically categorised correctly.</w:t>
      </w:r>
    </w:p>
    <w:p>
      <w:pPr>
        <w:pStyle w:val="ListBullet"/>
      </w:pPr>
      <w:r>
        <w:t>Percentage of costs fully allocated to a budget and cost centre.</w:t>
      </w:r>
    </w:p>
    <w:p>
      <w:pPr>
        <w:pStyle w:val="ListBullet"/>
      </w:pPr>
      <w:r>
        <w:t>Duplicate or unsupported cost value detected.</w:t>
      </w:r>
    </w:p>
    <w:p>
      <w:pPr>
        <w:pStyle w:val="ListBullet"/>
      </w:pPr>
      <w:r>
        <w:t>Forecast final-cost accuracy.</w:t>
      </w:r>
    </w:p>
    <w:p>
      <w:pPr>
        <w:pStyle w:val="ListBullet"/>
      </w:pPr>
      <w:r>
        <w:t>Budget variance identified before the end of the reporting period.</w:t>
      </w:r>
    </w:p>
    <w:p>
      <w:pPr>
        <w:pStyle w:val="ListBullet"/>
      </w:pPr>
      <w:r>
        <w:t>Time required to complete monthly cost reporting.</w:t>
      </w:r>
    </w:p>
    <w:p>
      <w:pPr>
        <w:pStyle w:val="ListBullet"/>
      </w:pPr>
      <w:r>
        <w:t>Percentage of cost-review recommendations resolved.</w:t>
      </w:r>
    </w:p>
    <w:p>
      <w:pPr>
        <w:pStyle w:val="Heading1"/>
      </w:pPr>
      <w:r>
        <w:t>4. Users and permissions</w:t>
      </w:r>
    </w:p>
    <w:tbl>
      <w:tblPr>
        <w:tblStyle w:val="TableGrid"/>
        <w:tblW w:type="dxa" w:w="9360"/>
        <w:jc w:val="left"/>
        <w:tblLayout w:type="fixed"/>
        <w:tblLook w:firstColumn="1" w:firstRow="1" w:lastColumn="0" w:lastRow="0" w:noHBand="0" w:noVBand="1" w:val="04A0"/>
        <w:tblInd w:w="120" w:type="dxa"/>
      </w:tblPr>
      <w:tblGrid>
        <w:gridCol w:w="1944"/>
        <w:gridCol w:w="4536"/>
        <w:gridCol w:w="2880"/>
      </w:tblGrid>
      <w:tr>
        <w:trPr>
          <w:tblHeader w:val="true"/>
        </w:trPr>
        <w:tc>
          <w:tcPr>
            <w:tcW w:type="dxa" w:w="1944"/>
            <w:shd w:fill="0B1F33"/>
            <w:vAlign w:val="center"/>
            <w:tcMar>
              <w:top w:w="100" w:type="dxa"/>
              <w:start w:w="120" w:type="dxa"/>
              <w:bottom w:w="100" w:type="dxa"/>
              <w:end w:w="120" w:type="dxa"/>
            </w:tcMar>
          </w:tcPr>
          <w:p>
            <w:pPr>
              <w:spacing w:after="0"/>
            </w:pPr>
            <w:r>
              <w:rPr>
                <w:b/>
                <w:color w:val="FFFFFF"/>
                <w:sz w:val="17"/>
              </w:rPr>
              <w:t>Role</w:t>
            </w:r>
          </w:p>
        </w:tc>
        <w:tc>
          <w:tcPr>
            <w:tcW w:type="dxa" w:w="4536"/>
            <w:shd w:fill="0B1F33"/>
            <w:vAlign w:val="center"/>
            <w:tcMar>
              <w:top w:w="100" w:type="dxa"/>
              <w:start w:w="120" w:type="dxa"/>
              <w:bottom w:w="100" w:type="dxa"/>
              <w:end w:w="120" w:type="dxa"/>
            </w:tcMar>
          </w:tcPr>
          <w:p>
            <w:pPr>
              <w:spacing w:after="0"/>
            </w:pPr>
            <w:r>
              <w:rPr>
                <w:b/>
                <w:color w:val="FFFFFF"/>
                <w:sz w:val="17"/>
              </w:rPr>
              <w:t>Permitted activities</w:t>
            </w:r>
          </w:p>
        </w:tc>
        <w:tc>
          <w:tcPr>
            <w:tcW w:type="dxa" w:w="2880"/>
            <w:shd w:fill="0B1F33"/>
            <w:vAlign w:val="center"/>
            <w:tcMar>
              <w:top w:w="100" w:type="dxa"/>
              <w:start w:w="120" w:type="dxa"/>
              <w:bottom w:w="100" w:type="dxa"/>
              <w:end w:w="120" w:type="dxa"/>
            </w:tcMar>
          </w:tcPr>
          <w:p>
            <w:pPr>
              <w:spacing w:after="0"/>
            </w:pPr>
            <w:r>
              <w:rPr>
                <w:b/>
                <w:color w:val="FFFFFF"/>
                <w:sz w:val="17"/>
              </w:rPr>
              <w:t>Restricted activities</w:t>
            </w:r>
          </w:p>
        </w:tc>
      </w:tr>
      <w:tr>
        <w:tc>
          <w:tcPr>
            <w:tcW w:type="dxa" w:w="1944"/>
            <w:vAlign w:val="center"/>
            <w:tcMar>
              <w:top w:w="100" w:type="dxa"/>
              <w:start w:w="120" w:type="dxa"/>
              <w:bottom w:w="100" w:type="dxa"/>
              <w:end w:w="120" w:type="dxa"/>
            </w:tcMar>
          </w:tcPr>
          <w:p>
            <w:pPr>
              <w:spacing w:after="0"/>
            </w:pPr>
            <w:r>
              <w:rPr>
                <w:color w:val="102130"/>
                <w:sz w:val="17"/>
              </w:rPr>
              <w:t>Organisation owner</w:t>
            </w:r>
          </w:p>
        </w:tc>
        <w:tc>
          <w:tcPr>
            <w:tcW w:type="dxa" w:w="4536"/>
            <w:vAlign w:val="center"/>
            <w:tcMar>
              <w:top w:w="100" w:type="dxa"/>
              <w:start w:w="120" w:type="dxa"/>
              <w:bottom w:w="100" w:type="dxa"/>
              <w:end w:w="120" w:type="dxa"/>
            </w:tcMar>
          </w:tcPr>
          <w:p>
            <w:pPr>
              <w:spacing w:after="0"/>
            </w:pPr>
            <w:r>
              <w:rPr>
                <w:color w:val="102130"/>
                <w:sz w:val="17"/>
              </w:rPr>
              <w:t>All cost, budget, team and security administration</w:t>
            </w:r>
          </w:p>
        </w:tc>
        <w:tc>
          <w:tcPr>
            <w:tcW w:type="dxa" w:w="2880"/>
            <w:vAlign w:val="center"/>
            <w:tcMar>
              <w:top w:w="100" w:type="dxa"/>
              <w:start w:w="120" w:type="dxa"/>
              <w:bottom w:w="100" w:type="dxa"/>
              <w:end w:w="120" w:type="dxa"/>
            </w:tcMar>
          </w:tcPr>
          <w:p>
            <w:pPr>
              <w:spacing w:after="0"/>
            </w:pPr>
            <w:r>
              <w:rPr>
                <w:color w:val="102130"/>
                <w:sz w:val="17"/>
              </w:rPr>
              <w:t>None within organisation policy</w:t>
            </w:r>
          </w:p>
        </w:tc>
      </w:tr>
      <w:tr>
        <w:tc>
          <w:tcPr>
            <w:tcW w:type="dxa" w:w="1944"/>
            <w:vAlign w:val="center"/>
            <w:shd w:fill="F5F7F9"/>
            <w:tcMar>
              <w:top w:w="100" w:type="dxa"/>
              <w:start w:w="120" w:type="dxa"/>
              <w:bottom w:w="100" w:type="dxa"/>
              <w:end w:w="120" w:type="dxa"/>
            </w:tcMar>
          </w:tcPr>
          <w:p>
            <w:pPr>
              <w:spacing w:after="0"/>
            </w:pPr>
            <w:r>
              <w:rPr>
                <w:color w:val="102130"/>
                <w:sz w:val="17"/>
              </w:rPr>
              <w:t>Finance manager</w:t>
            </w:r>
          </w:p>
        </w:tc>
        <w:tc>
          <w:tcPr>
            <w:tcW w:type="dxa" w:w="4536"/>
            <w:vAlign w:val="center"/>
            <w:shd w:fill="F5F7F9"/>
            <w:tcMar>
              <w:top w:w="100" w:type="dxa"/>
              <w:start w:w="120" w:type="dxa"/>
              <w:bottom w:w="100" w:type="dxa"/>
              <w:end w:w="120" w:type="dxa"/>
            </w:tcMar>
          </w:tcPr>
          <w:p>
            <w:pPr>
              <w:spacing w:after="0"/>
            </w:pPr>
            <w:r>
              <w:rPr>
                <w:color w:val="102130"/>
                <w:sz w:val="17"/>
              </w:rPr>
              <w:t>Validate costs, manage forecasts, approve reviews and reports</w:t>
            </w:r>
          </w:p>
        </w:tc>
        <w:tc>
          <w:tcPr>
            <w:tcW w:type="dxa" w:w="2880"/>
            <w:vAlign w:val="center"/>
            <w:shd w:fill="F5F7F9"/>
            <w:tcMar>
              <w:top w:w="100" w:type="dxa"/>
              <w:start w:w="120" w:type="dxa"/>
              <w:bottom w:w="100" w:type="dxa"/>
              <w:end w:w="120" w:type="dxa"/>
            </w:tcMar>
          </w:tcPr>
          <w:p>
            <w:pPr>
              <w:spacing w:after="0"/>
            </w:pPr>
            <w:r>
              <w:rPr>
                <w:color w:val="102130"/>
                <w:sz w:val="17"/>
              </w:rPr>
              <w:t>Organisation closure and ownership transfer</w:t>
            </w:r>
          </w:p>
        </w:tc>
      </w:tr>
      <w:tr>
        <w:tc>
          <w:tcPr>
            <w:tcW w:type="dxa" w:w="1944"/>
            <w:vAlign w:val="center"/>
            <w:tcMar>
              <w:top w:w="100" w:type="dxa"/>
              <w:start w:w="120" w:type="dxa"/>
              <w:bottom w:w="100" w:type="dxa"/>
              <w:end w:w="120" w:type="dxa"/>
            </w:tcMar>
          </w:tcPr>
          <w:p>
            <w:pPr>
              <w:spacing w:after="0"/>
            </w:pPr>
            <w:r>
              <w:rPr>
                <w:color w:val="102130"/>
                <w:sz w:val="17"/>
              </w:rPr>
              <w:t>Budget owner</w:t>
            </w:r>
          </w:p>
        </w:tc>
        <w:tc>
          <w:tcPr>
            <w:tcW w:type="dxa" w:w="4536"/>
            <w:vAlign w:val="center"/>
            <w:tcMar>
              <w:top w:w="100" w:type="dxa"/>
              <w:start w:w="120" w:type="dxa"/>
              <w:bottom w:w="100" w:type="dxa"/>
              <w:end w:w="120" w:type="dxa"/>
            </w:tcMar>
          </w:tcPr>
          <w:p>
            <w:pPr>
              <w:spacing w:after="0"/>
            </w:pPr>
            <w:r>
              <w:rPr>
                <w:color w:val="102130"/>
                <w:sz w:val="17"/>
              </w:rPr>
              <w:t>View and manage assigned budgets; approve permitted changes</w:t>
            </w:r>
          </w:p>
        </w:tc>
        <w:tc>
          <w:tcPr>
            <w:tcW w:type="dxa" w:w="2880"/>
            <w:vAlign w:val="center"/>
            <w:tcMar>
              <w:top w:w="100" w:type="dxa"/>
              <w:start w:w="120" w:type="dxa"/>
              <w:bottom w:w="100" w:type="dxa"/>
              <w:end w:w="120" w:type="dxa"/>
            </w:tcMar>
          </w:tcPr>
          <w:p>
            <w:pPr>
              <w:spacing w:after="0"/>
            </w:pPr>
            <w:r>
              <w:rPr>
                <w:color w:val="102130"/>
                <w:sz w:val="17"/>
              </w:rPr>
              <w:t>Other budgets and security settings</w:t>
            </w:r>
          </w:p>
        </w:tc>
      </w:tr>
      <w:tr>
        <w:tc>
          <w:tcPr>
            <w:tcW w:type="dxa" w:w="1944"/>
            <w:vAlign w:val="center"/>
            <w:shd w:fill="F5F7F9"/>
            <w:tcMar>
              <w:top w:w="100" w:type="dxa"/>
              <w:start w:w="120" w:type="dxa"/>
              <w:bottom w:w="100" w:type="dxa"/>
              <w:end w:w="120" w:type="dxa"/>
            </w:tcMar>
          </w:tcPr>
          <w:p>
            <w:pPr>
              <w:spacing w:after="0"/>
            </w:pPr>
            <w:r>
              <w:rPr>
                <w:color w:val="102130"/>
                <w:sz w:val="17"/>
              </w:rPr>
              <w:t>Cost reviewer</w:t>
            </w:r>
          </w:p>
        </w:tc>
        <w:tc>
          <w:tcPr>
            <w:tcW w:type="dxa" w:w="4536"/>
            <w:vAlign w:val="center"/>
            <w:shd w:fill="F5F7F9"/>
            <w:tcMar>
              <w:top w:w="100" w:type="dxa"/>
              <w:start w:w="120" w:type="dxa"/>
              <w:bottom w:w="100" w:type="dxa"/>
              <w:end w:w="120" w:type="dxa"/>
            </w:tcMar>
          </w:tcPr>
          <w:p>
            <w:pPr>
              <w:spacing w:after="0"/>
            </w:pPr>
            <w:r>
              <w:rPr>
                <w:color w:val="102130"/>
                <w:sz w:val="17"/>
              </w:rPr>
              <w:t>Review allocations, evidence and exceptions</w:t>
            </w:r>
          </w:p>
        </w:tc>
        <w:tc>
          <w:tcPr>
            <w:tcW w:type="dxa" w:w="2880"/>
            <w:vAlign w:val="center"/>
            <w:shd w:fill="F5F7F9"/>
            <w:tcMar>
              <w:top w:w="100" w:type="dxa"/>
              <w:start w:w="120" w:type="dxa"/>
              <w:bottom w:w="100" w:type="dxa"/>
              <w:end w:w="120" w:type="dxa"/>
            </w:tcMar>
          </w:tcPr>
          <w:p>
            <w:pPr>
              <w:spacing w:after="0"/>
            </w:pPr>
            <w:r>
              <w:rPr>
                <w:color w:val="102130"/>
                <w:sz w:val="17"/>
              </w:rPr>
              <w:t>Budget baseline and user administration</w:t>
            </w:r>
          </w:p>
        </w:tc>
      </w:tr>
      <w:tr>
        <w:tc>
          <w:tcPr>
            <w:tcW w:type="dxa" w:w="1944"/>
            <w:vAlign w:val="center"/>
            <w:tcMar>
              <w:top w:w="100" w:type="dxa"/>
              <w:start w:w="120" w:type="dxa"/>
              <w:bottom w:w="100" w:type="dxa"/>
              <w:end w:w="120" w:type="dxa"/>
            </w:tcMar>
          </w:tcPr>
          <w:p>
            <w:pPr>
              <w:spacing w:after="0"/>
            </w:pPr>
            <w:r>
              <w:rPr>
                <w:color w:val="102130"/>
                <w:sz w:val="17"/>
              </w:rPr>
              <w:t>Accountant/auditor</w:t>
            </w:r>
          </w:p>
        </w:tc>
        <w:tc>
          <w:tcPr>
            <w:tcW w:type="dxa" w:w="4536"/>
            <w:vAlign w:val="center"/>
            <w:tcMar>
              <w:top w:w="100" w:type="dxa"/>
              <w:start w:w="120" w:type="dxa"/>
              <w:bottom w:w="100" w:type="dxa"/>
              <w:end w:w="120" w:type="dxa"/>
            </w:tcMar>
          </w:tcPr>
          <w:p>
            <w:pPr>
              <w:spacing w:after="0"/>
            </w:pPr>
            <w:r>
              <w:rPr>
                <w:color w:val="102130"/>
                <w:sz w:val="17"/>
              </w:rPr>
              <w:t>Read records, sources, corrections and exports</w:t>
            </w:r>
          </w:p>
        </w:tc>
        <w:tc>
          <w:tcPr>
            <w:tcW w:type="dxa" w:w="2880"/>
            <w:vAlign w:val="center"/>
            <w:tcMar>
              <w:top w:w="100" w:type="dxa"/>
              <w:start w:w="120" w:type="dxa"/>
              <w:bottom w:w="100" w:type="dxa"/>
              <w:end w:w="120" w:type="dxa"/>
            </w:tcMar>
          </w:tcPr>
          <w:p>
            <w:pPr>
              <w:spacing w:after="0"/>
            </w:pPr>
            <w:r>
              <w:rPr>
                <w:color w:val="102130"/>
                <w:sz w:val="17"/>
              </w:rPr>
              <w:t>Operational changes unless separately granted</w:t>
            </w:r>
          </w:p>
        </w:tc>
      </w:tr>
      <w:tr>
        <w:tc>
          <w:tcPr>
            <w:tcW w:type="dxa" w:w="1944"/>
            <w:vAlign w:val="center"/>
            <w:shd w:fill="F5F7F9"/>
            <w:tcMar>
              <w:top w:w="100" w:type="dxa"/>
              <w:start w:w="120" w:type="dxa"/>
              <w:bottom w:w="100" w:type="dxa"/>
              <w:end w:w="120" w:type="dxa"/>
            </w:tcMar>
          </w:tcPr>
          <w:p>
            <w:pPr>
              <w:spacing w:after="0"/>
            </w:pPr>
            <w:r>
              <w:rPr>
                <w:color w:val="102130"/>
                <w:sz w:val="17"/>
              </w:rPr>
              <w:t>Read only</w:t>
            </w:r>
          </w:p>
        </w:tc>
        <w:tc>
          <w:tcPr>
            <w:tcW w:type="dxa" w:w="4536"/>
            <w:vAlign w:val="center"/>
            <w:shd w:fill="F5F7F9"/>
            <w:tcMar>
              <w:top w:w="100" w:type="dxa"/>
              <w:start w:w="120" w:type="dxa"/>
              <w:bottom w:w="100" w:type="dxa"/>
              <w:end w:w="120" w:type="dxa"/>
            </w:tcMar>
          </w:tcPr>
          <w:p>
            <w:pPr>
              <w:spacing w:after="0"/>
            </w:pPr>
            <w:r>
              <w:rPr>
                <w:color w:val="102130"/>
                <w:sz w:val="17"/>
              </w:rPr>
              <w:t>View approved reports and permitted cost areas</w:t>
            </w:r>
          </w:p>
        </w:tc>
        <w:tc>
          <w:tcPr>
            <w:tcW w:type="dxa" w:w="2880"/>
            <w:vAlign w:val="center"/>
            <w:shd w:fill="F5F7F9"/>
            <w:tcMar>
              <w:top w:w="100" w:type="dxa"/>
              <w:start w:w="120" w:type="dxa"/>
              <w:bottom w:w="100" w:type="dxa"/>
              <w:end w:w="120" w:type="dxa"/>
            </w:tcMar>
          </w:tcPr>
          <w:p>
            <w:pPr>
              <w:spacing w:after="0"/>
            </w:pPr>
            <w:r>
              <w:rPr>
                <w:color w:val="102130"/>
                <w:sz w:val="17"/>
              </w:rPr>
              <w:t>Edits, approvals and exports not expressly granted</w:t>
            </w:r>
          </w:p>
        </w:tc>
      </w:tr>
    </w:tbl>
    <w:p>
      <w:pPr>
        <w:spacing w:after="0"/>
      </w:pPr>
    </w:p>
    <w:p>
      <w:r>
        <w:t>Permissions must be enforced on the server. Hiding an interface control is not an authorisation mechanism. Sensitive wage data and supplier banking information require more restrictive permissions than aggregated cost totals.</w:t>
      </w:r>
    </w:p>
    <w:p>
      <w:pPr>
        <w:pStyle w:val="Heading1"/>
      </w:pPr>
      <w:r>
        <w:t>5. Cost model and terminology</w:t>
      </w:r>
    </w:p>
    <w:tbl>
      <w:tblPr>
        <w:tblStyle w:val="TableGrid"/>
        <w:tblW w:type="dxa" w:w="9360"/>
        <w:jc w:val="left"/>
        <w:tblLayout w:type="fixed"/>
        <w:tblLook w:firstColumn="1" w:firstRow="1" w:lastColumn="0" w:lastRow="0" w:noHBand="0" w:noVBand="1" w:val="04A0"/>
        <w:tblInd w:w="120" w:type="dxa"/>
      </w:tblPr>
      <w:tblGrid>
        <w:gridCol w:w="2376"/>
        <w:gridCol w:w="6983"/>
      </w:tblGrid>
      <w:tr>
        <w:trPr>
          <w:tblHeader w:val="true"/>
        </w:trPr>
        <w:tc>
          <w:tcPr>
            <w:tcW w:type="dxa" w:w="2376"/>
            <w:shd w:fill="0B1F33"/>
            <w:vAlign w:val="center"/>
            <w:tcMar>
              <w:top w:w="100" w:type="dxa"/>
              <w:start w:w="120" w:type="dxa"/>
              <w:bottom w:w="100" w:type="dxa"/>
              <w:end w:w="120" w:type="dxa"/>
            </w:tcMar>
          </w:tcPr>
          <w:p>
            <w:pPr>
              <w:spacing w:after="0"/>
            </w:pPr>
            <w:r>
              <w:rPr>
                <w:b/>
                <w:color w:val="FFFFFF"/>
                <w:sz w:val="18"/>
              </w:rPr>
              <w:t>Term</w:t>
            </w:r>
          </w:p>
        </w:tc>
        <w:tc>
          <w:tcPr>
            <w:tcW w:type="dxa" w:w="6983"/>
            <w:shd w:fill="0B1F33"/>
            <w:vAlign w:val="center"/>
            <w:tcMar>
              <w:top w:w="100" w:type="dxa"/>
              <w:start w:w="120" w:type="dxa"/>
              <w:bottom w:w="100" w:type="dxa"/>
              <w:end w:w="120" w:type="dxa"/>
            </w:tcMar>
          </w:tcPr>
          <w:p>
            <w:pPr>
              <w:spacing w:after="0"/>
            </w:pPr>
            <w:r>
              <w:rPr>
                <w:b/>
                <w:color w:val="FFFFFF"/>
                <w:sz w:val="18"/>
              </w:rPr>
              <w:t>Definition</w:t>
            </w:r>
          </w:p>
        </w:tc>
      </w:tr>
      <w:tr>
        <w:tc>
          <w:tcPr>
            <w:tcW w:type="dxa" w:w="2376"/>
            <w:vAlign w:val="center"/>
            <w:tcMar>
              <w:top w:w="100" w:type="dxa"/>
              <w:start w:w="120" w:type="dxa"/>
              <w:bottom w:w="100" w:type="dxa"/>
              <w:end w:w="120" w:type="dxa"/>
            </w:tcMar>
          </w:tcPr>
          <w:p>
            <w:pPr>
              <w:spacing w:after="0"/>
            </w:pPr>
            <w:r>
              <w:rPr>
                <w:color w:val="102130"/>
                <w:sz w:val="18"/>
              </w:rPr>
              <w:t>Approved budget</w:t>
            </w:r>
          </w:p>
        </w:tc>
        <w:tc>
          <w:tcPr>
            <w:tcW w:type="dxa" w:w="6983"/>
            <w:vAlign w:val="center"/>
            <w:tcMar>
              <w:top w:w="100" w:type="dxa"/>
              <w:start w:w="120" w:type="dxa"/>
              <w:bottom w:w="100" w:type="dxa"/>
              <w:end w:w="120" w:type="dxa"/>
            </w:tcMar>
          </w:tcPr>
          <w:p>
            <w:pPr>
              <w:spacing w:after="0"/>
            </w:pPr>
            <w:r>
              <w:rPr>
                <w:color w:val="102130"/>
                <w:sz w:val="18"/>
              </w:rPr>
              <w:t>The formally authorised cost envelope for a defined scope and period.</w:t>
            </w:r>
          </w:p>
        </w:tc>
      </w:tr>
      <w:tr>
        <w:tc>
          <w:tcPr>
            <w:tcW w:type="dxa" w:w="2376"/>
            <w:vAlign w:val="center"/>
            <w:shd w:fill="F5F7F9"/>
            <w:tcMar>
              <w:top w:w="100" w:type="dxa"/>
              <w:start w:w="120" w:type="dxa"/>
              <w:bottom w:w="100" w:type="dxa"/>
              <w:end w:w="120" w:type="dxa"/>
            </w:tcMar>
          </w:tcPr>
          <w:p>
            <w:pPr>
              <w:spacing w:after="0"/>
            </w:pPr>
            <w:r>
              <w:rPr>
                <w:color w:val="102130"/>
                <w:sz w:val="18"/>
              </w:rPr>
              <w:t>Actual cost</w:t>
            </w:r>
          </w:p>
        </w:tc>
        <w:tc>
          <w:tcPr>
            <w:tcW w:type="dxa" w:w="6983"/>
            <w:vAlign w:val="center"/>
            <w:shd w:fill="F5F7F9"/>
            <w:tcMar>
              <w:top w:w="100" w:type="dxa"/>
              <w:start w:w="120" w:type="dxa"/>
              <w:bottom w:w="100" w:type="dxa"/>
              <w:end w:w="120" w:type="dxa"/>
            </w:tcMar>
          </w:tcPr>
          <w:p>
            <w:pPr>
              <w:spacing w:after="0"/>
            </w:pPr>
            <w:r>
              <w:rPr>
                <w:color w:val="102130"/>
                <w:sz w:val="18"/>
              </w:rPr>
              <w:t>A cost already incurred and supported by a validated transaction, invoice or approved summary.</w:t>
            </w:r>
          </w:p>
        </w:tc>
      </w:tr>
      <w:tr>
        <w:tc>
          <w:tcPr>
            <w:tcW w:type="dxa" w:w="2376"/>
            <w:vAlign w:val="center"/>
            <w:tcMar>
              <w:top w:w="100" w:type="dxa"/>
              <w:start w:w="120" w:type="dxa"/>
              <w:bottom w:w="100" w:type="dxa"/>
              <w:end w:w="120" w:type="dxa"/>
            </w:tcMar>
          </w:tcPr>
          <w:p>
            <w:pPr>
              <w:spacing w:after="0"/>
            </w:pPr>
            <w:r>
              <w:rPr>
                <w:color w:val="102130"/>
                <w:sz w:val="18"/>
              </w:rPr>
              <w:t>Committed cost</w:t>
            </w:r>
          </w:p>
        </w:tc>
        <w:tc>
          <w:tcPr>
            <w:tcW w:type="dxa" w:w="6983"/>
            <w:vAlign w:val="center"/>
            <w:tcMar>
              <w:top w:w="100" w:type="dxa"/>
              <w:start w:w="120" w:type="dxa"/>
              <w:bottom w:w="100" w:type="dxa"/>
              <w:end w:w="120" w:type="dxa"/>
            </w:tcMar>
          </w:tcPr>
          <w:p>
            <w:pPr>
              <w:spacing w:after="0"/>
            </w:pPr>
            <w:r>
              <w:rPr>
                <w:color w:val="102130"/>
                <w:sz w:val="18"/>
              </w:rPr>
              <w:t>A future amount the organisation is contractually or operationally obligated to pay.</w:t>
            </w:r>
          </w:p>
        </w:tc>
      </w:tr>
      <w:tr>
        <w:tc>
          <w:tcPr>
            <w:tcW w:type="dxa" w:w="2376"/>
            <w:vAlign w:val="center"/>
            <w:shd w:fill="F5F7F9"/>
            <w:tcMar>
              <w:top w:w="100" w:type="dxa"/>
              <w:start w:w="120" w:type="dxa"/>
              <w:bottom w:w="100" w:type="dxa"/>
              <w:end w:w="120" w:type="dxa"/>
            </w:tcMar>
          </w:tcPr>
          <w:p>
            <w:pPr>
              <w:spacing w:after="0"/>
            </w:pPr>
            <w:r>
              <w:rPr>
                <w:color w:val="102130"/>
                <w:sz w:val="18"/>
              </w:rPr>
              <w:t>Forecast cost</w:t>
            </w:r>
          </w:p>
        </w:tc>
        <w:tc>
          <w:tcPr>
            <w:tcW w:type="dxa" w:w="6983"/>
            <w:vAlign w:val="center"/>
            <w:shd w:fill="F5F7F9"/>
            <w:tcMar>
              <w:top w:w="100" w:type="dxa"/>
              <w:start w:w="120" w:type="dxa"/>
              <w:bottom w:w="100" w:type="dxa"/>
              <w:end w:w="120" w:type="dxa"/>
            </w:tcMar>
          </w:tcPr>
          <w:p>
            <w:pPr>
              <w:spacing w:after="0"/>
            </w:pPr>
            <w:r>
              <w:rPr>
                <w:color w:val="102130"/>
                <w:sz w:val="18"/>
              </w:rPr>
              <w:t>An expected future cost that is not yet committed.</w:t>
            </w:r>
          </w:p>
        </w:tc>
      </w:tr>
      <w:tr>
        <w:tc>
          <w:tcPr>
            <w:tcW w:type="dxa" w:w="2376"/>
            <w:vAlign w:val="center"/>
            <w:tcMar>
              <w:top w:w="100" w:type="dxa"/>
              <w:start w:w="120" w:type="dxa"/>
              <w:bottom w:w="100" w:type="dxa"/>
              <w:end w:w="120" w:type="dxa"/>
            </w:tcMar>
          </w:tcPr>
          <w:p>
            <w:pPr>
              <w:spacing w:after="0"/>
            </w:pPr>
            <w:r>
              <w:rPr>
                <w:color w:val="102130"/>
                <w:sz w:val="18"/>
              </w:rPr>
              <w:t>Estimated cost</w:t>
            </w:r>
          </w:p>
        </w:tc>
        <w:tc>
          <w:tcPr>
            <w:tcW w:type="dxa" w:w="6983"/>
            <w:vAlign w:val="center"/>
            <w:tcMar>
              <w:top w:w="100" w:type="dxa"/>
              <w:start w:w="120" w:type="dxa"/>
              <w:bottom w:w="100" w:type="dxa"/>
              <w:end w:w="120" w:type="dxa"/>
            </w:tcMar>
          </w:tcPr>
          <w:p>
            <w:pPr>
              <w:spacing w:after="0"/>
            </w:pPr>
            <w:r>
              <w:rPr>
                <w:color w:val="102130"/>
                <w:sz w:val="18"/>
              </w:rPr>
              <w:t>A provisional amount with explicit uncertainty and a recorded estimation method.</w:t>
            </w:r>
          </w:p>
        </w:tc>
      </w:tr>
      <w:tr>
        <w:tc>
          <w:tcPr>
            <w:tcW w:type="dxa" w:w="2376"/>
            <w:vAlign w:val="center"/>
            <w:shd w:fill="F5F7F9"/>
            <w:tcMar>
              <w:top w:w="100" w:type="dxa"/>
              <w:start w:w="120" w:type="dxa"/>
              <w:bottom w:w="100" w:type="dxa"/>
              <w:end w:w="120" w:type="dxa"/>
            </w:tcMar>
          </w:tcPr>
          <w:p>
            <w:pPr>
              <w:spacing w:after="0"/>
            </w:pPr>
            <w:r>
              <w:rPr>
                <w:color w:val="102130"/>
                <w:sz w:val="18"/>
              </w:rPr>
              <w:t>Contingency</w:t>
            </w:r>
          </w:p>
        </w:tc>
        <w:tc>
          <w:tcPr>
            <w:tcW w:type="dxa" w:w="6983"/>
            <w:vAlign w:val="center"/>
            <w:shd w:fill="F5F7F9"/>
            <w:tcMar>
              <w:top w:w="100" w:type="dxa"/>
              <w:start w:w="120" w:type="dxa"/>
              <w:bottom w:w="100" w:type="dxa"/>
              <w:end w:w="120" w:type="dxa"/>
            </w:tcMar>
          </w:tcPr>
          <w:p>
            <w:pPr>
              <w:spacing w:after="0"/>
            </w:pPr>
            <w:r>
              <w:rPr>
                <w:color w:val="102130"/>
                <w:sz w:val="18"/>
              </w:rPr>
              <w:t>Approved budget reserved for defined uncertainty.</w:t>
            </w:r>
          </w:p>
        </w:tc>
      </w:tr>
      <w:tr>
        <w:tc>
          <w:tcPr>
            <w:tcW w:type="dxa" w:w="2376"/>
            <w:vAlign w:val="center"/>
            <w:tcMar>
              <w:top w:w="100" w:type="dxa"/>
              <w:start w:w="120" w:type="dxa"/>
              <w:bottom w:w="100" w:type="dxa"/>
              <w:end w:w="120" w:type="dxa"/>
            </w:tcMar>
          </w:tcPr>
          <w:p>
            <w:pPr>
              <w:spacing w:after="0"/>
            </w:pPr>
            <w:r>
              <w:rPr>
                <w:color w:val="102130"/>
                <w:sz w:val="18"/>
              </w:rPr>
              <w:t>Available budget</w:t>
            </w:r>
          </w:p>
        </w:tc>
        <w:tc>
          <w:tcPr>
            <w:tcW w:type="dxa" w:w="6983"/>
            <w:vAlign w:val="center"/>
            <w:tcMar>
              <w:top w:w="100" w:type="dxa"/>
              <w:start w:w="120" w:type="dxa"/>
              <w:bottom w:w="100" w:type="dxa"/>
              <w:end w:w="120" w:type="dxa"/>
            </w:tcMar>
          </w:tcPr>
          <w:p>
            <w:pPr>
              <w:spacing w:after="0"/>
            </w:pPr>
            <w:r>
              <w:rPr>
                <w:color w:val="102130"/>
                <w:sz w:val="18"/>
              </w:rPr>
              <w:t>Approved budget less actual and committed costs.</w:t>
            </w:r>
          </w:p>
        </w:tc>
      </w:tr>
      <w:tr>
        <w:tc>
          <w:tcPr>
            <w:tcW w:type="dxa" w:w="2376"/>
            <w:vAlign w:val="center"/>
            <w:shd w:fill="F5F7F9"/>
            <w:tcMar>
              <w:top w:w="100" w:type="dxa"/>
              <w:start w:w="120" w:type="dxa"/>
              <w:bottom w:w="100" w:type="dxa"/>
              <w:end w:w="120" w:type="dxa"/>
            </w:tcMar>
          </w:tcPr>
          <w:p>
            <w:pPr>
              <w:spacing w:after="0"/>
            </w:pPr>
            <w:r>
              <w:rPr>
                <w:color w:val="102130"/>
                <w:sz w:val="18"/>
              </w:rPr>
              <w:t>Projected remaining budget</w:t>
            </w:r>
          </w:p>
        </w:tc>
        <w:tc>
          <w:tcPr>
            <w:tcW w:type="dxa" w:w="6983"/>
            <w:vAlign w:val="center"/>
            <w:shd w:fill="F5F7F9"/>
            <w:tcMar>
              <w:top w:w="100" w:type="dxa"/>
              <w:start w:w="120" w:type="dxa"/>
              <w:bottom w:w="100" w:type="dxa"/>
              <w:end w:w="120" w:type="dxa"/>
            </w:tcMar>
          </w:tcPr>
          <w:p>
            <w:pPr>
              <w:spacing w:after="0"/>
            </w:pPr>
            <w:r>
              <w:rPr>
                <w:color w:val="102130"/>
                <w:sz w:val="18"/>
              </w:rPr>
              <w:t>Approved budget less actual, committed and forecast costs.</w:t>
            </w:r>
          </w:p>
        </w:tc>
      </w:tr>
      <w:tr>
        <w:tc>
          <w:tcPr>
            <w:tcW w:type="dxa" w:w="2376"/>
            <w:vAlign w:val="center"/>
            <w:tcMar>
              <w:top w:w="100" w:type="dxa"/>
              <w:start w:w="120" w:type="dxa"/>
              <w:bottom w:w="100" w:type="dxa"/>
              <w:end w:w="120" w:type="dxa"/>
            </w:tcMar>
          </w:tcPr>
          <w:p>
            <w:pPr>
              <w:spacing w:after="0"/>
            </w:pPr>
            <w:r>
              <w:rPr>
                <w:color w:val="102130"/>
                <w:sz w:val="18"/>
              </w:rPr>
              <w:t>Projected final cost</w:t>
            </w:r>
          </w:p>
        </w:tc>
        <w:tc>
          <w:tcPr>
            <w:tcW w:type="dxa" w:w="6983"/>
            <w:vAlign w:val="center"/>
            <w:tcMar>
              <w:top w:w="100" w:type="dxa"/>
              <w:start w:w="120" w:type="dxa"/>
              <w:bottom w:w="100" w:type="dxa"/>
              <w:end w:w="120" w:type="dxa"/>
            </w:tcMar>
          </w:tcPr>
          <w:p>
            <w:pPr>
              <w:spacing w:after="0"/>
            </w:pPr>
            <w:r>
              <w:rPr>
                <w:color w:val="102130"/>
                <w:sz w:val="18"/>
              </w:rPr>
              <w:t>Actual plus committed plus forecast costs, without double counting.</w:t>
            </w:r>
          </w:p>
        </w:tc>
      </w:tr>
      <w:tr>
        <w:tc>
          <w:tcPr>
            <w:tcW w:type="dxa" w:w="2376"/>
            <w:vAlign w:val="center"/>
            <w:shd w:fill="F5F7F9"/>
            <w:tcMar>
              <w:top w:w="100" w:type="dxa"/>
              <w:start w:w="120" w:type="dxa"/>
              <w:bottom w:w="100" w:type="dxa"/>
              <w:end w:w="120" w:type="dxa"/>
            </w:tcMar>
          </w:tcPr>
          <w:p>
            <w:pPr>
              <w:spacing w:after="0"/>
            </w:pPr>
            <w:r>
              <w:rPr>
                <w:color w:val="102130"/>
                <w:sz w:val="18"/>
              </w:rPr>
              <w:t>Variance</w:t>
            </w:r>
          </w:p>
        </w:tc>
        <w:tc>
          <w:tcPr>
            <w:tcW w:type="dxa" w:w="6983"/>
            <w:vAlign w:val="center"/>
            <w:shd w:fill="F5F7F9"/>
            <w:tcMar>
              <w:top w:w="100" w:type="dxa"/>
              <w:start w:w="120" w:type="dxa"/>
              <w:bottom w:w="100" w:type="dxa"/>
              <w:end w:w="120" w:type="dxa"/>
            </w:tcMar>
          </w:tcPr>
          <w:p>
            <w:pPr>
              <w:spacing w:after="0"/>
            </w:pPr>
            <w:r>
              <w:rPr>
                <w:color w:val="102130"/>
                <w:sz w:val="18"/>
              </w:rPr>
              <w:t>Difference between budget or baseline and actual or forecast cost.</w:t>
            </w:r>
          </w:p>
        </w:tc>
      </w:tr>
    </w:tbl>
    <w:p>
      <w:pPr>
        <w:spacing w:after="0"/>
      </w:pPr>
    </w:p>
    <w:p>
      <w:pPr>
        <w:pStyle w:val="Heading2"/>
      </w:pPr>
      <w:r>
        <w:t>Authoritative budget equations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AVAILABLE BUDGET</w:t>
            </w:r>
          </w:p>
          <w:p>
            <w:pPr>
              <w:spacing w:after="0"/>
            </w:pPr>
            <w:r>
              <w:rPr>
                <w:b/>
                <w:color w:val="0B1F33"/>
                <w:sz w:val="23"/>
              </w:rPr>
              <w:t>Approved budget - actual costs - committed costs = available budget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PROJECTED REMAINING BUDGET</w:t>
            </w:r>
          </w:p>
          <w:p>
            <w:pPr>
              <w:spacing w:after="0"/>
            </w:pPr>
            <w:r>
              <w:rPr>
                <w:b/>
                <w:color w:val="0B1F33"/>
                <w:sz w:val="23"/>
              </w:rPr>
              <w:t>Approved budget - actual costs - committed costs - forecast costs = projected remaining budget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PROJECTED FINAL COST</w:t>
            </w:r>
          </w:p>
          <w:p>
            <w:pPr>
              <w:spacing w:after="0"/>
            </w:pPr>
            <w:r>
              <w:rPr>
                <w:b/>
                <w:color w:val="0B1F33"/>
                <w:sz w:val="23"/>
              </w:rPr>
              <w:t>Actual costs + committed costs + forecast costs = projected final cost</w:t>
            </w:r>
          </w:p>
        </w:tc>
      </w:tr>
    </w:tbl>
    <w:p>
      <w:pPr>
        <w:spacing w:after="0"/>
      </w:pPr>
    </w:p>
    <w:p>
      <w:r>
        <w:t>A single economic cost may occupy only one lifecycle status at a time. When a commitment becomes actual, the commitment is converted or linked to the actual record; it is not added again.</w:t>
      </w:r>
    </w:p>
    <w:p>
      <w:pPr>
        <w:pStyle w:val="Heading1"/>
      </w:pPr>
      <w:r>
        <w:t>6. Cost categories and allocation</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0B1F33"/>
            <w:vAlign w:val="center"/>
            <w:tcMar>
              <w:top w:w="100" w:type="dxa"/>
              <w:start w:w="120" w:type="dxa"/>
              <w:bottom w:w="100" w:type="dxa"/>
              <w:end w:w="120" w:type="dxa"/>
            </w:tcMar>
          </w:tcPr>
          <w:p>
            <w:pPr>
              <w:spacing w:after="0"/>
            </w:pPr>
            <w:r>
              <w:rPr>
                <w:b/>
                <w:color w:val="FFFFFF"/>
                <w:sz w:val="17"/>
              </w:rPr>
              <w:t>Category</w:t>
            </w:r>
          </w:p>
        </w:tc>
        <w:tc>
          <w:tcPr>
            <w:tcW w:type="dxa" w:w="7272"/>
            <w:shd w:fill="0B1F33"/>
            <w:vAlign w:val="center"/>
            <w:tcMar>
              <w:top w:w="100" w:type="dxa"/>
              <w:start w:w="120" w:type="dxa"/>
              <w:bottom w:w="100" w:type="dxa"/>
              <w:end w:w="120" w:type="dxa"/>
            </w:tcMar>
          </w:tcPr>
          <w:p>
            <w:pPr>
              <w:spacing w:after="0"/>
            </w:pPr>
            <w:r>
              <w:rPr>
                <w:b/>
                <w:color w:val="FFFFFF"/>
                <w:sz w:val="17"/>
              </w:rPr>
              <w:t>Included costs</w:t>
            </w:r>
          </w:p>
        </w:tc>
      </w:tr>
      <w:tr>
        <w:tc>
          <w:tcPr>
            <w:tcW w:type="dxa" w:w="2088"/>
            <w:vAlign w:val="center"/>
            <w:tcMar>
              <w:top w:w="100" w:type="dxa"/>
              <w:start w:w="120" w:type="dxa"/>
              <w:bottom w:w="100" w:type="dxa"/>
              <w:end w:w="120" w:type="dxa"/>
            </w:tcMar>
          </w:tcPr>
          <w:p>
            <w:pPr>
              <w:spacing w:after="0"/>
            </w:pPr>
            <w:r>
              <w:rPr>
                <w:color w:val="102130"/>
                <w:sz w:val="17"/>
              </w:rPr>
              <w:t>Fuel</w:t>
            </w:r>
          </w:p>
        </w:tc>
        <w:tc>
          <w:tcPr>
            <w:tcW w:type="dxa" w:w="7272"/>
            <w:vAlign w:val="center"/>
            <w:tcMar>
              <w:top w:w="100" w:type="dxa"/>
              <w:start w:w="120" w:type="dxa"/>
              <w:bottom w:w="100" w:type="dxa"/>
              <w:end w:w="120" w:type="dxa"/>
            </w:tcMar>
          </w:tcPr>
          <w:p>
            <w:pPr>
              <w:spacing w:after="0"/>
            </w:pPr>
            <w:r>
              <w:rPr>
                <w:color w:val="102130"/>
                <w:sz w:val="17"/>
              </w:rPr>
              <w:t>Fuel-card and cash fuel purchases, electricity charging, AdBlue, VAT and applicable fees</w:t>
            </w:r>
          </w:p>
        </w:tc>
      </w:tr>
      <w:tr>
        <w:tc>
          <w:tcPr>
            <w:tcW w:type="dxa" w:w="2088"/>
            <w:vAlign w:val="center"/>
            <w:shd w:fill="F5F7F9"/>
            <w:tcMar>
              <w:top w:w="100" w:type="dxa"/>
              <w:start w:w="120" w:type="dxa"/>
              <w:bottom w:w="100" w:type="dxa"/>
              <w:end w:w="120" w:type="dxa"/>
            </w:tcMar>
          </w:tcPr>
          <w:p>
            <w:pPr>
              <w:spacing w:after="0"/>
            </w:pPr>
            <w:r>
              <w:rPr>
                <w:color w:val="102130"/>
                <w:sz w:val="17"/>
              </w:rPr>
              <w:t>Vehicle ownership</w:t>
            </w:r>
          </w:p>
        </w:tc>
        <w:tc>
          <w:tcPr>
            <w:tcW w:type="dxa" w:w="7272"/>
            <w:vAlign w:val="center"/>
            <w:shd w:fill="F5F7F9"/>
            <w:tcMar>
              <w:top w:w="100" w:type="dxa"/>
              <w:start w:w="120" w:type="dxa"/>
              <w:bottom w:w="100" w:type="dxa"/>
              <w:end w:w="120" w:type="dxa"/>
            </w:tcMar>
          </w:tcPr>
          <w:p>
            <w:pPr>
              <w:spacing w:after="0"/>
            </w:pPr>
            <w:r>
              <w:rPr>
                <w:color w:val="102130"/>
                <w:sz w:val="17"/>
              </w:rPr>
              <w:t>Purchase, lease, finance, interest, insurance, tax, depreciation and disposal</w:t>
            </w:r>
          </w:p>
        </w:tc>
      </w:tr>
      <w:tr>
        <w:tc>
          <w:tcPr>
            <w:tcW w:type="dxa" w:w="2088"/>
            <w:vAlign w:val="center"/>
            <w:tcMar>
              <w:top w:w="100" w:type="dxa"/>
              <w:start w:w="120" w:type="dxa"/>
              <w:bottom w:w="100" w:type="dxa"/>
              <w:end w:w="120" w:type="dxa"/>
            </w:tcMar>
          </w:tcPr>
          <w:p>
            <w:pPr>
              <w:spacing w:after="0"/>
            </w:pPr>
            <w:r>
              <w:rPr>
                <w:color w:val="102130"/>
                <w:sz w:val="17"/>
              </w:rPr>
              <w:t>Maintenance</w:t>
            </w:r>
          </w:p>
        </w:tc>
        <w:tc>
          <w:tcPr>
            <w:tcW w:type="dxa" w:w="7272"/>
            <w:vAlign w:val="center"/>
            <w:tcMar>
              <w:top w:w="100" w:type="dxa"/>
              <w:start w:w="120" w:type="dxa"/>
              <w:bottom w:w="100" w:type="dxa"/>
              <w:end w:w="120" w:type="dxa"/>
            </w:tcMar>
          </w:tcPr>
          <w:p>
            <w:pPr>
              <w:spacing w:after="0"/>
            </w:pPr>
            <w:r>
              <w:rPr>
                <w:color w:val="102130"/>
                <w:sz w:val="17"/>
              </w:rPr>
              <w:t>MOT, servicing, repairs, inspections, parts, tyres, labour, recovery and replacement vehicle</w:t>
            </w:r>
          </w:p>
        </w:tc>
      </w:tr>
      <w:tr>
        <w:tc>
          <w:tcPr>
            <w:tcW w:type="dxa" w:w="2088"/>
            <w:vAlign w:val="center"/>
            <w:shd w:fill="F5F7F9"/>
            <w:tcMar>
              <w:top w:w="100" w:type="dxa"/>
              <w:start w:w="120" w:type="dxa"/>
              <w:bottom w:w="100" w:type="dxa"/>
              <w:end w:w="120" w:type="dxa"/>
            </w:tcMar>
          </w:tcPr>
          <w:p>
            <w:pPr>
              <w:spacing w:after="0"/>
            </w:pPr>
            <w:r>
              <w:rPr>
                <w:color w:val="102130"/>
                <w:sz w:val="17"/>
              </w:rPr>
              <w:t>Wages</w:t>
            </w:r>
          </w:p>
        </w:tc>
        <w:tc>
          <w:tcPr>
            <w:tcW w:type="dxa" w:w="7272"/>
            <w:vAlign w:val="center"/>
            <w:shd w:fill="F5F7F9"/>
            <w:tcMar>
              <w:top w:w="100" w:type="dxa"/>
              <w:start w:w="120" w:type="dxa"/>
              <w:bottom w:w="100" w:type="dxa"/>
              <w:end w:w="120" w:type="dxa"/>
            </w:tcMar>
          </w:tcPr>
          <w:p>
            <w:pPr>
              <w:spacing w:after="0"/>
            </w:pPr>
            <w:r>
              <w:rPr>
                <w:color w:val="102130"/>
                <w:sz w:val="17"/>
              </w:rPr>
              <w:t>Approved payroll totals, basic wages, overtime, employer costs, pensions, allowances and contractors</w:t>
            </w:r>
          </w:p>
        </w:tc>
      </w:tr>
      <w:tr>
        <w:tc>
          <w:tcPr>
            <w:tcW w:type="dxa" w:w="2088"/>
            <w:vAlign w:val="center"/>
            <w:tcMar>
              <w:top w:w="100" w:type="dxa"/>
              <w:start w:w="120" w:type="dxa"/>
              <w:bottom w:w="100" w:type="dxa"/>
              <w:end w:w="120" w:type="dxa"/>
            </w:tcMar>
          </w:tcPr>
          <w:p>
            <w:pPr>
              <w:spacing w:after="0"/>
            </w:pPr>
            <w:r>
              <w:rPr>
                <w:color w:val="102130"/>
                <w:sz w:val="17"/>
              </w:rPr>
              <w:t>Premises</w:t>
            </w:r>
          </w:p>
        </w:tc>
        <w:tc>
          <w:tcPr>
            <w:tcW w:type="dxa" w:w="7272"/>
            <w:vAlign w:val="center"/>
            <w:tcMar>
              <w:top w:w="100" w:type="dxa"/>
              <w:start w:w="120" w:type="dxa"/>
              <w:bottom w:w="100" w:type="dxa"/>
              <w:end w:w="120" w:type="dxa"/>
            </w:tcMar>
          </w:tcPr>
          <w:p>
            <w:pPr>
              <w:spacing w:after="0"/>
            </w:pPr>
            <w:r>
              <w:rPr>
                <w:color w:val="102130"/>
                <w:sz w:val="17"/>
              </w:rPr>
              <w:t>Rent, utilities, rates, security, cleaning and property services</w:t>
            </w:r>
          </w:p>
        </w:tc>
      </w:tr>
      <w:tr>
        <w:tc>
          <w:tcPr>
            <w:tcW w:type="dxa" w:w="2088"/>
            <w:vAlign w:val="center"/>
            <w:shd w:fill="F5F7F9"/>
            <w:tcMar>
              <w:top w:w="100" w:type="dxa"/>
              <w:start w:w="120" w:type="dxa"/>
              <w:bottom w:w="100" w:type="dxa"/>
              <w:end w:w="120" w:type="dxa"/>
            </w:tcMar>
          </w:tcPr>
          <w:p>
            <w:pPr>
              <w:spacing w:after="0"/>
            </w:pPr>
            <w:r>
              <w:rPr>
                <w:color w:val="102130"/>
                <w:sz w:val="17"/>
              </w:rPr>
              <w:t>Technology</w:t>
            </w:r>
          </w:p>
        </w:tc>
        <w:tc>
          <w:tcPr>
            <w:tcW w:type="dxa" w:w="7272"/>
            <w:vAlign w:val="center"/>
            <w:shd w:fill="F5F7F9"/>
            <w:tcMar>
              <w:top w:w="100" w:type="dxa"/>
              <w:start w:w="120" w:type="dxa"/>
              <w:bottom w:w="100" w:type="dxa"/>
              <w:end w:w="120" w:type="dxa"/>
            </w:tcMar>
          </w:tcPr>
          <w:p>
            <w:pPr>
              <w:spacing w:after="0"/>
            </w:pPr>
            <w:r>
              <w:rPr>
                <w:color w:val="102130"/>
                <w:sz w:val="17"/>
              </w:rPr>
              <w:t>Software, devices, communications, support and subscriptions</w:t>
            </w:r>
          </w:p>
        </w:tc>
      </w:tr>
      <w:tr>
        <w:tc>
          <w:tcPr>
            <w:tcW w:type="dxa" w:w="2088"/>
            <w:vAlign w:val="center"/>
            <w:tcMar>
              <w:top w:w="100" w:type="dxa"/>
              <w:start w:w="120" w:type="dxa"/>
              <w:bottom w:w="100" w:type="dxa"/>
              <w:end w:w="120" w:type="dxa"/>
            </w:tcMar>
          </w:tcPr>
          <w:p>
            <w:pPr>
              <w:spacing w:after="0"/>
            </w:pPr>
            <w:r>
              <w:rPr>
                <w:color w:val="102130"/>
                <w:sz w:val="17"/>
              </w:rPr>
              <w:t>Professional</w:t>
            </w:r>
          </w:p>
        </w:tc>
        <w:tc>
          <w:tcPr>
            <w:tcW w:type="dxa" w:w="7272"/>
            <w:vAlign w:val="center"/>
            <w:tcMar>
              <w:top w:w="100" w:type="dxa"/>
              <w:start w:w="120" w:type="dxa"/>
              <w:bottom w:w="100" w:type="dxa"/>
              <w:end w:w="120" w:type="dxa"/>
            </w:tcMar>
          </w:tcPr>
          <w:p>
            <w:pPr>
              <w:spacing w:after="0"/>
            </w:pPr>
            <w:r>
              <w:rPr>
                <w:color w:val="102130"/>
                <w:sz w:val="17"/>
              </w:rPr>
              <w:t>Accountancy, legal, consulting, audit and other professional services</w:t>
            </w:r>
          </w:p>
        </w:tc>
      </w:tr>
      <w:tr>
        <w:tc>
          <w:tcPr>
            <w:tcW w:type="dxa" w:w="2088"/>
            <w:vAlign w:val="center"/>
            <w:shd w:fill="F5F7F9"/>
            <w:tcMar>
              <w:top w:w="100" w:type="dxa"/>
              <w:start w:w="120" w:type="dxa"/>
              <w:bottom w:w="100" w:type="dxa"/>
              <w:end w:w="120" w:type="dxa"/>
            </w:tcMar>
          </w:tcPr>
          <w:p>
            <w:pPr>
              <w:spacing w:after="0"/>
            </w:pPr>
            <w:r>
              <w:rPr>
                <w:color w:val="102130"/>
                <w:sz w:val="17"/>
              </w:rPr>
              <w:t>Administration</w:t>
            </w:r>
          </w:p>
        </w:tc>
        <w:tc>
          <w:tcPr>
            <w:tcW w:type="dxa" w:w="7272"/>
            <w:vAlign w:val="center"/>
            <w:shd w:fill="F5F7F9"/>
            <w:tcMar>
              <w:top w:w="100" w:type="dxa"/>
              <w:start w:w="120" w:type="dxa"/>
              <w:bottom w:w="100" w:type="dxa"/>
              <w:end w:w="120" w:type="dxa"/>
            </w:tcMar>
          </w:tcPr>
          <w:p>
            <w:pPr>
              <w:spacing w:after="0"/>
            </w:pPr>
            <w:r>
              <w:rPr>
                <w:color w:val="102130"/>
                <w:sz w:val="17"/>
              </w:rPr>
              <w:t>Banking, office supplies, training, licences, uniforms and general overhead</w:t>
            </w:r>
          </w:p>
        </w:tc>
      </w:tr>
      <w:tr>
        <w:tc>
          <w:tcPr>
            <w:tcW w:type="dxa" w:w="2088"/>
            <w:vAlign w:val="center"/>
            <w:tcMar>
              <w:top w:w="100" w:type="dxa"/>
              <w:start w:w="120" w:type="dxa"/>
              <w:bottom w:w="100" w:type="dxa"/>
              <w:end w:w="120" w:type="dxa"/>
            </w:tcMar>
          </w:tcPr>
          <w:p>
            <w:pPr>
              <w:spacing w:after="0"/>
            </w:pPr>
            <w:r>
              <w:rPr>
                <w:color w:val="102130"/>
                <w:sz w:val="17"/>
              </w:rPr>
              <w:t>Exceptional</w:t>
            </w:r>
          </w:p>
        </w:tc>
        <w:tc>
          <w:tcPr>
            <w:tcW w:type="dxa" w:w="7272"/>
            <w:vAlign w:val="center"/>
            <w:tcMar>
              <w:top w:w="100" w:type="dxa"/>
              <w:start w:w="120" w:type="dxa"/>
              <w:bottom w:w="100" w:type="dxa"/>
              <w:end w:w="120" w:type="dxa"/>
            </w:tcMar>
          </w:tcPr>
          <w:p>
            <w:pPr>
              <w:spacing w:after="0"/>
            </w:pPr>
            <w:r>
              <w:rPr>
                <w:color w:val="102130"/>
                <w:sz w:val="17"/>
              </w:rPr>
              <w:t>Accidents, claims, penalties, emergency expenditure and material one-time costs</w:t>
            </w:r>
          </w:p>
        </w:tc>
      </w:tr>
    </w:tbl>
    <w:p>
      <w:pPr>
        <w:spacing w:after="0"/>
      </w:pPr>
    </w:p>
    <w:p>
      <w:pPr>
        <w:pStyle w:val="Heading2"/>
      </w:pPr>
      <w:r>
        <w:t>Allocation dimensions</w:t>
      </w:r>
    </w:p>
    <w:p>
      <w:pPr>
        <w:pStyle w:val="ListBullet"/>
      </w:pPr>
      <w:r>
        <w:t>CEC or other budget</w:t>
      </w:r>
    </w:p>
    <w:p>
      <w:pPr>
        <w:pStyle w:val="ListBullet"/>
      </w:pPr>
      <w:r>
        <w:t>Cost category and subcategory</w:t>
      </w:r>
    </w:p>
    <w:p>
      <w:pPr>
        <w:pStyle w:val="ListBullet"/>
      </w:pPr>
      <w:r>
        <w:t>Cost centre or department</w:t>
      </w:r>
    </w:p>
    <w:p>
      <w:pPr>
        <w:pStyle w:val="ListBullet"/>
      </w:pPr>
      <w:r>
        <w:t>Vehicle, where relevant</w:t>
      </w:r>
    </w:p>
    <w:p>
      <w:pPr>
        <w:pStyle w:val="ListBullet"/>
      </w:pPr>
      <w:r>
        <w:t>Supplier</w:t>
      </w:r>
    </w:p>
    <w:p>
      <w:pPr>
        <w:pStyle w:val="ListBullet"/>
      </w:pPr>
      <w:r>
        <w:t>Contract or funding code, where relevant</w:t>
      </w:r>
    </w:p>
    <w:p>
      <w:pPr>
        <w:pStyle w:val="ListBullet"/>
      </w:pPr>
      <w:r>
        <w:t>Accounting period</w:t>
      </w:r>
    </w:p>
    <w:p>
      <w:pPr>
        <w:pStyle w:val="ListBullet"/>
      </w:pPr>
      <w:r>
        <w:t>Location or depot, only when required for cost analysis</w:t>
      </w:r>
    </w:p>
    <w:p>
      <w:r>
        <w:t>A cost may be split across allocation dimensions. Split rules must total exactly 100 percent or the complete monetary amount before approval.</w:t>
      </w:r>
    </w:p>
    <w:p>
      <w:pPr>
        <w:pStyle w:val="Heading1"/>
      </w:pPr>
      <w:r>
        <w:t>7. Page-by-page product specification</w:t>
      </w:r>
    </w:p>
    <w:tbl>
      <w:tblPr>
        <w:tblStyle w:val="TableGrid"/>
        <w:tblW w:type="dxa" w:w="9360"/>
        <w:jc w:val="left"/>
        <w:tblLayout w:type="fixed"/>
        <w:tblLook w:firstColumn="1" w:firstRow="1" w:lastColumn="0" w:lastRow="0" w:noHBand="0" w:noVBand="1" w:val="04A0"/>
        <w:tblInd w:w="120" w:type="dxa"/>
      </w:tblPr>
      <w:tblGrid>
        <w:gridCol w:w="1728"/>
        <w:gridCol w:w="5112"/>
        <w:gridCol w:w="2520"/>
      </w:tblGrid>
      <w:tr>
        <w:trPr>
          <w:tblHeader w:val="true"/>
        </w:trPr>
        <w:tc>
          <w:tcPr>
            <w:tcW w:type="dxa" w:w="1728"/>
            <w:shd w:fill="0B1F33"/>
            <w:vAlign w:val="center"/>
            <w:tcMar>
              <w:top w:w="100" w:type="dxa"/>
              <w:start w:w="120" w:type="dxa"/>
              <w:bottom w:w="100" w:type="dxa"/>
              <w:end w:w="120" w:type="dxa"/>
            </w:tcMar>
          </w:tcPr>
          <w:p>
            <w:pPr>
              <w:spacing w:after="0"/>
            </w:pPr>
            <w:r>
              <w:rPr>
                <w:b/>
                <w:color w:val="FFFFFF"/>
                <w:sz w:val="16"/>
              </w:rPr>
              <w:t>Page</w:t>
            </w:r>
          </w:p>
        </w:tc>
        <w:tc>
          <w:tcPr>
            <w:tcW w:type="dxa" w:w="5112"/>
            <w:shd w:fill="0B1F33"/>
            <w:vAlign w:val="center"/>
            <w:tcMar>
              <w:top w:w="100" w:type="dxa"/>
              <w:start w:w="120" w:type="dxa"/>
              <w:bottom w:w="100" w:type="dxa"/>
              <w:end w:w="120" w:type="dxa"/>
            </w:tcMar>
          </w:tcPr>
          <w:p>
            <w:pPr>
              <w:spacing w:after="0"/>
            </w:pPr>
            <w:r>
              <w:rPr>
                <w:b/>
                <w:color w:val="FFFFFF"/>
                <w:sz w:val="16"/>
              </w:rPr>
              <w:t>Purpose</w:t>
            </w:r>
          </w:p>
        </w:tc>
        <w:tc>
          <w:tcPr>
            <w:tcW w:type="dxa" w:w="2520"/>
            <w:shd w:fill="0B1F33"/>
            <w:vAlign w:val="center"/>
            <w:tcMar>
              <w:top w:w="100" w:type="dxa"/>
              <w:start w:w="120" w:type="dxa"/>
              <w:bottom w:w="100" w:type="dxa"/>
              <w:end w:w="120" w:type="dxa"/>
            </w:tcMar>
          </w:tcPr>
          <w:p>
            <w:pPr>
              <w:spacing w:after="0"/>
            </w:pPr>
            <w:r>
              <w:rPr>
                <w:b/>
                <w:color w:val="FFFFFF"/>
                <w:sz w:val="16"/>
              </w:rPr>
              <w:t>Primary action</w:t>
            </w:r>
          </w:p>
        </w:tc>
      </w:tr>
      <w:tr>
        <w:tc>
          <w:tcPr>
            <w:tcW w:type="dxa" w:w="1728"/>
            <w:vAlign w:val="center"/>
            <w:tcMar>
              <w:top w:w="100" w:type="dxa"/>
              <w:start w:w="120" w:type="dxa"/>
              <w:bottom w:w="100" w:type="dxa"/>
              <w:end w:w="120" w:type="dxa"/>
            </w:tcMar>
          </w:tcPr>
          <w:p>
            <w:pPr>
              <w:spacing w:after="0"/>
            </w:pPr>
            <w:r>
              <w:rPr>
                <w:color w:val="102130"/>
                <w:sz w:val="16"/>
              </w:rPr>
              <w:t>Home</w:t>
            </w:r>
          </w:p>
        </w:tc>
        <w:tc>
          <w:tcPr>
            <w:tcW w:type="dxa" w:w="5112"/>
            <w:vAlign w:val="center"/>
            <w:tcMar>
              <w:top w:w="100" w:type="dxa"/>
              <w:start w:w="120" w:type="dxa"/>
              <w:bottom w:w="100" w:type="dxa"/>
              <w:end w:w="120" w:type="dxa"/>
            </w:tcMar>
          </w:tcPr>
          <w:p>
            <w:pPr>
              <w:spacing w:after="0"/>
            </w:pPr>
            <w:r>
              <w:rPr>
                <w:color w:val="102130"/>
                <w:sz w:val="16"/>
              </w:rPr>
              <w:t>Total cost position, CEC budget, actual/committed/forecast totals, projected remaining budget, variance, major exceptions and data health.</w:t>
            </w:r>
          </w:p>
        </w:tc>
        <w:tc>
          <w:tcPr>
            <w:tcW w:type="dxa" w:w="2520"/>
            <w:vAlign w:val="center"/>
            <w:tcMar>
              <w:top w:w="100" w:type="dxa"/>
              <w:start w:w="120" w:type="dxa"/>
              <w:bottom w:w="100" w:type="dxa"/>
              <w:end w:w="120" w:type="dxa"/>
            </w:tcMar>
          </w:tcPr>
          <w:p>
            <w:pPr>
              <w:spacing w:after="0"/>
            </w:pPr>
            <w:r>
              <w:rPr>
                <w:color w:val="102130"/>
                <w:sz w:val="16"/>
              </w:rPr>
              <w:t>Open a cost, budget variance, review item or report.</w:t>
            </w:r>
          </w:p>
        </w:tc>
      </w:tr>
      <w:tr>
        <w:tc>
          <w:tcPr>
            <w:tcW w:type="dxa" w:w="1728"/>
            <w:vAlign w:val="center"/>
            <w:shd w:fill="F5F7F9"/>
            <w:tcMar>
              <w:top w:w="100" w:type="dxa"/>
              <w:start w:w="120" w:type="dxa"/>
              <w:bottom w:w="100" w:type="dxa"/>
              <w:end w:w="120" w:type="dxa"/>
            </w:tcMar>
          </w:tcPr>
          <w:p>
            <w:pPr>
              <w:spacing w:after="0"/>
            </w:pPr>
            <w:r>
              <w:rPr>
                <w:color w:val="102130"/>
                <w:sz w:val="16"/>
              </w:rPr>
              <w:t>All costs</w:t>
            </w:r>
          </w:p>
        </w:tc>
        <w:tc>
          <w:tcPr>
            <w:tcW w:type="dxa" w:w="5112"/>
            <w:vAlign w:val="center"/>
            <w:shd w:fill="F5F7F9"/>
            <w:tcMar>
              <w:top w:w="100" w:type="dxa"/>
              <w:start w:w="120" w:type="dxa"/>
              <w:bottom w:w="100" w:type="dxa"/>
              <w:end w:w="120" w:type="dxa"/>
            </w:tcMar>
          </w:tcPr>
          <w:p>
            <w:pPr>
              <w:spacing w:after="0"/>
            </w:pPr>
            <w:r>
              <w:rPr>
                <w:color w:val="102130"/>
                <w:sz w:val="16"/>
              </w:rPr>
              <w:t>Searchable cost ledger with filters, status, source, allocation, evidence and review state.</w:t>
            </w:r>
          </w:p>
        </w:tc>
        <w:tc>
          <w:tcPr>
            <w:tcW w:type="dxa" w:w="2520"/>
            <w:vAlign w:val="center"/>
            <w:shd w:fill="F5F7F9"/>
            <w:tcMar>
              <w:top w:w="100" w:type="dxa"/>
              <w:start w:w="120" w:type="dxa"/>
              <w:bottom w:w="100" w:type="dxa"/>
              <w:end w:w="120" w:type="dxa"/>
            </w:tcMar>
          </w:tcPr>
          <w:p>
            <w:pPr>
              <w:spacing w:after="0"/>
            </w:pPr>
            <w:r>
              <w:rPr>
                <w:color w:val="102130"/>
                <w:sz w:val="16"/>
              </w:rPr>
              <w:t>Inspect, split, reclassify, correct or approve a cost.</w:t>
            </w:r>
          </w:p>
        </w:tc>
      </w:tr>
      <w:tr>
        <w:tc>
          <w:tcPr>
            <w:tcW w:type="dxa" w:w="1728"/>
            <w:vAlign w:val="center"/>
            <w:tcMar>
              <w:top w:w="100" w:type="dxa"/>
              <w:start w:w="120" w:type="dxa"/>
              <w:bottom w:w="100" w:type="dxa"/>
              <w:end w:w="120" w:type="dxa"/>
            </w:tcMar>
          </w:tcPr>
          <w:p>
            <w:pPr>
              <w:spacing w:after="0"/>
            </w:pPr>
            <w:r>
              <w:rPr>
                <w:color w:val="102130"/>
                <w:sz w:val="16"/>
              </w:rPr>
              <w:t>Fuel</w:t>
            </w:r>
          </w:p>
        </w:tc>
        <w:tc>
          <w:tcPr>
            <w:tcW w:type="dxa" w:w="5112"/>
            <w:vAlign w:val="center"/>
            <w:tcMar>
              <w:top w:w="100" w:type="dxa"/>
              <w:start w:w="120" w:type="dxa"/>
              <w:bottom w:w="100" w:type="dxa"/>
              <w:end w:w="120" w:type="dxa"/>
            </w:tcMar>
          </w:tcPr>
          <w:p>
            <w:pPr>
              <w:spacing w:after="0"/>
            </w:pPr>
            <w:r>
              <w:rPr>
                <w:color w:val="102130"/>
                <w:sz w:val="16"/>
              </w:rPr>
              <w:t>Fuel spend, litres, price per litre, vehicle allocation, cost per mile, budget variance and anomalies.</w:t>
            </w:r>
          </w:p>
        </w:tc>
        <w:tc>
          <w:tcPr>
            <w:tcW w:type="dxa" w:w="2520"/>
            <w:vAlign w:val="center"/>
            <w:tcMar>
              <w:top w:w="100" w:type="dxa"/>
              <w:start w:w="120" w:type="dxa"/>
              <w:bottom w:w="100" w:type="dxa"/>
              <w:end w:w="120" w:type="dxa"/>
            </w:tcMar>
          </w:tcPr>
          <w:p>
            <w:pPr>
              <w:spacing w:after="0"/>
            </w:pPr>
            <w:r>
              <w:rPr>
                <w:color w:val="102130"/>
                <w:sz w:val="16"/>
              </w:rPr>
              <w:t>Review unusual or incomplete fuel costs.</w:t>
            </w:r>
          </w:p>
        </w:tc>
      </w:tr>
      <w:tr>
        <w:tc>
          <w:tcPr>
            <w:tcW w:type="dxa" w:w="1728"/>
            <w:vAlign w:val="center"/>
            <w:shd w:fill="F5F7F9"/>
            <w:tcMar>
              <w:top w:w="100" w:type="dxa"/>
              <w:start w:w="120" w:type="dxa"/>
              <w:bottom w:w="100" w:type="dxa"/>
              <w:end w:w="120" w:type="dxa"/>
            </w:tcMar>
          </w:tcPr>
          <w:p>
            <w:pPr>
              <w:spacing w:after="0"/>
            </w:pPr>
            <w:r>
              <w:rPr>
                <w:color w:val="102130"/>
                <w:sz w:val="16"/>
              </w:rPr>
              <w:t>Vehicles</w:t>
            </w:r>
          </w:p>
        </w:tc>
        <w:tc>
          <w:tcPr>
            <w:tcW w:type="dxa" w:w="5112"/>
            <w:vAlign w:val="center"/>
            <w:shd w:fill="F5F7F9"/>
            <w:tcMar>
              <w:top w:w="100" w:type="dxa"/>
              <w:start w:w="120" w:type="dxa"/>
              <w:bottom w:w="100" w:type="dxa"/>
              <w:end w:w="120" w:type="dxa"/>
            </w:tcMar>
          </w:tcPr>
          <w:p>
            <w:pPr>
              <w:spacing w:after="0"/>
            </w:pPr>
            <w:r>
              <w:rPr>
                <w:color w:val="102130"/>
                <w:sz w:val="16"/>
              </w:rPr>
              <w:t>Cost profile only: finance, fuel, insurance, tax, maintenance and total cost by vehicle.</w:t>
            </w:r>
          </w:p>
        </w:tc>
        <w:tc>
          <w:tcPr>
            <w:tcW w:type="dxa" w:w="2520"/>
            <w:vAlign w:val="center"/>
            <w:shd w:fill="F5F7F9"/>
            <w:tcMar>
              <w:top w:w="100" w:type="dxa"/>
              <w:start w:w="120" w:type="dxa"/>
              <w:bottom w:w="100" w:type="dxa"/>
              <w:end w:w="120" w:type="dxa"/>
            </w:tcMar>
          </w:tcPr>
          <w:p>
            <w:pPr>
              <w:spacing w:after="0"/>
            </w:pPr>
            <w:r>
              <w:rPr>
                <w:color w:val="102130"/>
                <w:sz w:val="16"/>
              </w:rPr>
              <w:t>Compare cost trends and open underlying costs.</w:t>
            </w:r>
          </w:p>
        </w:tc>
      </w:tr>
      <w:tr>
        <w:tc>
          <w:tcPr>
            <w:tcW w:type="dxa" w:w="1728"/>
            <w:vAlign w:val="center"/>
            <w:tcMar>
              <w:top w:w="100" w:type="dxa"/>
              <w:start w:w="120" w:type="dxa"/>
              <w:bottom w:w="100" w:type="dxa"/>
              <w:end w:w="120" w:type="dxa"/>
            </w:tcMar>
          </w:tcPr>
          <w:p>
            <w:pPr>
              <w:spacing w:after="0"/>
            </w:pPr>
            <w:r>
              <w:rPr>
                <w:color w:val="102130"/>
                <w:sz w:val="16"/>
              </w:rPr>
              <w:t>Maintenance</w:t>
            </w:r>
          </w:p>
        </w:tc>
        <w:tc>
          <w:tcPr>
            <w:tcW w:type="dxa" w:w="5112"/>
            <w:vAlign w:val="center"/>
            <w:tcMar>
              <w:top w:w="100" w:type="dxa"/>
              <w:start w:w="120" w:type="dxa"/>
              <w:bottom w:w="100" w:type="dxa"/>
              <w:end w:w="120" w:type="dxa"/>
            </w:tcMar>
          </w:tcPr>
          <w:p>
            <w:pPr>
              <w:spacing w:after="0"/>
            </w:pPr>
            <w:r>
              <w:rPr>
                <w:color w:val="102130"/>
                <w:sz w:val="16"/>
              </w:rPr>
              <w:t>MOT, service, repair, inspection, tyre, parts, recovery and related cost totals.</w:t>
            </w:r>
          </w:p>
        </w:tc>
        <w:tc>
          <w:tcPr>
            <w:tcW w:type="dxa" w:w="2520"/>
            <w:vAlign w:val="center"/>
            <w:tcMar>
              <w:top w:w="100" w:type="dxa"/>
              <w:start w:w="120" w:type="dxa"/>
              <w:bottom w:w="100" w:type="dxa"/>
              <w:end w:w="120" w:type="dxa"/>
            </w:tcMar>
          </w:tcPr>
          <w:p>
            <w:pPr>
              <w:spacing w:after="0"/>
            </w:pPr>
            <w:r>
              <w:rPr>
                <w:color w:val="102130"/>
                <w:sz w:val="16"/>
              </w:rPr>
              <w:t>Review recurring, repeated or unplanned costs.</w:t>
            </w:r>
          </w:p>
        </w:tc>
      </w:tr>
      <w:tr>
        <w:tc>
          <w:tcPr>
            <w:tcW w:type="dxa" w:w="1728"/>
            <w:vAlign w:val="center"/>
            <w:shd w:fill="F5F7F9"/>
            <w:tcMar>
              <w:top w:w="100" w:type="dxa"/>
              <w:start w:w="120" w:type="dxa"/>
              <w:bottom w:w="100" w:type="dxa"/>
              <w:end w:w="120" w:type="dxa"/>
            </w:tcMar>
          </w:tcPr>
          <w:p>
            <w:pPr>
              <w:spacing w:after="0"/>
            </w:pPr>
            <w:r>
              <w:rPr>
                <w:color w:val="102130"/>
                <w:sz w:val="16"/>
              </w:rPr>
              <w:t>Wage costs</w:t>
            </w:r>
          </w:p>
        </w:tc>
        <w:tc>
          <w:tcPr>
            <w:tcW w:type="dxa" w:w="5112"/>
            <w:vAlign w:val="center"/>
            <w:shd w:fill="F5F7F9"/>
            <w:tcMar>
              <w:top w:w="100" w:type="dxa"/>
              <w:start w:w="120" w:type="dxa"/>
              <w:bottom w:w="100" w:type="dxa"/>
              <w:end w:w="120" w:type="dxa"/>
            </w:tcMar>
          </w:tcPr>
          <w:p>
            <w:pPr>
              <w:spacing w:after="0"/>
            </w:pPr>
            <w:r>
              <w:rPr>
                <w:color w:val="102130"/>
                <w:sz w:val="16"/>
              </w:rPr>
              <w:t>Approved wage-cost summaries, overtime, employer costs, department and budget allocation.</w:t>
            </w:r>
          </w:p>
        </w:tc>
        <w:tc>
          <w:tcPr>
            <w:tcW w:type="dxa" w:w="2520"/>
            <w:vAlign w:val="center"/>
            <w:shd w:fill="F5F7F9"/>
            <w:tcMar>
              <w:top w:w="100" w:type="dxa"/>
              <w:start w:w="120" w:type="dxa"/>
              <w:bottom w:w="100" w:type="dxa"/>
              <w:end w:w="120" w:type="dxa"/>
            </w:tcMar>
          </w:tcPr>
          <w:p>
            <w:pPr>
              <w:spacing w:after="0"/>
            </w:pPr>
            <w:r>
              <w:rPr>
                <w:color w:val="102130"/>
                <w:sz w:val="16"/>
              </w:rPr>
              <w:t>Review variance or import differences; no payroll processing.</w:t>
            </w:r>
          </w:p>
        </w:tc>
      </w:tr>
      <w:tr>
        <w:tc>
          <w:tcPr>
            <w:tcW w:type="dxa" w:w="1728"/>
            <w:vAlign w:val="center"/>
            <w:tcMar>
              <w:top w:w="100" w:type="dxa"/>
              <w:start w:w="120" w:type="dxa"/>
              <w:bottom w:w="100" w:type="dxa"/>
              <w:end w:w="120" w:type="dxa"/>
            </w:tcMar>
          </w:tcPr>
          <w:p>
            <w:pPr>
              <w:spacing w:after="0"/>
            </w:pPr>
            <w:r>
              <w:rPr>
                <w:color w:val="102130"/>
                <w:sz w:val="16"/>
              </w:rPr>
              <w:t>Operating costs</w:t>
            </w:r>
          </w:p>
        </w:tc>
        <w:tc>
          <w:tcPr>
            <w:tcW w:type="dxa" w:w="5112"/>
            <w:vAlign w:val="center"/>
            <w:tcMar>
              <w:top w:w="100" w:type="dxa"/>
              <w:start w:w="120" w:type="dxa"/>
              <w:bottom w:w="100" w:type="dxa"/>
              <w:end w:w="120" w:type="dxa"/>
            </w:tcMar>
          </w:tcPr>
          <w:p>
            <w:pPr>
              <w:spacing w:after="0"/>
            </w:pPr>
            <w:r>
              <w:rPr>
                <w:color w:val="102130"/>
                <w:sz w:val="16"/>
              </w:rPr>
              <w:t>Premises, technology, professional, administrative and exceptional costs.</w:t>
            </w:r>
          </w:p>
        </w:tc>
        <w:tc>
          <w:tcPr>
            <w:tcW w:type="dxa" w:w="2520"/>
            <w:vAlign w:val="center"/>
            <w:tcMar>
              <w:top w:w="100" w:type="dxa"/>
              <w:start w:w="120" w:type="dxa"/>
              <w:bottom w:w="100" w:type="dxa"/>
              <w:end w:w="120" w:type="dxa"/>
            </w:tcMar>
          </w:tcPr>
          <w:p>
            <w:pPr>
              <w:spacing w:after="0"/>
            </w:pPr>
            <w:r>
              <w:rPr>
                <w:color w:val="102130"/>
                <w:sz w:val="16"/>
              </w:rPr>
              <w:t>Review supplier, category and recurring-cost trends.</w:t>
            </w:r>
          </w:p>
        </w:tc>
      </w:tr>
      <w:tr>
        <w:tc>
          <w:tcPr>
            <w:tcW w:type="dxa" w:w="1728"/>
            <w:vAlign w:val="center"/>
            <w:shd w:fill="F5F7F9"/>
            <w:tcMar>
              <w:top w:w="100" w:type="dxa"/>
              <w:start w:w="120" w:type="dxa"/>
              <w:bottom w:w="100" w:type="dxa"/>
              <w:end w:w="120" w:type="dxa"/>
            </w:tcMar>
          </w:tcPr>
          <w:p>
            <w:pPr>
              <w:spacing w:after="0"/>
            </w:pPr>
            <w:r>
              <w:rPr>
                <w:color w:val="102130"/>
                <w:sz w:val="16"/>
              </w:rPr>
              <w:t>Budgets</w:t>
            </w:r>
          </w:p>
        </w:tc>
        <w:tc>
          <w:tcPr>
            <w:tcW w:type="dxa" w:w="5112"/>
            <w:vAlign w:val="center"/>
            <w:shd w:fill="F5F7F9"/>
            <w:tcMar>
              <w:top w:w="100" w:type="dxa"/>
              <w:start w:w="120" w:type="dxa"/>
              <w:bottom w:w="100" w:type="dxa"/>
              <w:end w:w="120" w:type="dxa"/>
            </w:tcMar>
          </w:tcPr>
          <w:p>
            <w:pPr>
              <w:spacing w:after="0"/>
            </w:pPr>
            <w:r>
              <w:rPr>
                <w:color w:val="102130"/>
                <w:sz w:val="16"/>
              </w:rPr>
              <w:t>Approved, actual, committed, forecast, projected final and remaining amounts.</w:t>
            </w:r>
          </w:p>
        </w:tc>
        <w:tc>
          <w:tcPr>
            <w:tcW w:type="dxa" w:w="2520"/>
            <w:vAlign w:val="center"/>
            <w:shd w:fill="F5F7F9"/>
            <w:tcMar>
              <w:top w:w="100" w:type="dxa"/>
              <w:start w:w="120" w:type="dxa"/>
              <w:bottom w:w="100" w:type="dxa"/>
              <w:end w:w="120" w:type="dxa"/>
            </w:tcMar>
          </w:tcPr>
          <w:p>
            <w:pPr>
              <w:spacing w:after="0"/>
            </w:pPr>
            <w:r>
              <w:rPr>
                <w:color w:val="102130"/>
                <w:sz w:val="16"/>
              </w:rPr>
              <w:t>Open budget, request revision, reallocation or contingency use.</w:t>
            </w:r>
          </w:p>
        </w:tc>
      </w:tr>
      <w:tr>
        <w:tc>
          <w:tcPr>
            <w:tcW w:type="dxa" w:w="1728"/>
            <w:vAlign w:val="center"/>
            <w:tcMar>
              <w:top w:w="100" w:type="dxa"/>
              <w:start w:w="120" w:type="dxa"/>
              <w:bottom w:w="100" w:type="dxa"/>
              <w:end w:w="120" w:type="dxa"/>
            </w:tcMar>
          </w:tcPr>
          <w:p>
            <w:pPr>
              <w:spacing w:after="0"/>
            </w:pPr>
            <w:r>
              <w:rPr>
                <w:color w:val="102130"/>
                <w:sz w:val="16"/>
              </w:rPr>
              <w:t>CEC budget</w:t>
            </w:r>
          </w:p>
        </w:tc>
        <w:tc>
          <w:tcPr>
            <w:tcW w:type="dxa" w:w="5112"/>
            <w:vAlign w:val="center"/>
            <w:tcMar>
              <w:top w:w="100" w:type="dxa"/>
              <w:start w:w="120" w:type="dxa"/>
              <w:bottom w:w="100" w:type="dxa"/>
              <w:end w:w="120" w:type="dxa"/>
            </w:tcMar>
          </w:tcPr>
          <w:p>
            <w:pPr>
              <w:spacing w:after="0"/>
            </w:pPr>
            <w:r>
              <w:rPr>
                <w:color w:val="102130"/>
                <w:sz w:val="16"/>
              </w:rPr>
              <w:t>Dedicated view of the CEC hierarchy, categories, variances and forecast final cost.</w:t>
            </w:r>
          </w:p>
        </w:tc>
        <w:tc>
          <w:tcPr>
            <w:tcW w:type="dxa" w:w="2520"/>
            <w:vAlign w:val="center"/>
            <w:tcMar>
              <w:top w:w="100" w:type="dxa"/>
              <w:start w:w="120" w:type="dxa"/>
              <w:bottom w:w="100" w:type="dxa"/>
              <w:end w:w="120" w:type="dxa"/>
            </w:tcMar>
          </w:tcPr>
          <w:p>
            <w:pPr>
              <w:spacing w:after="0"/>
            </w:pPr>
            <w:r>
              <w:rPr>
                <w:color w:val="102130"/>
                <w:sz w:val="16"/>
              </w:rPr>
              <w:t>Drill into a category, owner or period.</w:t>
            </w:r>
          </w:p>
        </w:tc>
      </w:tr>
      <w:tr>
        <w:tc>
          <w:tcPr>
            <w:tcW w:type="dxa" w:w="1728"/>
            <w:vAlign w:val="center"/>
            <w:shd w:fill="F5F7F9"/>
            <w:tcMar>
              <w:top w:w="100" w:type="dxa"/>
              <w:start w:w="120" w:type="dxa"/>
              <w:bottom w:w="100" w:type="dxa"/>
              <w:end w:w="120" w:type="dxa"/>
            </w:tcMar>
          </w:tcPr>
          <w:p>
            <w:pPr>
              <w:spacing w:after="0"/>
            </w:pPr>
            <w:r>
              <w:rPr>
                <w:color w:val="102130"/>
                <w:sz w:val="16"/>
              </w:rPr>
              <w:t>Forecast</w:t>
            </w:r>
          </w:p>
        </w:tc>
        <w:tc>
          <w:tcPr>
            <w:tcW w:type="dxa" w:w="5112"/>
            <w:vAlign w:val="center"/>
            <w:shd w:fill="F5F7F9"/>
            <w:tcMar>
              <w:top w:w="100" w:type="dxa"/>
              <w:start w:w="120" w:type="dxa"/>
              <w:bottom w:w="100" w:type="dxa"/>
              <w:end w:w="120" w:type="dxa"/>
            </w:tcMar>
          </w:tcPr>
          <w:p>
            <w:pPr>
              <w:spacing w:after="0"/>
            </w:pPr>
            <w:r>
              <w:rPr>
                <w:color w:val="102130"/>
                <w:sz w:val="16"/>
              </w:rPr>
              <w:t>Future cost profile with baseline, confidence, assumptions and version history.</w:t>
            </w:r>
          </w:p>
        </w:tc>
        <w:tc>
          <w:tcPr>
            <w:tcW w:type="dxa" w:w="2520"/>
            <w:vAlign w:val="center"/>
            <w:shd w:fill="F5F7F9"/>
            <w:tcMar>
              <w:top w:w="100" w:type="dxa"/>
              <w:start w:w="120" w:type="dxa"/>
              <w:bottom w:w="100" w:type="dxa"/>
              <w:end w:w="120" w:type="dxa"/>
            </w:tcMar>
          </w:tcPr>
          <w:p>
            <w:pPr>
              <w:spacing w:after="0"/>
            </w:pPr>
            <w:r>
              <w:rPr>
                <w:color w:val="102130"/>
                <w:sz w:val="16"/>
              </w:rPr>
              <w:t>Change an assumption or compare versions.</w:t>
            </w:r>
          </w:p>
        </w:tc>
      </w:tr>
      <w:tr>
        <w:tc>
          <w:tcPr>
            <w:tcW w:type="dxa" w:w="1728"/>
            <w:vAlign w:val="center"/>
            <w:tcMar>
              <w:top w:w="100" w:type="dxa"/>
              <w:start w:w="120" w:type="dxa"/>
              <w:bottom w:w="100" w:type="dxa"/>
              <w:end w:w="120" w:type="dxa"/>
            </w:tcMar>
          </w:tcPr>
          <w:p>
            <w:pPr>
              <w:spacing w:after="0"/>
            </w:pPr>
            <w:r>
              <w:rPr>
                <w:color w:val="102130"/>
                <w:sz w:val="16"/>
              </w:rPr>
              <w:t>Commitments</w:t>
            </w:r>
          </w:p>
        </w:tc>
        <w:tc>
          <w:tcPr>
            <w:tcW w:type="dxa" w:w="5112"/>
            <w:vAlign w:val="center"/>
            <w:tcMar>
              <w:top w:w="100" w:type="dxa"/>
              <w:start w:w="120" w:type="dxa"/>
              <w:bottom w:w="100" w:type="dxa"/>
              <w:end w:w="120" w:type="dxa"/>
            </w:tcMar>
          </w:tcPr>
          <w:p>
            <w:pPr>
              <w:spacing w:after="0"/>
            </w:pPr>
            <w:r>
              <w:rPr>
                <w:color w:val="102130"/>
                <w:sz w:val="16"/>
              </w:rPr>
              <w:t>Future contractual and approved expenditure not yet actual.</w:t>
            </w:r>
          </w:p>
        </w:tc>
        <w:tc>
          <w:tcPr>
            <w:tcW w:type="dxa" w:w="2520"/>
            <w:vAlign w:val="center"/>
            <w:tcMar>
              <w:top w:w="100" w:type="dxa"/>
              <w:start w:w="120" w:type="dxa"/>
              <w:bottom w:w="100" w:type="dxa"/>
              <w:end w:w="120" w:type="dxa"/>
            </w:tcMar>
          </w:tcPr>
          <w:p>
            <w:pPr>
              <w:spacing w:after="0"/>
            </w:pPr>
            <w:r>
              <w:rPr>
                <w:color w:val="102130"/>
                <w:sz w:val="16"/>
              </w:rPr>
              <w:t>Convert, cancel with authority, or link to an actual cost.</w:t>
            </w:r>
          </w:p>
        </w:tc>
      </w:tr>
      <w:tr>
        <w:tc>
          <w:tcPr>
            <w:tcW w:type="dxa" w:w="1728"/>
            <w:vAlign w:val="center"/>
            <w:shd w:fill="F5F7F9"/>
            <w:tcMar>
              <w:top w:w="100" w:type="dxa"/>
              <w:start w:w="120" w:type="dxa"/>
              <w:bottom w:w="100" w:type="dxa"/>
              <w:end w:w="120" w:type="dxa"/>
            </w:tcMar>
          </w:tcPr>
          <w:p>
            <w:pPr>
              <w:spacing w:after="0"/>
            </w:pPr>
            <w:r>
              <w:rPr>
                <w:color w:val="102130"/>
                <w:sz w:val="16"/>
              </w:rPr>
              <w:t>Suppliers</w:t>
            </w:r>
          </w:p>
        </w:tc>
        <w:tc>
          <w:tcPr>
            <w:tcW w:type="dxa" w:w="5112"/>
            <w:vAlign w:val="center"/>
            <w:shd w:fill="F5F7F9"/>
            <w:tcMar>
              <w:top w:w="100" w:type="dxa"/>
              <w:start w:w="120" w:type="dxa"/>
              <w:bottom w:w="100" w:type="dxa"/>
              <w:end w:w="120" w:type="dxa"/>
            </w:tcMar>
          </w:tcPr>
          <w:p>
            <w:pPr>
              <w:spacing w:after="0"/>
            </w:pPr>
            <w:r>
              <w:rPr>
                <w:color w:val="102130"/>
                <w:sz w:val="16"/>
              </w:rPr>
              <w:t>Spend by supplier, recurring commitments, price changes and document completeness.</w:t>
            </w:r>
          </w:p>
        </w:tc>
        <w:tc>
          <w:tcPr>
            <w:tcW w:type="dxa" w:w="2520"/>
            <w:vAlign w:val="center"/>
            <w:shd w:fill="F5F7F9"/>
            <w:tcMar>
              <w:top w:w="100" w:type="dxa"/>
              <w:start w:w="120" w:type="dxa"/>
              <w:bottom w:w="100" w:type="dxa"/>
              <w:end w:w="120" w:type="dxa"/>
            </w:tcMar>
          </w:tcPr>
          <w:p>
            <w:pPr>
              <w:spacing w:after="0"/>
            </w:pPr>
            <w:r>
              <w:rPr>
                <w:color w:val="102130"/>
                <w:sz w:val="16"/>
              </w:rPr>
              <w:t>Inspect cost history and prepare a supplier review.</w:t>
            </w:r>
          </w:p>
        </w:tc>
      </w:tr>
      <w:tr>
        <w:tc>
          <w:tcPr>
            <w:tcW w:type="dxa" w:w="1728"/>
            <w:vAlign w:val="center"/>
            <w:tcMar>
              <w:top w:w="100" w:type="dxa"/>
              <w:start w:w="120" w:type="dxa"/>
              <w:bottom w:w="100" w:type="dxa"/>
              <w:end w:w="120" w:type="dxa"/>
            </w:tcMar>
          </w:tcPr>
          <w:p>
            <w:pPr>
              <w:spacing w:after="0"/>
            </w:pPr>
            <w:r>
              <w:rPr>
                <w:color w:val="102130"/>
                <w:sz w:val="16"/>
              </w:rPr>
              <w:t>Cost reviews</w:t>
            </w:r>
          </w:p>
        </w:tc>
        <w:tc>
          <w:tcPr>
            <w:tcW w:type="dxa" w:w="5112"/>
            <w:vAlign w:val="center"/>
            <w:tcMar>
              <w:top w:w="100" w:type="dxa"/>
              <w:start w:w="120" w:type="dxa"/>
              <w:bottom w:w="100" w:type="dxa"/>
              <w:end w:w="120" w:type="dxa"/>
            </w:tcMar>
          </w:tcPr>
          <w:p>
            <w:pPr>
              <w:spacing w:after="0"/>
            </w:pPr>
            <w:r>
              <w:rPr>
                <w:color w:val="102130"/>
                <w:sz w:val="16"/>
              </w:rPr>
              <w:t>Exceptions, duplicates, missing evidence, allocation issues and recommended actions.</w:t>
            </w:r>
          </w:p>
        </w:tc>
        <w:tc>
          <w:tcPr>
            <w:tcW w:type="dxa" w:w="2520"/>
            <w:vAlign w:val="center"/>
            <w:tcMar>
              <w:top w:w="100" w:type="dxa"/>
              <w:start w:w="120" w:type="dxa"/>
              <w:bottom w:w="100" w:type="dxa"/>
              <w:end w:w="120" w:type="dxa"/>
            </w:tcMar>
          </w:tcPr>
          <w:p>
            <w:pPr>
              <w:spacing w:after="0"/>
            </w:pPr>
            <w:r>
              <w:rPr>
                <w:color w:val="102130"/>
                <w:sz w:val="16"/>
              </w:rPr>
              <w:t>Approve, reject, correct, snooze or assign.</w:t>
            </w:r>
          </w:p>
        </w:tc>
      </w:tr>
      <w:tr>
        <w:tc>
          <w:tcPr>
            <w:tcW w:type="dxa" w:w="1728"/>
            <w:vAlign w:val="center"/>
            <w:shd w:fill="F5F7F9"/>
            <w:tcMar>
              <w:top w:w="100" w:type="dxa"/>
              <w:start w:w="120" w:type="dxa"/>
              <w:bottom w:w="100" w:type="dxa"/>
              <w:end w:w="120" w:type="dxa"/>
            </w:tcMar>
          </w:tcPr>
          <w:p>
            <w:pPr>
              <w:spacing w:after="0"/>
            </w:pPr>
            <w:r>
              <w:rPr>
                <w:color w:val="102130"/>
                <w:sz w:val="16"/>
              </w:rPr>
              <w:t>Reports</w:t>
            </w:r>
          </w:p>
        </w:tc>
        <w:tc>
          <w:tcPr>
            <w:tcW w:type="dxa" w:w="5112"/>
            <w:vAlign w:val="center"/>
            <w:shd w:fill="F5F7F9"/>
            <w:tcMar>
              <w:top w:w="100" w:type="dxa"/>
              <w:start w:w="120" w:type="dxa"/>
              <w:bottom w:w="100" w:type="dxa"/>
              <w:end w:w="120" w:type="dxa"/>
            </w:tcMar>
          </w:tcPr>
          <w:p>
            <w:pPr>
              <w:spacing w:after="0"/>
            </w:pPr>
            <w:r>
              <w:rPr>
                <w:color w:val="102130"/>
                <w:sz w:val="16"/>
              </w:rPr>
              <w:t>Budget, category, vehicle, fuel, maintenance, wages, supplier and audit reports.</w:t>
            </w:r>
          </w:p>
        </w:tc>
        <w:tc>
          <w:tcPr>
            <w:tcW w:type="dxa" w:w="2520"/>
            <w:vAlign w:val="center"/>
            <w:shd w:fill="F5F7F9"/>
            <w:tcMar>
              <w:top w:w="100" w:type="dxa"/>
              <w:start w:w="120" w:type="dxa"/>
              <w:bottom w:w="100" w:type="dxa"/>
              <w:end w:w="120" w:type="dxa"/>
            </w:tcMar>
          </w:tcPr>
          <w:p>
            <w:pPr>
              <w:spacing w:after="0"/>
            </w:pPr>
            <w:r>
              <w:rPr>
                <w:color w:val="102130"/>
                <w:sz w:val="16"/>
              </w:rPr>
              <w:t>Select period, version, export or schedule.</w:t>
            </w:r>
          </w:p>
        </w:tc>
      </w:tr>
      <w:tr>
        <w:tc>
          <w:tcPr>
            <w:tcW w:type="dxa" w:w="1728"/>
            <w:vAlign w:val="center"/>
            <w:tcMar>
              <w:top w:w="100" w:type="dxa"/>
              <w:start w:w="120" w:type="dxa"/>
              <w:bottom w:w="100" w:type="dxa"/>
              <w:end w:w="120" w:type="dxa"/>
            </w:tcMar>
          </w:tcPr>
          <w:p>
            <w:pPr>
              <w:spacing w:after="0"/>
            </w:pPr>
            <w:r>
              <w:rPr>
                <w:color w:val="102130"/>
                <w:sz w:val="16"/>
              </w:rPr>
              <w:t>Imports</w:t>
            </w:r>
          </w:p>
        </w:tc>
        <w:tc>
          <w:tcPr>
            <w:tcW w:type="dxa" w:w="5112"/>
            <w:vAlign w:val="center"/>
            <w:tcMar>
              <w:top w:w="100" w:type="dxa"/>
              <w:start w:w="120" w:type="dxa"/>
              <w:bottom w:w="100" w:type="dxa"/>
              <w:end w:w="120" w:type="dxa"/>
            </w:tcMar>
          </w:tcPr>
          <w:p>
            <w:pPr>
              <w:spacing w:after="0"/>
            </w:pPr>
            <w:r>
              <w:rPr>
                <w:color w:val="102130"/>
                <w:sz w:val="16"/>
              </w:rPr>
              <w:t>Connection health, upload status, validation, reconciliation and quarantine.</w:t>
            </w:r>
          </w:p>
        </w:tc>
        <w:tc>
          <w:tcPr>
            <w:tcW w:type="dxa" w:w="2520"/>
            <w:vAlign w:val="center"/>
            <w:tcMar>
              <w:top w:w="100" w:type="dxa"/>
              <w:start w:w="120" w:type="dxa"/>
              <w:bottom w:w="100" w:type="dxa"/>
              <w:end w:w="120" w:type="dxa"/>
            </w:tcMar>
          </w:tcPr>
          <w:p>
            <w:pPr>
              <w:spacing w:after="0"/>
            </w:pPr>
            <w:r>
              <w:rPr>
                <w:color w:val="102130"/>
                <w:sz w:val="16"/>
              </w:rPr>
              <w:t>Resolve failed or incomplete imports.</w:t>
            </w:r>
          </w:p>
        </w:tc>
      </w:tr>
      <w:tr>
        <w:tc>
          <w:tcPr>
            <w:tcW w:type="dxa" w:w="1728"/>
            <w:vAlign w:val="center"/>
            <w:shd w:fill="F5F7F9"/>
            <w:tcMar>
              <w:top w:w="100" w:type="dxa"/>
              <w:start w:w="120" w:type="dxa"/>
              <w:bottom w:w="100" w:type="dxa"/>
              <w:end w:w="120" w:type="dxa"/>
            </w:tcMar>
          </w:tcPr>
          <w:p>
            <w:pPr>
              <w:spacing w:after="0"/>
            </w:pPr>
            <w:r>
              <w:rPr>
                <w:color w:val="102130"/>
                <w:sz w:val="16"/>
              </w:rPr>
              <w:t>Settings</w:t>
            </w:r>
          </w:p>
        </w:tc>
        <w:tc>
          <w:tcPr>
            <w:tcW w:type="dxa" w:w="5112"/>
            <w:vAlign w:val="center"/>
            <w:shd w:fill="F5F7F9"/>
            <w:tcMar>
              <w:top w:w="100" w:type="dxa"/>
              <w:start w:w="120" w:type="dxa"/>
              <w:bottom w:w="100" w:type="dxa"/>
              <w:end w:w="120" w:type="dxa"/>
            </w:tcMar>
          </w:tcPr>
          <w:p>
            <w:pPr>
              <w:spacing w:after="0"/>
            </w:pPr>
            <w:r>
              <w:rPr>
                <w:color w:val="102130"/>
                <w:sz w:val="16"/>
              </w:rPr>
              <w:t>Organisation, cost taxonomy, budgets, permissions, integrations, security and retention.</w:t>
            </w:r>
          </w:p>
        </w:tc>
        <w:tc>
          <w:tcPr>
            <w:tcW w:type="dxa" w:w="2520"/>
            <w:vAlign w:val="center"/>
            <w:shd w:fill="F5F7F9"/>
            <w:tcMar>
              <w:top w:w="100" w:type="dxa"/>
              <w:start w:w="120" w:type="dxa"/>
              <w:bottom w:w="100" w:type="dxa"/>
              <w:end w:w="120" w:type="dxa"/>
            </w:tcMar>
          </w:tcPr>
          <w:p>
            <w:pPr>
              <w:spacing w:after="0"/>
            </w:pPr>
            <w:r>
              <w:rPr>
                <w:color w:val="102130"/>
                <w:sz w:val="16"/>
              </w:rPr>
              <w:t>Controlled administrative changes.</w:t>
            </w:r>
          </w:p>
        </w:tc>
      </w:tr>
    </w:tbl>
    <w:p>
      <w:pPr>
        <w:spacing w:after="0"/>
      </w:pPr>
    </w:p>
    <w:p>
      <w:pPr>
        <w:pStyle w:val="Heading2"/>
      </w:pPr>
      <w:r>
        <w:t>Home page hierarchy</w:t>
      </w:r>
    </w:p>
    <w:p>
      <w:pPr>
        <w:spacing w:after="80" w:line="264" w:lineRule="auto"/>
        <w:ind w:left="720" w:hanging="360"/>
        <w:numPr>
          <w:ilvl w:val="0"/>
          <w:numId w:val="11"/>
        </w:numPr>
      </w:pPr>
      <w:r>
        <w:t>Show approved CEC budget, actual cost, committed cost, forecast cost, projected final cost and projected remaining budget.</w:t>
      </w:r>
    </w:p>
    <w:p>
      <w:pPr>
        <w:spacing w:after="80" w:line="264" w:lineRule="auto"/>
        <w:ind w:left="720" w:hanging="360"/>
        <w:numPr>
          <w:ilvl w:val="0"/>
          <w:numId w:val="11"/>
        </w:numPr>
      </w:pPr>
      <w:r>
        <w:t>Show the largest variances and explain what changed since the last valid snapshot.</w:t>
      </w:r>
    </w:p>
    <w:p>
      <w:pPr>
        <w:spacing w:after="80" w:line="264" w:lineRule="auto"/>
        <w:ind w:left="720" w:hanging="360"/>
        <w:numPr>
          <w:ilvl w:val="0"/>
          <w:numId w:val="11"/>
        </w:numPr>
      </w:pPr>
      <w:r>
        <w:t>Show no more than one primary cost-control recommendation.</w:t>
      </w:r>
    </w:p>
    <w:p>
      <w:pPr>
        <w:spacing w:after="80" w:line="264" w:lineRule="auto"/>
        <w:ind w:left="720" w:hanging="360"/>
        <w:numPr>
          <w:ilvl w:val="0"/>
          <w:numId w:val="11"/>
        </w:numPr>
      </w:pPr>
      <w:r>
        <w:t>Show costs awaiting review, missing evidence and unresolved reconciliation issues.</w:t>
      </w:r>
    </w:p>
    <w:p>
      <w:pPr>
        <w:spacing w:after="80" w:line="264" w:lineRule="auto"/>
        <w:ind w:left="720" w:hanging="360"/>
        <w:numPr>
          <w:ilvl w:val="0"/>
          <w:numId w:val="11"/>
        </w:numPr>
      </w:pPr>
      <w:r>
        <w:t>Show the last successful data refresh and the age of every important result.</w:t>
      </w:r>
    </w:p>
    <w:p>
      <w:pPr>
        <w:pStyle w:val="Heading2"/>
      </w:pPr>
      <w:r>
        <w:t>Cost detail page</w:t>
      </w:r>
    </w:p>
    <w:p>
      <w:pPr>
        <w:pStyle w:val="ListBullet"/>
      </w:pPr>
      <w:r>
        <w:t>Supplier, description, date, net amount, VAT, gross amount and currency.</w:t>
      </w:r>
    </w:p>
    <w:p>
      <w:pPr>
        <w:pStyle w:val="ListBullet"/>
      </w:pPr>
      <w:r>
        <w:t>Actual, committed, forecast or estimated status.</w:t>
      </w:r>
    </w:p>
    <w:p>
      <w:pPr>
        <w:pStyle w:val="ListBullet"/>
      </w:pPr>
      <w:r>
        <w:t>Category, budget, cost centre, vehicle and other approved allocations.</w:t>
      </w:r>
    </w:p>
    <w:p>
      <w:pPr>
        <w:pStyle w:val="ListBullet"/>
      </w:pPr>
      <w:r>
        <w:t>Original source and supporting document.</w:t>
      </w:r>
    </w:p>
    <w:p>
      <w:pPr>
        <w:pStyle w:val="ListBullet"/>
      </w:pPr>
      <w:r>
        <w:t>Duplicate, anomaly and reconciliation checks.</w:t>
      </w:r>
    </w:p>
    <w:p>
      <w:pPr>
        <w:pStyle w:val="ListBullet"/>
      </w:pPr>
      <w:r>
        <w:t>Approval, correction and version history.</w:t>
      </w:r>
    </w:p>
    <w:p>
      <w:pPr>
        <w:pStyle w:val="ListBullet"/>
      </w:pPr>
      <w:r>
        <w:t>Related commitment or actual cost, preventing double counting.</w:t>
      </w:r>
    </w:p>
    <w:p>
      <w:pPr>
        <w:pStyle w:val="Heading2"/>
      </w:pPr>
      <w:r>
        <w:t>Cost-only vehicle page</w:t>
      </w:r>
    </w:p>
    <w:p>
      <w:r>
        <w:t>The vehicle page contains no dispatch, booking, driver-performance or route-management functionality. It exists to aggregate vehicle-attributable costs and support comparisons.</w:t>
      </w:r>
    </w:p>
    <w:p>
      <w:pPr>
        <w:pStyle w:val="ListBullet"/>
      </w:pPr>
      <w:r>
        <w:t>Lease and finance cost</w:t>
      </w:r>
    </w:p>
    <w:p>
      <w:pPr>
        <w:pStyle w:val="ListBullet"/>
      </w:pPr>
      <w:r>
        <w:t>Fuel cost</w:t>
      </w:r>
    </w:p>
    <w:p>
      <w:pPr>
        <w:pStyle w:val="ListBullet"/>
      </w:pPr>
      <w:r>
        <w:t>Insurance and vehicle tax</w:t>
      </w:r>
    </w:p>
    <w:p>
      <w:pPr>
        <w:pStyle w:val="ListBullet"/>
      </w:pPr>
      <w:r>
        <w:t>MOT, service, repair, inspection, tyres and recovery</w:t>
      </w:r>
    </w:p>
    <w:p>
      <w:pPr>
        <w:pStyle w:val="ListBullet"/>
      </w:pPr>
      <w:r>
        <w:t>Total cost, cost per month and cost per mile where mileage is available</w:t>
      </w:r>
    </w:p>
    <w:p>
      <w:pPr>
        <w:pStyle w:val="ListBullet"/>
      </w:pPr>
      <w:r>
        <w:t>Budget and forecast variance</w:t>
      </w:r>
    </w:p>
    <w:p>
      <w:pPr>
        <w:pStyle w:val="ListBullet"/>
      </w:pPr>
      <w:r>
        <w:t>Documents supporting vehicle costs</w:t>
      </w:r>
    </w:p>
    <w:p>
      <w:r>
        <w:br w:type="page"/>
      </w:r>
    </w:p>
    <w:p>
      <w:pPr>
        <w:pStyle w:val="Heading1"/>
      </w:pPr>
      <w:r>
        <w:t>8. End-to-end cost workflows</w:t>
      </w:r>
    </w:p>
    <w:p>
      <w:pPr>
        <w:pStyle w:val="Heading2"/>
      </w:pPr>
      <w:r>
        <w:t>8.1 Cost ingestion</w:t>
      </w:r>
    </w:p>
    <w:p>
      <w:pPr>
        <w:spacing w:after="80" w:line="264" w:lineRule="auto"/>
        <w:ind w:left="720" w:hanging="360"/>
        <w:numPr>
          <w:ilvl w:val="0"/>
          <w:numId w:val="12"/>
        </w:numPr>
      </w:pPr>
      <w:r>
        <w:t>Receive a cost from a fuel card, supplier invoice, bank feed, payroll summary, recurring contract or authorised manual entry.</w:t>
      </w:r>
    </w:p>
    <w:p>
      <w:pPr>
        <w:spacing w:after="80" w:line="264" w:lineRule="auto"/>
        <w:ind w:left="720" w:hanging="360"/>
        <w:numPr>
          <w:ilvl w:val="0"/>
          <w:numId w:val="12"/>
        </w:numPr>
      </w:pPr>
      <w:r>
        <w:t>Store the original source payload without modification.</w:t>
      </w:r>
    </w:p>
    <w:p>
      <w:pPr>
        <w:spacing w:after="80" w:line="264" w:lineRule="auto"/>
        <w:ind w:left="720" w:hanging="360"/>
        <w:numPr>
          <w:ilvl w:val="0"/>
          <w:numId w:val="12"/>
        </w:numPr>
      </w:pPr>
      <w:r>
        <w:t>Validate required fields, amount, date, currency and source identity.</w:t>
      </w:r>
    </w:p>
    <w:p>
      <w:pPr>
        <w:spacing w:after="80" w:line="264" w:lineRule="auto"/>
        <w:ind w:left="720" w:hanging="360"/>
        <w:numPr>
          <w:ilvl w:val="0"/>
          <w:numId w:val="12"/>
        </w:numPr>
      </w:pPr>
      <w:r>
        <w:t>Normalise the record into the canonical cost format.</w:t>
      </w:r>
    </w:p>
    <w:p>
      <w:pPr>
        <w:spacing w:after="80" w:line="264" w:lineRule="auto"/>
        <w:ind w:left="720" w:hanging="360"/>
        <w:numPr>
          <w:ilvl w:val="0"/>
          <w:numId w:val="12"/>
        </w:numPr>
      </w:pPr>
      <w:r>
        <w:t>Detect exact and probable duplicates.</w:t>
      </w:r>
    </w:p>
    <w:p>
      <w:pPr>
        <w:spacing w:after="80" w:line="264" w:lineRule="auto"/>
        <w:ind w:left="720" w:hanging="360"/>
        <w:numPr>
          <w:ilvl w:val="0"/>
          <w:numId w:val="12"/>
        </w:numPr>
      </w:pPr>
      <w:r>
        <w:t>Match supplier, cost category, budget and relevant allocation dimensions.</w:t>
      </w:r>
    </w:p>
    <w:p>
      <w:pPr>
        <w:spacing w:after="80" w:line="264" w:lineRule="auto"/>
        <w:ind w:left="720" w:hanging="360"/>
        <w:numPr>
          <w:ilvl w:val="0"/>
          <w:numId w:val="12"/>
        </w:numPr>
      </w:pPr>
      <w:r>
        <w:t>Validate evidence and reconcile the cost with its source.</w:t>
      </w:r>
    </w:p>
    <w:p>
      <w:pPr>
        <w:spacing w:after="80" w:line="264" w:lineRule="auto"/>
        <w:ind w:left="720" w:hanging="360"/>
        <w:numPr>
          <w:ilvl w:val="0"/>
          <w:numId w:val="12"/>
        </w:numPr>
      </w:pPr>
      <w:r>
        <w:t>Quarantine any incomplete, inconsistent or unsupported record.</w:t>
      </w:r>
    </w:p>
    <w:p>
      <w:pPr>
        <w:spacing w:after="80" w:line="264" w:lineRule="auto"/>
        <w:ind w:left="720" w:hanging="360"/>
        <w:numPr>
          <w:ilvl w:val="0"/>
          <w:numId w:val="12"/>
        </w:numPr>
      </w:pPr>
      <w:r>
        <w:t>Commit only validated records to the canonical cost ledger.</w:t>
      </w:r>
    </w:p>
    <w:p>
      <w:pPr>
        <w:spacing w:after="80" w:line="264" w:lineRule="auto"/>
        <w:ind w:left="720" w:hanging="360"/>
        <w:numPr>
          <w:ilvl w:val="0"/>
          <w:numId w:val="12"/>
        </w:numPr>
      </w:pPr>
      <w:r>
        <w:t>Create a new financial snapshot and recalculate budgets and forecasts.</w:t>
      </w:r>
    </w:p>
    <w:p>
      <w:pPr>
        <w:keepNext/>
        <w:spacing w:before="160" w:after="80"/>
        <w:jc w:val="center"/>
      </w:pPr>
      <w:r>
        <w:drawing>
          <wp:inline xmlns:a="http://schemas.openxmlformats.org/drawingml/2006/main" xmlns:pic="http://schemas.openxmlformats.org/drawingml/2006/picture">
            <wp:extent cx="5897880" cy="3211068"/>
            <wp:docPr id="1" name="Picture 1" descr="Flow from external cost sources through raw import, validation, reconciliation and the canonical cost ledger. Invalid data moves to quarantine. Valid data creates a financial snapshot used by budgets and reports."/>
            <wp:cNvGraphicFramePr>
              <a:graphicFrameLocks noChangeAspect="1"/>
            </wp:cNvGraphicFramePr>
            <a:graphic>
              <a:graphicData uri="http://schemas.openxmlformats.org/drawingml/2006/picture">
                <pic:pic>
                  <pic:nvPicPr>
                    <pic:cNvPr id="0" name="cost-ingestion-workflow.png"/>
                    <pic:cNvPicPr/>
                  </pic:nvPicPr>
                  <pic:blipFill>
                    <a:blip r:embed="rId11"/>
                    <a:stretch>
                      <a:fillRect/>
                    </a:stretch>
                  </pic:blipFill>
                  <pic:spPr>
                    <a:xfrm>
                      <a:off x="0" y="0"/>
                      <a:ext cx="5897880" cy="3211068"/>
                    </a:xfrm>
                    <a:prstGeom prst="rect"/>
                  </pic:spPr>
                </pic:pic>
              </a:graphicData>
            </a:graphic>
          </wp:inline>
        </w:drawing>
      </w:r>
    </w:p>
    <w:p>
      <w:pPr>
        <w:spacing w:before="0" w:after="200"/>
        <w:jc w:val="center"/>
      </w:pPr>
      <w:r>
        <w:rPr>
          <w:i/>
          <w:color w:val="5E6B75"/>
          <w:sz w:val="18"/>
        </w:rPr>
        <w:t>Figure 1. Only validated and reconciled costs reach the canonical ledger and published financial snapshot.</w:t>
      </w:r>
    </w:p>
    <w:p>
      <w:pPr>
        <w:pStyle w:val="Heading2"/>
      </w:pPr>
      <w:r>
        <w:t>8.2 Cost review</w:t>
      </w:r>
    </w:p>
    <w:p>
      <w:pPr>
        <w:spacing w:after="80" w:line="264" w:lineRule="auto"/>
        <w:ind w:left="720" w:hanging="360"/>
        <w:numPr>
          <w:ilvl w:val="0"/>
          <w:numId w:val="13"/>
        </w:numPr>
      </w:pPr>
      <w:r>
        <w:t>Open the review item with its cause, evidence and affected totals.</w:t>
      </w:r>
    </w:p>
    <w:p>
      <w:pPr>
        <w:spacing w:after="80" w:line="264" w:lineRule="auto"/>
        <w:ind w:left="720" w:hanging="360"/>
        <w:numPr>
          <w:ilvl w:val="0"/>
          <w:numId w:val="13"/>
        </w:numPr>
      </w:pPr>
      <w:r>
        <w:t>Inspect source data and any suggested category or allocation.</w:t>
      </w:r>
    </w:p>
    <w:p>
      <w:pPr>
        <w:spacing w:after="80" w:line="264" w:lineRule="auto"/>
        <w:ind w:left="720" w:hanging="360"/>
        <w:numPr>
          <w:ilvl w:val="0"/>
          <w:numId w:val="13"/>
        </w:numPr>
      </w:pPr>
      <w:r>
        <w:t>Correct, split, approve, reject or request evidence according to permission.</w:t>
      </w:r>
    </w:p>
    <w:p>
      <w:pPr>
        <w:spacing w:after="80" w:line="264" w:lineRule="auto"/>
        <w:ind w:left="720" w:hanging="360"/>
        <w:numPr>
          <w:ilvl w:val="0"/>
          <w:numId w:val="13"/>
        </w:numPr>
      </w:pPr>
      <w:r>
        <w:t>Validate that allocation totals match the complete cost.</w:t>
      </w:r>
    </w:p>
    <w:p>
      <w:pPr>
        <w:spacing w:after="80" w:line="264" w:lineRule="auto"/>
        <w:ind w:left="720" w:hanging="360"/>
        <w:numPr>
          <w:ilvl w:val="0"/>
          <w:numId w:val="13"/>
        </w:numPr>
      </w:pPr>
      <w:r>
        <w:t>Preserve the imported and previous versions.</w:t>
      </w:r>
    </w:p>
    <w:p>
      <w:pPr>
        <w:spacing w:after="80" w:line="264" w:lineRule="auto"/>
        <w:ind w:left="720" w:hanging="360"/>
        <w:numPr>
          <w:ilvl w:val="0"/>
          <w:numId w:val="13"/>
        </w:numPr>
      </w:pPr>
      <w:r>
        <w:t>Write an immutable audit event identifying actor, time, reason and before/after state.</w:t>
      </w:r>
    </w:p>
    <w:p>
      <w:pPr>
        <w:spacing w:after="80" w:line="264" w:lineRule="auto"/>
        <w:ind w:left="720" w:hanging="360"/>
        <w:numPr>
          <w:ilvl w:val="0"/>
          <w:numId w:val="13"/>
        </w:numPr>
      </w:pPr>
      <w:r>
        <w:t>Recalculate affected budgets, forecasts and reports.</w:t>
      </w:r>
    </w:p>
    <w:p>
      <w:pPr>
        <w:pStyle w:val="Heading2"/>
      </w:pPr>
      <w:r>
        <w:t>8.3 Correction</w:t>
      </w:r>
    </w:p>
    <w:p>
      <w:r>
        <w:t>Actual cost records are never silently overwritten. If the source system owns the record, the correction is made there and imported as a new source version. If Veyvio owns the manual record, an authorised correcting version is created with a mandatory reason.</w:t>
      </w:r>
    </w:p>
    <w:p>
      <w:pPr>
        <w:pStyle w:val="Heading2"/>
      </w:pPr>
      <w:r>
        <w:t>8.4 Commitment conversion</w:t>
      </w:r>
    </w:p>
    <w:p>
      <w:pPr>
        <w:spacing w:after="80" w:line="264" w:lineRule="auto"/>
        <w:ind w:left="720" w:hanging="360"/>
        <w:numPr>
          <w:ilvl w:val="0"/>
          <w:numId w:val="14"/>
        </w:numPr>
      </w:pPr>
      <w:r>
        <w:t>Identify the approved commitment.</w:t>
      </w:r>
    </w:p>
    <w:p>
      <w:pPr>
        <w:spacing w:after="80" w:line="264" w:lineRule="auto"/>
        <w:ind w:left="720" w:hanging="360"/>
        <w:numPr>
          <w:ilvl w:val="0"/>
          <w:numId w:val="14"/>
        </w:numPr>
      </w:pPr>
      <w:r>
        <w:t>Import or record the actual supplier cost.</w:t>
      </w:r>
    </w:p>
    <w:p>
      <w:pPr>
        <w:spacing w:after="80" w:line="264" w:lineRule="auto"/>
        <w:ind w:left="720" w:hanging="360"/>
        <w:numPr>
          <w:ilvl w:val="0"/>
          <w:numId w:val="14"/>
        </w:numPr>
      </w:pPr>
      <w:r>
        <w:t>Match actual and committed records using supplier, reference, date and amount.</w:t>
      </w:r>
    </w:p>
    <w:p>
      <w:pPr>
        <w:spacing w:after="80" w:line="264" w:lineRule="auto"/>
        <w:ind w:left="720" w:hanging="360"/>
        <w:numPr>
          <w:ilvl w:val="0"/>
          <w:numId w:val="14"/>
        </w:numPr>
      </w:pPr>
      <w:r>
        <w:t>Confirm full or partial conversion.</w:t>
      </w:r>
    </w:p>
    <w:p>
      <w:pPr>
        <w:spacing w:after="80" w:line="264" w:lineRule="auto"/>
        <w:ind w:left="720" w:hanging="360"/>
        <w:numPr>
          <w:ilvl w:val="0"/>
          <w:numId w:val="14"/>
        </w:numPr>
      </w:pPr>
      <w:r>
        <w:t>Reduce or close the remaining commitment.</w:t>
      </w:r>
    </w:p>
    <w:p>
      <w:pPr>
        <w:spacing w:after="80" w:line="264" w:lineRule="auto"/>
        <w:ind w:left="720" w:hanging="360"/>
        <w:numPr>
          <w:ilvl w:val="0"/>
          <w:numId w:val="14"/>
        </w:numPr>
      </w:pPr>
      <w:r>
        <w:t>Record the actual cost once and preserve the linkage.</w:t>
      </w:r>
    </w:p>
    <w:p>
      <w:pPr>
        <w:spacing w:after="80" w:line="264" w:lineRule="auto"/>
        <w:ind w:left="720" w:hanging="360"/>
        <w:numPr>
          <w:ilvl w:val="0"/>
          <w:numId w:val="14"/>
        </w:numPr>
      </w:pPr>
      <w:r>
        <w:t>Recalculate the projected final cost without double counting.</w:t>
      </w:r>
    </w:p>
    <w:p>
      <w:pPr>
        <w:keepNext/>
        <w:spacing w:before="160" w:after="80"/>
        <w:jc w:val="center"/>
      </w:pPr>
      <w:r>
        <w:drawing>
          <wp:inline xmlns:a="http://schemas.openxmlformats.org/drawingml/2006/main" xmlns:pic="http://schemas.openxmlformats.org/drawingml/2006/picture">
            <wp:extent cx="5897880" cy="2948940"/>
            <wp:docPr id="2" name="Picture 2" descr="Lifecycle showing imported, validated, forecast, committed and actual cost states, with invalid records rejected and commitments linked to actual costs to prevent double counting."/>
            <wp:cNvGraphicFramePr>
              <a:graphicFrameLocks noChangeAspect="1"/>
            </wp:cNvGraphicFramePr>
            <a:graphic>
              <a:graphicData uri="http://schemas.openxmlformats.org/drawingml/2006/picture">
                <pic:pic>
                  <pic:nvPicPr>
                    <pic:cNvPr id="0" name="cost-status-lifecycle.png"/>
                    <pic:cNvPicPr/>
                  </pic:nvPicPr>
                  <pic:blipFill>
                    <a:blip r:embed="rId12"/>
                    <a:stretch>
                      <a:fillRect/>
                    </a:stretch>
                  </pic:blipFill>
                  <pic:spPr>
                    <a:xfrm>
                      <a:off x="0" y="0"/>
                      <a:ext cx="5897880" cy="2948940"/>
                    </a:xfrm>
                    <a:prstGeom prst="rect"/>
                  </pic:spPr>
                </pic:pic>
              </a:graphicData>
            </a:graphic>
          </wp:inline>
        </w:drawing>
      </w:r>
    </w:p>
    <w:p>
      <w:pPr>
        <w:spacing w:before="0" w:after="200"/>
        <w:jc w:val="center"/>
      </w:pPr>
      <w:r>
        <w:rPr>
          <w:i/>
          <w:color w:val="5E6B75"/>
          <w:sz w:val="18"/>
        </w:rPr>
        <w:t>Figure 2. Cost status transitions preserve one economic cost as forecast expenditure becomes committed and then actual.</w:t>
      </w:r>
    </w:p>
    <w:p>
      <w:pPr>
        <w:pStyle w:val="Heading2"/>
      </w:pPr>
      <w:r>
        <w:t>8.5 Budget revision</w:t>
      </w:r>
    </w:p>
    <w:p>
      <w:pPr>
        <w:spacing w:after="80" w:line="264" w:lineRule="auto"/>
        <w:ind w:left="720" w:hanging="360"/>
        <w:numPr>
          <w:ilvl w:val="0"/>
          <w:numId w:val="15"/>
        </w:numPr>
      </w:pPr>
      <w:r>
        <w:t>A budget owner creates a change request with amount, category, period and reason.</w:t>
      </w:r>
    </w:p>
    <w:p>
      <w:pPr>
        <w:spacing w:after="80" w:line="264" w:lineRule="auto"/>
        <w:ind w:left="720" w:hanging="360"/>
        <w:numPr>
          <w:ilvl w:val="0"/>
          <w:numId w:val="15"/>
        </w:numPr>
      </w:pPr>
      <w:r>
        <w:t>Veyvio previews affected available and projected remaining budget.</w:t>
      </w:r>
    </w:p>
    <w:p>
      <w:pPr>
        <w:spacing w:after="80" w:line="264" w:lineRule="auto"/>
        <w:ind w:left="720" w:hanging="360"/>
        <w:numPr>
          <w:ilvl w:val="0"/>
          <w:numId w:val="15"/>
        </w:numPr>
      </w:pPr>
      <w:r>
        <w:t>The authorised approver accepts or rejects the request.</w:t>
      </w:r>
    </w:p>
    <w:p>
      <w:pPr>
        <w:spacing w:after="80" w:line="264" w:lineRule="auto"/>
        <w:ind w:left="720" w:hanging="360"/>
        <w:numPr>
          <w:ilvl w:val="0"/>
          <w:numId w:val="15"/>
        </w:numPr>
      </w:pPr>
      <w:r>
        <w:t>The original approved baseline remains immutable.</w:t>
      </w:r>
    </w:p>
    <w:p>
      <w:pPr>
        <w:spacing w:after="80" w:line="264" w:lineRule="auto"/>
        <w:ind w:left="720" w:hanging="360"/>
        <w:numPr>
          <w:ilvl w:val="0"/>
          <w:numId w:val="15"/>
        </w:numPr>
      </w:pPr>
      <w:r>
        <w:t>An approved revision creates a new budget version.</w:t>
      </w:r>
    </w:p>
    <w:p>
      <w:pPr>
        <w:spacing w:after="80" w:line="264" w:lineRule="auto"/>
        <w:ind w:left="720" w:hanging="360"/>
        <w:numPr>
          <w:ilvl w:val="0"/>
          <w:numId w:val="15"/>
        </w:numPr>
      </w:pPr>
      <w:r>
        <w:t>Reports can compare original, revised and current forecast values.</w:t>
      </w:r>
    </w:p>
    <w:p>
      <w:pPr>
        <w:pStyle w:val="Heading2"/>
      </w:pPr>
      <w:r>
        <w:t>8.6 Import failure</w:t>
      </w:r>
    </w:p>
    <w:p>
      <w:pPr>
        <w:pStyle w:val="ListBullet"/>
      </w:pPr>
      <w:r>
        <w:t>Keep the last valid cost snapshot available.</w:t>
      </w:r>
    </w:p>
    <w:p>
      <w:pPr>
        <w:pStyle w:val="ListBullet"/>
      </w:pPr>
      <w:r>
        <w:t>Do not publish partial or unreconciled totals as current.</w:t>
      </w:r>
    </w:p>
    <w:p>
      <w:pPr>
        <w:pStyle w:val="ListBullet"/>
      </w:pPr>
      <w:r>
        <w:t>Classify connection, authentication, schema, duplication and reconciliation failures.</w:t>
      </w:r>
    </w:p>
    <w:p>
      <w:pPr>
        <w:pStyle w:val="ListBullet"/>
      </w:pPr>
      <w:r>
        <w:t>Retry temporary failures safely and idempotently.</w:t>
      </w:r>
    </w:p>
    <w:p>
      <w:pPr>
        <w:pStyle w:val="ListBullet"/>
      </w:pPr>
      <w:r>
        <w:t>Quarantine structurally changed or invalid source data.</w:t>
      </w:r>
    </w:p>
    <w:p>
      <w:pPr>
        <w:pStyle w:val="ListBullet"/>
      </w:pPr>
      <w:r>
        <w:t>Notify the responsible user and show exactly what is stale.</w:t>
      </w:r>
    </w:p>
    <w:p>
      <w:pPr>
        <w:pStyle w:val="Heading1"/>
      </w:pPr>
      <w:r>
        <w:t>9. Budget and forecasting engine</w:t>
      </w:r>
    </w:p>
    <w:p>
      <w:pPr>
        <w:pStyle w:val="Heading2"/>
      </w:pPr>
      <w:r>
        <w:t>Budget hierarchy</w:t>
      </w:r>
    </w:p>
    <w:p>
      <w:r>
        <w:t>The data model must support organisation, financial year, CEC/programme budget, cost category, cost centre, vehicle and other approved allocation levels. The hierarchy is configurable so CEC terminology is not hard-coded until its formal meaning and structure are confirmed.</w:t>
      </w:r>
    </w:p>
    <w:p>
      <w:pPr>
        <w:pStyle w:val="Heading2"/>
      </w:pPr>
      <w:r>
        <w:t>Forecast inputs</w:t>
      </w:r>
    </w:p>
    <w:p>
      <w:pPr>
        <w:pStyle w:val="ListBullet"/>
      </w:pPr>
      <w:r>
        <w:t>Validated historical actual costs</w:t>
      </w:r>
    </w:p>
    <w:p>
      <w:pPr>
        <w:pStyle w:val="ListBullet"/>
      </w:pPr>
      <w:r>
        <w:t>Open commitments</w:t>
      </w:r>
    </w:p>
    <w:p>
      <w:pPr>
        <w:pStyle w:val="ListBullet"/>
      </w:pPr>
      <w:r>
        <w:t>Recurring contracts and subscriptions</w:t>
      </w:r>
    </w:p>
    <w:p>
      <w:pPr>
        <w:pStyle w:val="ListBullet"/>
      </w:pPr>
      <w:r>
        <w:t>Known renewal dates</w:t>
      </w:r>
    </w:p>
    <w:p>
      <w:pPr>
        <w:pStyle w:val="ListBullet"/>
      </w:pPr>
      <w:r>
        <w:t>Approved purchase plans</w:t>
      </w:r>
    </w:p>
    <w:p>
      <w:pPr>
        <w:pStyle w:val="ListBullet"/>
      </w:pPr>
      <w:r>
        <w:t>Seasonal cost patterns</w:t>
      </w:r>
    </w:p>
    <w:p>
      <w:pPr>
        <w:pStyle w:val="ListBullet"/>
      </w:pPr>
      <w:r>
        <w:t>Rolling averages</w:t>
      </w:r>
    </w:p>
    <w:p>
      <w:pPr>
        <w:pStyle w:val="ListBullet"/>
      </w:pPr>
      <w:r>
        <w:t>Manual assumptions with owner and expiry date</w:t>
      </w:r>
    </w:p>
    <w:p>
      <w:pPr>
        <w:pStyle w:val="ListBullet"/>
      </w:pPr>
      <w:r>
        <w:t>Expected MOT, service or inspection costs where dates are available</w:t>
      </w:r>
    </w:p>
    <w:p>
      <w:pPr>
        <w:pStyle w:val="Heading2"/>
      </w:pPr>
      <w:r>
        <w:t>Forecast outputs</w:t>
      </w:r>
    </w:p>
    <w:p>
      <w:pPr>
        <w:pStyle w:val="ListBullet"/>
      </w:pPr>
      <w:r>
        <w:t>Monthly and period cost forecast</w:t>
      </w:r>
    </w:p>
    <w:p>
      <w:pPr>
        <w:pStyle w:val="ListBullet"/>
      </w:pPr>
      <w:r>
        <w:t>Forecast by category, budget, cost centre, supplier and vehicle</w:t>
      </w:r>
    </w:p>
    <w:p>
      <w:pPr>
        <w:pStyle w:val="ListBullet"/>
      </w:pPr>
      <w:r>
        <w:t>Projected final cost</w:t>
      </w:r>
    </w:p>
    <w:p>
      <w:pPr>
        <w:pStyle w:val="ListBullet"/>
      </w:pPr>
      <w:r>
        <w:t>Projected remaining budget</w:t>
      </w:r>
    </w:p>
    <w:p>
      <w:pPr>
        <w:pStyle w:val="ListBullet"/>
      </w:pPr>
      <w:r>
        <w:t>First expected overspend period</w:t>
      </w:r>
    </w:p>
    <w:p>
      <w:pPr>
        <w:pStyle w:val="ListBullet"/>
      </w:pPr>
      <w:r>
        <w:t>Base, lower and upper ranges</w:t>
      </w:r>
    </w:p>
    <w:p>
      <w:pPr>
        <w:pStyle w:val="ListBullet"/>
      </w:pPr>
      <w:r>
        <w:t>Assumptions and confidence</w:t>
      </w:r>
    </w:p>
    <w:p>
      <w:pPr>
        <w:pStyle w:val="ListBullet"/>
      </w:pPr>
      <w:r>
        <w:t>Difference from the previous forecast version</w:t>
      </w:r>
    </w:p>
    <w:p>
      <w:pPr>
        <w:keepNext/>
        <w:spacing w:before="160" w:after="80"/>
        <w:jc w:val="center"/>
      </w:pPr>
      <w:r>
        <w:drawing>
          <wp:inline xmlns:a="http://schemas.openxmlformats.org/drawingml/2006/main" xmlns:pic="http://schemas.openxmlformats.org/drawingml/2006/picture">
            <wp:extent cx="5897880" cy="3014472"/>
            <wp:docPr id="3" name="Picture 3" descr="Approved budget, actual costs and commitments enter a deterministic forecast engine. Outputs include projected final cost, projected remaining budget and variance review."/>
            <wp:cNvGraphicFramePr>
              <a:graphicFrameLocks noChangeAspect="1"/>
            </wp:cNvGraphicFramePr>
            <a:graphic>
              <a:graphicData uri="http://schemas.openxmlformats.org/drawingml/2006/picture">
                <pic:pic>
                  <pic:nvPicPr>
                    <pic:cNvPr id="0" name="budget-forecast-flow.png"/>
                    <pic:cNvPicPr/>
                  </pic:nvPicPr>
                  <pic:blipFill>
                    <a:blip r:embed="rId13"/>
                    <a:stretch>
                      <a:fillRect/>
                    </a:stretch>
                  </pic:blipFill>
                  <pic:spPr>
                    <a:xfrm>
                      <a:off x="0" y="0"/>
                      <a:ext cx="5897880" cy="3014472"/>
                    </a:xfrm>
                    <a:prstGeom prst="rect"/>
                  </pic:spPr>
                </pic:pic>
              </a:graphicData>
            </a:graphic>
          </wp:inline>
        </w:drawing>
      </w:r>
    </w:p>
    <w:p>
      <w:pPr>
        <w:spacing w:before="0" w:after="200"/>
        <w:jc w:val="center"/>
      </w:pPr>
      <w:r>
        <w:rPr>
          <w:i/>
          <w:color w:val="5E6B75"/>
          <w:sz w:val="18"/>
        </w:rPr>
        <w:t>Figure 3. The forecast engine combines the approved baseline with actual, committed and expected costs.</w:t>
      </w:r>
    </w:p>
    <w:p>
      <w:pPr>
        <w:pStyle w:val="Heading2"/>
      </w:pPr>
      <w:r>
        <w:t>Forecast versioning</w:t>
      </w:r>
    </w:p>
    <w:p>
      <w:r>
        <w:t>Every published forecast is an immutable version with its calculation time, data snapshot, formula version, assumptions and author. A changed assumption creates a new forecast version; it does not rewrite history.</w:t>
      </w:r>
    </w:p>
    <w:p>
      <w:pPr>
        <w:pStyle w:val="Heading1"/>
      </w:pPr>
      <w:r>
        <w:t>10. Decision-support and cost review</w:t>
      </w:r>
    </w:p>
    <w:p>
      <w:r>
        <w:t>Recommendations must remain cost-specific. Veyvio may identify and prepare a review, but must not autonomously cancel a supplier contract, reject an employee cost, alter an approved budget or initiate a payment.</w:t>
      </w:r>
    </w:p>
    <w:tbl>
      <w:tblPr>
        <w:tblStyle w:val="TableGrid"/>
        <w:tblW w:type="dxa" w:w="9360"/>
        <w:jc w:val="left"/>
        <w:tblLayout w:type="fixed"/>
        <w:tblLook w:firstColumn="1" w:firstRow="1" w:lastColumn="0" w:lastRow="0" w:noHBand="0" w:noVBand="1" w:val="04A0"/>
        <w:tblInd w:w="120" w:type="dxa"/>
      </w:tblPr>
      <w:tblGrid>
        <w:gridCol w:w="3168"/>
        <w:gridCol w:w="6192"/>
      </w:tblGrid>
      <w:tr>
        <w:trPr>
          <w:tblHeader w:val="true"/>
        </w:trPr>
        <w:tc>
          <w:tcPr>
            <w:tcW w:type="dxa" w:w="3168"/>
            <w:shd w:fill="0B1F33"/>
            <w:vAlign w:val="center"/>
            <w:tcMar>
              <w:top w:w="100" w:type="dxa"/>
              <w:start w:w="120" w:type="dxa"/>
              <w:bottom w:w="100" w:type="dxa"/>
              <w:end w:w="120" w:type="dxa"/>
            </w:tcMar>
          </w:tcPr>
          <w:p>
            <w:pPr>
              <w:spacing w:after="0"/>
            </w:pPr>
            <w:r>
              <w:rPr>
                <w:b/>
                <w:color w:val="FFFFFF"/>
                <w:sz w:val="18"/>
              </w:rPr>
              <w:t>Signal</w:t>
            </w:r>
          </w:p>
        </w:tc>
        <w:tc>
          <w:tcPr>
            <w:tcW w:type="dxa" w:w="6192"/>
            <w:shd w:fill="0B1F33"/>
            <w:vAlign w:val="center"/>
            <w:tcMar>
              <w:top w:w="100" w:type="dxa"/>
              <w:start w:w="120" w:type="dxa"/>
              <w:bottom w:w="100" w:type="dxa"/>
              <w:end w:w="120" w:type="dxa"/>
            </w:tcMar>
          </w:tcPr>
          <w:p>
            <w:pPr>
              <w:spacing w:after="0"/>
            </w:pPr>
            <w:r>
              <w:rPr>
                <w:b/>
                <w:color w:val="FFFFFF"/>
                <w:sz w:val="18"/>
              </w:rPr>
              <w:t>Permitted recommendation</w:t>
            </w:r>
          </w:p>
        </w:tc>
      </w:tr>
      <w:tr>
        <w:tc>
          <w:tcPr>
            <w:tcW w:type="dxa" w:w="3168"/>
            <w:vAlign w:val="center"/>
            <w:tcMar>
              <w:top w:w="100" w:type="dxa"/>
              <w:start w:w="120" w:type="dxa"/>
              <w:bottom w:w="100" w:type="dxa"/>
              <w:end w:w="120" w:type="dxa"/>
            </w:tcMar>
          </w:tcPr>
          <w:p>
            <w:pPr>
              <w:spacing w:after="0"/>
            </w:pPr>
            <w:r>
              <w:rPr>
                <w:color w:val="102130"/>
                <w:sz w:val="18"/>
              </w:rPr>
              <w:t>Probable duplicate cost</w:t>
            </w:r>
          </w:p>
        </w:tc>
        <w:tc>
          <w:tcPr>
            <w:tcW w:type="dxa" w:w="6192"/>
            <w:vAlign w:val="center"/>
            <w:tcMar>
              <w:top w:w="100" w:type="dxa"/>
              <w:start w:w="120" w:type="dxa"/>
              <w:bottom w:w="100" w:type="dxa"/>
              <w:end w:w="120" w:type="dxa"/>
            </w:tcMar>
          </w:tcPr>
          <w:p>
            <w:pPr>
              <w:spacing w:after="0"/>
            </w:pPr>
            <w:r>
              <w:rPr>
                <w:color w:val="102130"/>
                <w:sz w:val="18"/>
              </w:rPr>
              <w:t>Review and reject or link the duplicate.</w:t>
            </w:r>
          </w:p>
        </w:tc>
      </w:tr>
      <w:tr>
        <w:tc>
          <w:tcPr>
            <w:tcW w:type="dxa" w:w="3168"/>
            <w:vAlign w:val="center"/>
            <w:shd w:fill="F5F7F9"/>
            <w:tcMar>
              <w:top w:w="100" w:type="dxa"/>
              <w:start w:w="120" w:type="dxa"/>
              <w:bottom w:w="100" w:type="dxa"/>
              <w:end w:w="120" w:type="dxa"/>
            </w:tcMar>
          </w:tcPr>
          <w:p>
            <w:pPr>
              <w:spacing w:after="0"/>
            </w:pPr>
            <w:r>
              <w:rPr>
                <w:color w:val="102130"/>
                <w:sz w:val="18"/>
              </w:rPr>
              <w:t>Fuel cost above expected range</w:t>
            </w:r>
          </w:p>
        </w:tc>
        <w:tc>
          <w:tcPr>
            <w:tcW w:type="dxa" w:w="6192"/>
            <w:vAlign w:val="center"/>
            <w:shd w:fill="F5F7F9"/>
            <w:tcMar>
              <w:top w:w="100" w:type="dxa"/>
              <w:start w:w="120" w:type="dxa"/>
              <w:bottom w:w="100" w:type="dxa"/>
              <w:end w:w="120" w:type="dxa"/>
            </w:tcMar>
          </w:tcPr>
          <w:p>
            <w:pPr>
              <w:spacing w:after="0"/>
            </w:pPr>
            <w:r>
              <w:rPr>
                <w:color w:val="102130"/>
                <w:sz w:val="18"/>
              </w:rPr>
              <w:t>Inspect vehicle, supplier, mileage or missing evidence.</w:t>
            </w:r>
          </w:p>
        </w:tc>
      </w:tr>
      <w:tr>
        <w:tc>
          <w:tcPr>
            <w:tcW w:type="dxa" w:w="3168"/>
            <w:vAlign w:val="center"/>
            <w:tcMar>
              <w:top w:w="100" w:type="dxa"/>
              <w:start w:w="120" w:type="dxa"/>
              <w:bottom w:w="100" w:type="dxa"/>
              <w:end w:w="120" w:type="dxa"/>
            </w:tcMar>
          </w:tcPr>
          <w:p>
            <w:pPr>
              <w:spacing w:after="0"/>
            </w:pPr>
            <w:r>
              <w:rPr>
                <w:color w:val="102130"/>
                <w:sz w:val="18"/>
              </w:rPr>
              <w:t>Maintenance forecast above budget</w:t>
            </w:r>
          </w:p>
        </w:tc>
        <w:tc>
          <w:tcPr>
            <w:tcW w:type="dxa" w:w="6192"/>
            <w:vAlign w:val="center"/>
            <w:tcMar>
              <w:top w:w="100" w:type="dxa"/>
              <w:start w:w="120" w:type="dxa"/>
              <w:bottom w:w="100" w:type="dxa"/>
              <w:end w:w="120" w:type="dxa"/>
            </w:tcMar>
          </w:tcPr>
          <w:p>
            <w:pPr>
              <w:spacing w:after="0"/>
            </w:pPr>
            <w:r>
              <w:rPr>
                <w:color w:val="102130"/>
                <w:sz w:val="18"/>
              </w:rPr>
              <w:t>Review timing, quotation, contingency or budget revision.</w:t>
            </w:r>
          </w:p>
        </w:tc>
      </w:tr>
      <w:tr>
        <w:tc>
          <w:tcPr>
            <w:tcW w:type="dxa" w:w="3168"/>
            <w:vAlign w:val="center"/>
            <w:shd w:fill="F5F7F9"/>
            <w:tcMar>
              <w:top w:w="100" w:type="dxa"/>
              <w:start w:w="120" w:type="dxa"/>
              <w:bottom w:w="100" w:type="dxa"/>
              <w:end w:w="120" w:type="dxa"/>
            </w:tcMar>
          </w:tcPr>
          <w:p>
            <w:pPr>
              <w:spacing w:after="0"/>
            </w:pPr>
            <w:r>
              <w:rPr>
                <w:color w:val="102130"/>
                <w:sz w:val="18"/>
              </w:rPr>
              <w:t>Recurring supplier cost increased</w:t>
            </w:r>
          </w:p>
        </w:tc>
        <w:tc>
          <w:tcPr>
            <w:tcW w:type="dxa" w:w="6192"/>
            <w:vAlign w:val="center"/>
            <w:shd w:fill="F5F7F9"/>
            <w:tcMar>
              <w:top w:w="100" w:type="dxa"/>
              <w:start w:w="120" w:type="dxa"/>
              <w:bottom w:w="100" w:type="dxa"/>
              <w:end w:w="120" w:type="dxa"/>
            </w:tcMar>
          </w:tcPr>
          <w:p>
            <w:pPr>
              <w:spacing w:after="0"/>
            </w:pPr>
            <w:r>
              <w:rPr>
                <w:color w:val="102130"/>
                <w:sz w:val="18"/>
              </w:rPr>
              <w:t>Prepare supplier-price review.</w:t>
            </w:r>
          </w:p>
        </w:tc>
      </w:tr>
      <w:tr>
        <w:tc>
          <w:tcPr>
            <w:tcW w:type="dxa" w:w="3168"/>
            <w:vAlign w:val="center"/>
            <w:tcMar>
              <w:top w:w="100" w:type="dxa"/>
              <w:start w:w="120" w:type="dxa"/>
              <w:bottom w:w="100" w:type="dxa"/>
              <w:end w:w="120" w:type="dxa"/>
            </w:tcMar>
          </w:tcPr>
          <w:p>
            <w:pPr>
              <w:spacing w:after="0"/>
            </w:pPr>
            <w:r>
              <w:rPr>
                <w:color w:val="102130"/>
                <w:sz w:val="18"/>
              </w:rPr>
              <w:t>Overtime cost rising</w:t>
            </w:r>
          </w:p>
        </w:tc>
        <w:tc>
          <w:tcPr>
            <w:tcW w:type="dxa" w:w="6192"/>
            <w:vAlign w:val="center"/>
            <w:tcMar>
              <w:top w:w="100" w:type="dxa"/>
              <w:start w:w="120" w:type="dxa"/>
              <w:bottom w:w="100" w:type="dxa"/>
              <w:end w:w="120" w:type="dxa"/>
            </w:tcMar>
          </w:tcPr>
          <w:p>
            <w:pPr>
              <w:spacing w:after="0"/>
            </w:pPr>
            <w:r>
              <w:rPr>
                <w:color w:val="102130"/>
                <w:sz w:val="18"/>
              </w:rPr>
              <w:t>Review overtime expenditure with the authorised manager.</w:t>
            </w:r>
          </w:p>
        </w:tc>
      </w:tr>
      <w:tr>
        <w:tc>
          <w:tcPr>
            <w:tcW w:type="dxa" w:w="3168"/>
            <w:vAlign w:val="center"/>
            <w:shd w:fill="F5F7F9"/>
            <w:tcMar>
              <w:top w:w="100" w:type="dxa"/>
              <w:start w:w="120" w:type="dxa"/>
              <w:bottom w:w="100" w:type="dxa"/>
              <w:end w:w="120" w:type="dxa"/>
            </w:tcMar>
          </w:tcPr>
          <w:p>
            <w:pPr>
              <w:spacing w:after="0"/>
            </w:pPr>
            <w:r>
              <w:rPr>
                <w:color w:val="102130"/>
                <w:sz w:val="18"/>
              </w:rPr>
              <w:t>Cost assigned to wrong budget</w:t>
            </w:r>
          </w:p>
        </w:tc>
        <w:tc>
          <w:tcPr>
            <w:tcW w:type="dxa" w:w="6192"/>
            <w:vAlign w:val="center"/>
            <w:shd w:fill="F5F7F9"/>
            <w:tcMar>
              <w:top w:w="100" w:type="dxa"/>
              <w:start w:w="120" w:type="dxa"/>
              <w:bottom w:w="100" w:type="dxa"/>
              <w:end w:w="120" w:type="dxa"/>
            </w:tcMar>
          </w:tcPr>
          <w:p>
            <w:pPr>
              <w:spacing w:after="0"/>
            </w:pPr>
            <w:r>
              <w:rPr>
                <w:color w:val="102130"/>
                <w:sz w:val="18"/>
              </w:rPr>
              <w:t>Prepare reallocation with evidence.</w:t>
            </w:r>
          </w:p>
        </w:tc>
      </w:tr>
      <w:tr>
        <w:tc>
          <w:tcPr>
            <w:tcW w:type="dxa" w:w="3168"/>
            <w:vAlign w:val="center"/>
            <w:tcMar>
              <w:top w:w="100" w:type="dxa"/>
              <w:start w:w="120" w:type="dxa"/>
              <w:bottom w:w="100" w:type="dxa"/>
              <w:end w:w="120" w:type="dxa"/>
            </w:tcMar>
          </w:tcPr>
          <w:p>
            <w:pPr>
              <w:spacing w:after="0"/>
            </w:pPr>
            <w:r>
              <w:rPr>
                <w:color w:val="102130"/>
                <w:sz w:val="18"/>
              </w:rPr>
              <w:t>Projected CEC overspend</w:t>
            </w:r>
          </w:p>
        </w:tc>
        <w:tc>
          <w:tcPr>
            <w:tcW w:type="dxa" w:w="6192"/>
            <w:vAlign w:val="center"/>
            <w:tcMar>
              <w:top w:w="100" w:type="dxa"/>
              <w:start w:w="120" w:type="dxa"/>
              <w:bottom w:w="100" w:type="dxa"/>
              <w:end w:w="120" w:type="dxa"/>
            </w:tcMar>
          </w:tcPr>
          <w:p>
            <w:pPr>
              <w:spacing w:after="0"/>
            </w:pPr>
            <w:r>
              <w:rPr>
                <w:color w:val="102130"/>
                <w:sz w:val="18"/>
              </w:rPr>
              <w:t>Model reduction, reallocation, contingency or approved budget revision.</w:t>
            </w:r>
          </w:p>
        </w:tc>
      </w:tr>
      <w:tr>
        <w:tc>
          <w:tcPr>
            <w:tcW w:type="dxa" w:w="3168"/>
            <w:vAlign w:val="center"/>
            <w:shd w:fill="F5F7F9"/>
            <w:tcMar>
              <w:top w:w="100" w:type="dxa"/>
              <w:start w:w="120" w:type="dxa"/>
              <w:bottom w:w="100" w:type="dxa"/>
              <w:end w:w="120" w:type="dxa"/>
            </w:tcMar>
          </w:tcPr>
          <w:p>
            <w:pPr>
              <w:spacing w:after="0"/>
            </w:pPr>
            <w:r>
              <w:rPr>
                <w:color w:val="102130"/>
                <w:sz w:val="18"/>
              </w:rPr>
              <w:t>Unsupported cost</w:t>
            </w:r>
          </w:p>
        </w:tc>
        <w:tc>
          <w:tcPr>
            <w:tcW w:type="dxa" w:w="6192"/>
            <w:vAlign w:val="center"/>
            <w:shd w:fill="F5F7F9"/>
            <w:tcMar>
              <w:top w:w="100" w:type="dxa"/>
              <w:start w:w="120" w:type="dxa"/>
              <w:bottom w:w="100" w:type="dxa"/>
              <w:end w:w="120" w:type="dxa"/>
            </w:tcMar>
          </w:tcPr>
          <w:p>
            <w:pPr>
              <w:spacing w:after="0"/>
            </w:pPr>
            <w:r>
              <w:rPr>
                <w:color w:val="102130"/>
                <w:sz w:val="18"/>
              </w:rPr>
              <w:t>Request evidence or place the cost in review.</w:t>
            </w:r>
          </w:p>
        </w:tc>
      </w:tr>
    </w:tbl>
    <w:p>
      <w:pPr>
        <w:spacing w:after="0"/>
      </w:pPr>
    </w:p>
    <w:p>
      <w:pPr>
        <w:pStyle w:val="Heading2"/>
      </w:pPr>
      <w:r>
        <w:t>Recommendation contents</w:t>
      </w:r>
    </w:p>
    <w:p>
      <w:pPr>
        <w:pStyle w:val="ListBullet"/>
      </w:pPr>
      <w:r>
        <w:t>Issue and affected cost</w:t>
      </w:r>
    </w:p>
    <w:p>
      <w:pPr>
        <w:pStyle w:val="ListBullet"/>
      </w:pPr>
      <w:r>
        <w:t>Evidence and source records</w:t>
      </w:r>
    </w:p>
    <w:p>
      <w:pPr>
        <w:pStyle w:val="ListBullet"/>
      </w:pPr>
      <w:r>
        <w:t>Budgeted, actual and projected amounts</w:t>
      </w:r>
    </w:p>
    <w:p>
      <w:pPr>
        <w:pStyle w:val="ListBullet"/>
      </w:pPr>
      <w:r>
        <w:t>Variance and forecast effect</w:t>
      </w:r>
    </w:p>
    <w:p>
      <w:pPr>
        <w:pStyle w:val="ListBullet"/>
      </w:pPr>
      <w:r>
        <w:t>Suggested review action</w:t>
      </w:r>
    </w:p>
    <w:p>
      <w:pPr>
        <w:pStyle w:val="ListBullet"/>
      </w:pPr>
      <w:r>
        <w:t>Confidence and limitations</w:t>
      </w:r>
    </w:p>
    <w:p>
      <w:pPr>
        <w:pStyle w:val="ListBullet"/>
      </w:pPr>
      <w:r>
        <w:t>Responsible person and required approval</w:t>
      </w:r>
    </w:p>
    <w:p>
      <w:pPr>
        <w:pStyle w:val="ListBullet"/>
      </w:pPr>
      <w:r>
        <w:t>Outcome and measured cost effect</w:t>
      </w:r>
    </w:p>
    <w:p>
      <w:pPr>
        <w:pStyle w:val="Heading1"/>
      </w:pPr>
      <w:r>
        <w:t>11. Data model and integrations</w:t>
      </w:r>
    </w:p>
    <w:p>
      <w:pPr>
        <w:pStyle w:val="Heading2"/>
      </w:pPr>
      <w:r>
        <w:t>Core entities</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0B1F33"/>
            <w:vAlign w:val="center"/>
            <w:tcMar>
              <w:top w:w="100" w:type="dxa"/>
              <w:start w:w="120" w:type="dxa"/>
              <w:bottom w:w="100" w:type="dxa"/>
              <w:end w:w="120" w:type="dxa"/>
            </w:tcMar>
          </w:tcPr>
          <w:p>
            <w:pPr>
              <w:spacing w:after="0"/>
            </w:pPr>
            <w:r>
              <w:rPr>
                <w:b/>
                <w:color w:val="FFFFFF"/>
                <w:sz w:val="18"/>
              </w:rPr>
              <w:t>Domain</w:t>
            </w:r>
          </w:p>
        </w:tc>
        <w:tc>
          <w:tcPr>
            <w:tcW w:type="dxa" w:w="7632"/>
            <w:shd w:fill="0B1F33"/>
            <w:vAlign w:val="center"/>
            <w:tcMar>
              <w:top w:w="100" w:type="dxa"/>
              <w:start w:w="120" w:type="dxa"/>
              <w:bottom w:w="100" w:type="dxa"/>
              <w:end w:w="120" w:type="dxa"/>
            </w:tcMar>
          </w:tcPr>
          <w:p>
            <w:pPr>
              <w:spacing w:after="0"/>
            </w:pPr>
            <w:r>
              <w:rPr>
                <w:b/>
                <w:color w:val="FFFFFF"/>
                <w:sz w:val="18"/>
              </w:rPr>
              <w:t>Entities</w:t>
            </w:r>
          </w:p>
        </w:tc>
      </w:tr>
      <w:tr>
        <w:tc>
          <w:tcPr>
            <w:tcW w:type="dxa" w:w="1728"/>
            <w:vAlign w:val="center"/>
            <w:tcMar>
              <w:top w:w="100" w:type="dxa"/>
              <w:start w:w="120" w:type="dxa"/>
              <w:bottom w:w="100" w:type="dxa"/>
              <w:end w:w="120" w:type="dxa"/>
            </w:tcMar>
          </w:tcPr>
          <w:p>
            <w:pPr>
              <w:spacing w:after="0"/>
            </w:pPr>
            <w:r>
              <w:rPr>
                <w:color w:val="102130"/>
                <w:sz w:val="18"/>
              </w:rPr>
              <w:t>Identity</w:t>
            </w:r>
          </w:p>
        </w:tc>
        <w:tc>
          <w:tcPr>
            <w:tcW w:type="dxa" w:w="7632"/>
            <w:vAlign w:val="center"/>
            <w:tcMar>
              <w:top w:w="100" w:type="dxa"/>
              <w:start w:w="120" w:type="dxa"/>
              <w:bottom w:w="100" w:type="dxa"/>
              <w:end w:w="120" w:type="dxa"/>
            </w:tcMar>
          </w:tcPr>
          <w:p>
            <w:pPr>
              <w:spacing w:after="0"/>
            </w:pPr>
            <w:r>
              <w:rPr>
                <w:color w:val="102130"/>
                <w:sz w:val="18"/>
              </w:rPr>
              <w:t>User, organisation, membership, role, permission and approval policy</w:t>
            </w:r>
          </w:p>
        </w:tc>
      </w:tr>
      <w:tr>
        <w:tc>
          <w:tcPr>
            <w:tcW w:type="dxa" w:w="1728"/>
            <w:vAlign w:val="center"/>
            <w:shd w:fill="F5F7F9"/>
            <w:tcMar>
              <w:top w:w="100" w:type="dxa"/>
              <w:start w:w="120" w:type="dxa"/>
              <w:bottom w:w="100" w:type="dxa"/>
              <w:end w:w="120" w:type="dxa"/>
            </w:tcMar>
          </w:tcPr>
          <w:p>
            <w:pPr>
              <w:spacing w:after="0"/>
            </w:pPr>
            <w:r>
              <w:rPr>
                <w:color w:val="102130"/>
                <w:sz w:val="18"/>
              </w:rPr>
              <w:t>Cost</w:t>
            </w:r>
          </w:p>
        </w:tc>
        <w:tc>
          <w:tcPr>
            <w:tcW w:type="dxa" w:w="7632"/>
            <w:vAlign w:val="center"/>
            <w:shd w:fill="F5F7F9"/>
            <w:tcMar>
              <w:top w:w="100" w:type="dxa"/>
              <w:start w:w="120" w:type="dxa"/>
              <w:bottom w:w="100" w:type="dxa"/>
              <w:end w:w="120" w:type="dxa"/>
            </w:tcMar>
          </w:tcPr>
          <w:p>
            <w:pPr>
              <w:spacing w:after="0"/>
            </w:pPr>
            <w:r>
              <w:rPr>
                <w:color w:val="102130"/>
                <w:sz w:val="18"/>
              </w:rPr>
              <w:t>Cost record, cost version, cost line, category, allocation, evidence and correction</w:t>
            </w:r>
          </w:p>
        </w:tc>
      </w:tr>
      <w:tr>
        <w:tc>
          <w:tcPr>
            <w:tcW w:type="dxa" w:w="1728"/>
            <w:vAlign w:val="center"/>
            <w:tcMar>
              <w:top w:w="100" w:type="dxa"/>
              <w:start w:w="120" w:type="dxa"/>
              <w:bottom w:w="100" w:type="dxa"/>
              <w:end w:w="120" w:type="dxa"/>
            </w:tcMar>
          </w:tcPr>
          <w:p>
            <w:pPr>
              <w:spacing w:after="0"/>
            </w:pPr>
            <w:r>
              <w:rPr>
                <w:color w:val="102130"/>
                <w:sz w:val="18"/>
              </w:rPr>
              <w:t>Source</w:t>
            </w:r>
          </w:p>
        </w:tc>
        <w:tc>
          <w:tcPr>
            <w:tcW w:type="dxa" w:w="7632"/>
            <w:vAlign w:val="center"/>
            <w:tcMar>
              <w:top w:w="100" w:type="dxa"/>
              <w:start w:w="120" w:type="dxa"/>
              <w:bottom w:w="100" w:type="dxa"/>
              <w:end w:w="120" w:type="dxa"/>
            </w:tcMar>
          </w:tcPr>
          <w:p>
            <w:pPr>
              <w:spacing w:after="0"/>
            </w:pPr>
            <w:r>
              <w:rPr>
                <w:color w:val="102130"/>
                <w:sz w:val="18"/>
              </w:rPr>
              <w:t>Integration, connection, import, raw record, staging record, sync run and quarantine item</w:t>
            </w:r>
          </w:p>
        </w:tc>
      </w:tr>
      <w:tr>
        <w:tc>
          <w:tcPr>
            <w:tcW w:type="dxa" w:w="1728"/>
            <w:vAlign w:val="center"/>
            <w:shd w:fill="F5F7F9"/>
            <w:tcMar>
              <w:top w:w="100" w:type="dxa"/>
              <w:start w:w="120" w:type="dxa"/>
              <w:bottom w:w="100" w:type="dxa"/>
              <w:end w:w="120" w:type="dxa"/>
            </w:tcMar>
          </w:tcPr>
          <w:p>
            <w:pPr>
              <w:spacing w:after="0"/>
            </w:pPr>
            <w:r>
              <w:rPr>
                <w:color w:val="102130"/>
                <w:sz w:val="18"/>
              </w:rPr>
              <w:t>Budget</w:t>
            </w:r>
          </w:p>
        </w:tc>
        <w:tc>
          <w:tcPr>
            <w:tcW w:type="dxa" w:w="7632"/>
            <w:vAlign w:val="center"/>
            <w:shd w:fill="F5F7F9"/>
            <w:tcMar>
              <w:top w:w="100" w:type="dxa"/>
              <w:start w:w="120" w:type="dxa"/>
              <w:bottom w:w="100" w:type="dxa"/>
              <w:end w:w="120" w:type="dxa"/>
            </w:tcMar>
          </w:tcPr>
          <w:p>
            <w:pPr>
              <w:spacing w:after="0"/>
            </w:pPr>
            <w:r>
              <w:rPr>
                <w:color w:val="102130"/>
                <w:sz w:val="18"/>
              </w:rPr>
              <w:t>Budget, budget version, budget line, transfer, contingency and change request</w:t>
            </w:r>
          </w:p>
        </w:tc>
      </w:tr>
      <w:tr>
        <w:tc>
          <w:tcPr>
            <w:tcW w:type="dxa" w:w="1728"/>
            <w:vAlign w:val="center"/>
            <w:tcMar>
              <w:top w:w="100" w:type="dxa"/>
              <w:start w:w="120" w:type="dxa"/>
              <w:bottom w:w="100" w:type="dxa"/>
              <w:end w:w="120" w:type="dxa"/>
            </w:tcMar>
          </w:tcPr>
          <w:p>
            <w:pPr>
              <w:spacing w:after="0"/>
            </w:pPr>
            <w:r>
              <w:rPr>
                <w:color w:val="102130"/>
                <w:sz w:val="18"/>
              </w:rPr>
              <w:t>Forecast</w:t>
            </w:r>
          </w:p>
        </w:tc>
        <w:tc>
          <w:tcPr>
            <w:tcW w:type="dxa" w:w="7632"/>
            <w:vAlign w:val="center"/>
            <w:tcMar>
              <w:top w:w="100" w:type="dxa"/>
              <w:start w:w="120" w:type="dxa"/>
              <w:bottom w:w="100" w:type="dxa"/>
              <w:end w:w="120" w:type="dxa"/>
            </w:tcMar>
          </w:tcPr>
          <w:p>
            <w:pPr>
              <w:spacing w:after="0"/>
            </w:pPr>
            <w:r>
              <w:rPr>
                <w:color w:val="102130"/>
                <w:sz w:val="18"/>
              </w:rPr>
              <w:t>Forecast, forecast version, assumption, recurring rule and forecast line</w:t>
            </w:r>
          </w:p>
        </w:tc>
      </w:tr>
      <w:tr>
        <w:tc>
          <w:tcPr>
            <w:tcW w:type="dxa" w:w="1728"/>
            <w:vAlign w:val="center"/>
            <w:shd w:fill="F5F7F9"/>
            <w:tcMar>
              <w:top w:w="100" w:type="dxa"/>
              <w:start w:w="120" w:type="dxa"/>
              <w:bottom w:w="100" w:type="dxa"/>
              <w:end w:w="120" w:type="dxa"/>
            </w:tcMar>
          </w:tcPr>
          <w:p>
            <w:pPr>
              <w:spacing w:after="0"/>
            </w:pPr>
            <w:r>
              <w:rPr>
                <w:color w:val="102130"/>
                <w:sz w:val="18"/>
              </w:rPr>
              <w:t>Reference</w:t>
            </w:r>
          </w:p>
        </w:tc>
        <w:tc>
          <w:tcPr>
            <w:tcW w:type="dxa" w:w="7632"/>
            <w:vAlign w:val="center"/>
            <w:shd w:fill="F5F7F9"/>
            <w:tcMar>
              <w:top w:w="100" w:type="dxa"/>
              <w:start w:w="120" w:type="dxa"/>
              <w:bottom w:w="100" w:type="dxa"/>
              <w:end w:w="120" w:type="dxa"/>
            </w:tcMar>
          </w:tcPr>
          <w:p>
            <w:pPr>
              <w:spacing w:after="0"/>
            </w:pPr>
            <w:r>
              <w:rPr>
                <w:color w:val="102130"/>
                <w:sz w:val="18"/>
              </w:rPr>
              <w:t>Supplier, vehicle, cost centre, department, contract/funding code and accounting period</w:t>
            </w:r>
          </w:p>
        </w:tc>
      </w:tr>
      <w:tr>
        <w:tc>
          <w:tcPr>
            <w:tcW w:type="dxa" w:w="1728"/>
            <w:vAlign w:val="center"/>
            <w:tcMar>
              <w:top w:w="100" w:type="dxa"/>
              <w:start w:w="120" w:type="dxa"/>
              <w:bottom w:w="100" w:type="dxa"/>
              <w:end w:w="120" w:type="dxa"/>
            </w:tcMar>
          </w:tcPr>
          <w:p>
            <w:pPr>
              <w:spacing w:after="0"/>
            </w:pPr>
            <w:r>
              <w:rPr>
                <w:color w:val="102130"/>
                <w:sz w:val="18"/>
              </w:rPr>
              <w:t>Control</w:t>
            </w:r>
          </w:p>
        </w:tc>
        <w:tc>
          <w:tcPr>
            <w:tcW w:type="dxa" w:w="7632"/>
            <w:vAlign w:val="center"/>
            <w:tcMar>
              <w:top w:w="100" w:type="dxa"/>
              <w:start w:w="120" w:type="dxa"/>
              <w:bottom w:w="100" w:type="dxa"/>
              <w:end w:w="120" w:type="dxa"/>
            </w:tcMar>
          </w:tcPr>
          <w:p>
            <w:pPr>
              <w:spacing w:after="0"/>
            </w:pPr>
            <w:r>
              <w:rPr>
                <w:color w:val="102130"/>
                <w:sz w:val="18"/>
              </w:rPr>
              <w:t>Review item, recommendation, approval, action, outcome and audit event</w:t>
            </w:r>
          </w:p>
        </w:tc>
      </w:tr>
      <w:tr>
        <w:tc>
          <w:tcPr>
            <w:tcW w:type="dxa" w:w="1728"/>
            <w:vAlign w:val="center"/>
            <w:shd w:fill="F5F7F9"/>
            <w:tcMar>
              <w:top w:w="100" w:type="dxa"/>
              <w:start w:w="120" w:type="dxa"/>
              <w:bottom w:w="100" w:type="dxa"/>
              <w:end w:w="120" w:type="dxa"/>
            </w:tcMar>
          </w:tcPr>
          <w:p>
            <w:pPr>
              <w:spacing w:after="0"/>
            </w:pPr>
            <w:r>
              <w:rPr>
                <w:color w:val="102130"/>
                <w:sz w:val="18"/>
              </w:rPr>
              <w:t>Reporting</w:t>
            </w:r>
          </w:p>
        </w:tc>
        <w:tc>
          <w:tcPr>
            <w:tcW w:type="dxa" w:w="7632"/>
            <w:vAlign w:val="center"/>
            <w:shd w:fill="F5F7F9"/>
            <w:tcMar>
              <w:top w:w="100" w:type="dxa"/>
              <w:start w:w="120" w:type="dxa"/>
              <w:bottom w:w="100" w:type="dxa"/>
              <w:end w:w="120" w:type="dxa"/>
            </w:tcMar>
          </w:tcPr>
          <w:p>
            <w:pPr>
              <w:spacing w:after="0"/>
            </w:pPr>
            <w:r>
              <w:rPr>
                <w:color w:val="102130"/>
                <w:sz w:val="18"/>
              </w:rPr>
              <w:t>Financial snapshot, report definition, export and schedule</w:t>
            </w:r>
          </w:p>
        </w:tc>
      </w:tr>
    </w:tbl>
    <w:p>
      <w:pPr>
        <w:spacing w:after="0"/>
      </w:pPr>
    </w:p>
    <w:p>
      <w:pPr>
        <w:pStyle w:val="Heading2"/>
      </w:pPr>
      <w:r>
        <w:t>Canonical cost record</w:t>
      </w:r>
    </w:p>
    <w:p>
      <w:pPr>
        <w:pStyle w:val="ListBullet"/>
      </w:pPr>
      <w:r>
        <w:t>Stable cost ID and version</w:t>
      </w:r>
    </w:p>
    <w:p>
      <w:pPr>
        <w:pStyle w:val="ListBullet"/>
      </w:pPr>
      <w:r>
        <w:t>Supplier or payee</w:t>
      </w:r>
    </w:p>
    <w:p>
      <w:pPr>
        <w:pStyle w:val="ListBullet"/>
      </w:pPr>
      <w:r>
        <w:t>Description and reference</w:t>
      </w:r>
    </w:p>
    <w:p>
      <w:pPr>
        <w:pStyle w:val="ListBullet"/>
      </w:pPr>
      <w:r>
        <w:t>Transaction and accounting dates</w:t>
      </w:r>
    </w:p>
    <w:p>
      <w:pPr>
        <w:pStyle w:val="ListBullet"/>
      </w:pPr>
      <w:r>
        <w:t>Net, VAT and gross amounts</w:t>
      </w:r>
    </w:p>
    <w:p>
      <w:pPr>
        <w:pStyle w:val="ListBullet"/>
      </w:pPr>
      <w:r>
        <w:t>Currency and exchange-rate source where applicable</w:t>
      </w:r>
    </w:p>
    <w:p>
      <w:pPr>
        <w:pStyle w:val="ListBullet"/>
      </w:pPr>
      <w:r>
        <w:t>Actual, committed, forecast or estimated status</w:t>
      </w:r>
    </w:p>
    <w:p>
      <w:pPr>
        <w:pStyle w:val="ListBullet"/>
      </w:pPr>
      <w:r>
        <w:t>Category and subcategory</w:t>
      </w:r>
    </w:p>
    <w:p>
      <w:pPr>
        <w:pStyle w:val="ListBullet"/>
      </w:pPr>
      <w:r>
        <w:t>Budget and allocation splits</w:t>
      </w:r>
    </w:p>
    <w:p>
      <w:pPr>
        <w:pStyle w:val="ListBullet"/>
      </w:pPr>
      <w:r>
        <w:t>Source record and source lineage</w:t>
      </w:r>
    </w:p>
    <w:p>
      <w:pPr>
        <w:pStyle w:val="ListBullet"/>
      </w:pPr>
      <w:r>
        <w:t>Supporting evidence</w:t>
      </w:r>
    </w:p>
    <w:p>
      <w:pPr>
        <w:pStyle w:val="ListBullet"/>
      </w:pPr>
      <w:r>
        <w:t>Validation and reconciliation state</w:t>
      </w:r>
    </w:p>
    <w:p>
      <w:pPr>
        <w:pStyle w:val="ListBullet"/>
      </w:pPr>
      <w:r>
        <w:t>Created, approved and corrected metadata</w:t>
      </w:r>
    </w:p>
    <w:p>
      <w:pPr>
        <w:pStyle w:val="Heading2"/>
      </w:pPr>
      <w:r>
        <w:t>Initial integrations</w:t>
      </w:r>
    </w:p>
    <w:tbl>
      <w:tblPr>
        <w:tblStyle w:val="TableGrid"/>
        <w:tblW w:type="dxa" w:w="9360"/>
        <w:jc w:val="left"/>
        <w:tblLayout w:type="fixed"/>
        <w:tblLook w:firstColumn="1" w:firstRow="1" w:lastColumn="0" w:lastRow="0" w:noHBand="0" w:noVBand="1" w:val="04A0"/>
        <w:tblInd w:w="120" w:type="dxa"/>
      </w:tblPr>
      <w:tblGrid>
        <w:gridCol w:w="1007"/>
        <w:gridCol w:w="2592"/>
        <w:gridCol w:w="5760"/>
      </w:tblGrid>
      <w:tr>
        <w:trPr>
          <w:tblHeader w:val="true"/>
        </w:trPr>
        <w:tc>
          <w:tcPr>
            <w:tcW w:type="dxa" w:w="1007"/>
            <w:shd w:fill="0B1F33"/>
            <w:vAlign w:val="center"/>
            <w:tcMar>
              <w:top w:w="100" w:type="dxa"/>
              <w:start w:w="120" w:type="dxa"/>
              <w:bottom w:w="100" w:type="dxa"/>
              <w:end w:w="120" w:type="dxa"/>
            </w:tcMar>
          </w:tcPr>
          <w:p>
            <w:pPr>
              <w:spacing w:after="0"/>
            </w:pPr>
            <w:r>
              <w:rPr>
                <w:b/>
                <w:color w:val="FFFFFF"/>
                <w:sz w:val="18"/>
              </w:rPr>
              <w:t>Priority</w:t>
            </w:r>
          </w:p>
        </w:tc>
        <w:tc>
          <w:tcPr>
            <w:tcW w:type="dxa" w:w="2592"/>
            <w:shd w:fill="0B1F33"/>
            <w:vAlign w:val="center"/>
            <w:tcMar>
              <w:top w:w="100" w:type="dxa"/>
              <w:start w:w="120" w:type="dxa"/>
              <w:bottom w:w="100" w:type="dxa"/>
              <w:end w:w="120" w:type="dxa"/>
            </w:tcMar>
          </w:tcPr>
          <w:p>
            <w:pPr>
              <w:spacing w:after="0"/>
            </w:pPr>
            <w:r>
              <w:rPr>
                <w:b/>
                <w:color w:val="FFFFFF"/>
                <w:sz w:val="18"/>
              </w:rPr>
              <w:t>Integration</w:t>
            </w:r>
          </w:p>
        </w:tc>
        <w:tc>
          <w:tcPr>
            <w:tcW w:type="dxa" w:w="5760"/>
            <w:shd w:fill="0B1F33"/>
            <w:vAlign w:val="center"/>
            <w:tcMar>
              <w:top w:w="100" w:type="dxa"/>
              <w:start w:w="120" w:type="dxa"/>
              <w:bottom w:w="100" w:type="dxa"/>
              <w:end w:w="120" w:type="dxa"/>
            </w:tcMar>
          </w:tcPr>
          <w:p>
            <w:pPr>
              <w:spacing w:after="0"/>
            </w:pPr>
            <w:r>
              <w:rPr>
                <w:b/>
                <w:color w:val="FFFFFF"/>
                <w:sz w:val="18"/>
              </w:rPr>
              <w:t>Purpose</w:t>
            </w:r>
          </w:p>
        </w:tc>
      </w:tr>
      <w:tr>
        <w:tc>
          <w:tcPr>
            <w:tcW w:type="dxa" w:w="1007"/>
            <w:vAlign w:val="center"/>
            <w:tcMar>
              <w:top w:w="100" w:type="dxa"/>
              <w:start w:w="120" w:type="dxa"/>
              <w:bottom w:w="100" w:type="dxa"/>
              <w:end w:w="120" w:type="dxa"/>
            </w:tcMar>
          </w:tcPr>
          <w:p>
            <w:pPr>
              <w:spacing w:after="0"/>
            </w:pPr>
            <w:r>
              <w:rPr>
                <w:color w:val="102130"/>
                <w:sz w:val="18"/>
              </w:rPr>
              <w:t>1</w:t>
            </w:r>
          </w:p>
        </w:tc>
        <w:tc>
          <w:tcPr>
            <w:tcW w:type="dxa" w:w="2592"/>
            <w:vAlign w:val="center"/>
            <w:tcMar>
              <w:top w:w="100" w:type="dxa"/>
              <w:start w:w="120" w:type="dxa"/>
              <w:bottom w:w="100" w:type="dxa"/>
              <w:end w:w="120" w:type="dxa"/>
            </w:tcMar>
          </w:tcPr>
          <w:p>
            <w:pPr>
              <w:spacing w:after="0"/>
            </w:pPr>
            <w:r>
              <w:rPr>
                <w:color w:val="102130"/>
                <w:sz w:val="18"/>
              </w:rPr>
              <w:t>CSV import</w:t>
            </w:r>
          </w:p>
        </w:tc>
        <w:tc>
          <w:tcPr>
            <w:tcW w:type="dxa" w:w="5760"/>
            <w:vAlign w:val="center"/>
            <w:tcMar>
              <w:top w:w="100" w:type="dxa"/>
              <w:start w:w="120" w:type="dxa"/>
              <w:bottom w:w="100" w:type="dxa"/>
              <w:end w:w="120" w:type="dxa"/>
            </w:tcMar>
          </w:tcPr>
          <w:p>
            <w:pPr>
              <w:spacing w:after="0"/>
            </w:pPr>
            <w:r>
              <w:rPr>
                <w:color w:val="102130"/>
                <w:sz w:val="18"/>
              </w:rPr>
              <w:t>Validate cost model using bank, fuel-card, supplier and payroll-summary files.</w:t>
            </w:r>
          </w:p>
        </w:tc>
      </w:tr>
      <w:tr>
        <w:tc>
          <w:tcPr>
            <w:tcW w:type="dxa" w:w="1007"/>
            <w:vAlign w:val="center"/>
            <w:shd w:fill="F5F7F9"/>
            <w:tcMar>
              <w:top w:w="100" w:type="dxa"/>
              <w:start w:w="120" w:type="dxa"/>
              <w:bottom w:w="100" w:type="dxa"/>
              <w:end w:w="120" w:type="dxa"/>
            </w:tcMar>
          </w:tcPr>
          <w:p>
            <w:pPr>
              <w:spacing w:after="0"/>
            </w:pPr>
            <w:r>
              <w:rPr>
                <w:color w:val="102130"/>
                <w:sz w:val="18"/>
              </w:rPr>
              <w:t>2</w:t>
            </w:r>
          </w:p>
        </w:tc>
        <w:tc>
          <w:tcPr>
            <w:tcW w:type="dxa" w:w="2592"/>
            <w:vAlign w:val="center"/>
            <w:shd w:fill="F5F7F9"/>
            <w:tcMar>
              <w:top w:w="100" w:type="dxa"/>
              <w:start w:w="120" w:type="dxa"/>
              <w:bottom w:w="100" w:type="dxa"/>
              <w:end w:w="120" w:type="dxa"/>
            </w:tcMar>
          </w:tcPr>
          <w:p>
            <w:pPr>
              <w:spacing w:after="0"/>
            </w:pPr>
            <w:r>
              <w:rPr>
                <w:color w:val="102130"/>
                <w:sz w:val="18"/>
              </w:rPr>
              <w:t>Xero</w:t>
            </w:r>
          </w:p>
        </w:tc>
        <w:tc>
          <w:tcPr>
            <w:tcW w:type="dxa" w:w="5760"/>
            <w:vAlign w:val="center"/>
            <w:shd w:fill="F5F7F9"/>
            <w:tcMar>
              <w:top w:w="100" w:type="dxa"/>
              <w:start w:w="120" w:type="dxa"/>
              <w:bottom w:w="100" w:type="dxa"/>
              <w:end w:w="120" w:type="dxa"/>
            </w:tcMar>
          </w:tcPr>
          <w:p>
            <w:pPr>
              <w:spacing w:after="0"/>
            </w:pPr>
            <w:r>
              <w:rPr>
                <w:color w:val="102130"/>
                <w:sz w:val="18"/>
              </w:rPr>
              <w:t>Import approved accounting costs, suppliers, tax values and source references.</w:t>
            </w:r>
          </w:p>
        </w:tc>
      </w:tr>
      <w:tr>
        <w:tc>
          <w:tcPr>
            <w:tcW w:type="dxa" w:w="1007"/>
            <w:vAlign w:val="center"/>
            <w:tcMar>
              <w:top w:w="100" w:type="dxa"/>
              <w:start w:w="120" w:type="dxa"/>
              <w:bottom w:w="100" w:type="dxa"/>
              <w:end w:w="120" w:type="dxa"/>
            </w:tcMar>
          </w:tcPr>
          <w:p>
            <w:pPr>
              <w:spacing w:after="0"/>
            </w:pPr>
            <w:r>
              <w:rPr>
                <w:color w:val="102130"/>
                <w:sz w:val="18"/>
              </w:rPr>
              <w:t>3</w:t>
            </w:r>
          </w:p>
        </w:tc>
        <w:tc>
          <w:tcPr>
            <w:tcW w:type="dxa" w:w="2592"/>
            <w:vAlign w:val="center"/>
            <w:tcMar>
              <w:top w:w="100" w:type="dxa"/>
              <w:start w:w="120" w:type="dxa"/>
              <w:bottom w:w="100" w:type="dxa"/>
              <w:end w:w="120" w:type="dxa"/>
            </w:tcMar>
          </w:tcPr>
          <w:p>
            <w:pPr>
              <w:spacing w:after="0"/>
            </w:pPr>
            <w:r>
              <w:rPr>
                <w:color w:val="102130"/>
                <w:sz w:val="18"/>
              </w:rPr>
              <w:t>Fuel-card provider</w:t>
            </w:r>
          </w:p>
        </w:tc>
        <w:tc>
          <w:tcPr>
            <w:tcW w:type="dxa" w:w="5760"/>
            <w:vAlign w:val="center"/>
            <w:tcMar>
              <w:top w:w="100" w:type="dxa"/>
              <w:start w:w="120" w:type="dxa"/>
              <w:bottom w:w="100" w:type="dxa"/>
              <w:end w:w="120" w:type="dxa"/>
            </w:tcMar>
          </w:tcPr>
          <w:p>
            <w:pPr>
              <w:spacing w:after="0"/>
            </w:pPr>
            <w:r>
              <w:rPr>
                <w:color w:val="102130"/>
                <w:sz w:val="18"/>
              </w:rPr>
              <w:t>Import detailed fuel transactions and card references.</w:t>
            </w:r>
          </w:p>
        </w:tc>
      </w:tr>
      <w:tr>
        <w:tc>
          <w:tcPr>
            <w:tcW w:type="dxa" w:w="1007"/>
            <w:vAlign w:val="center"/>
            <w:shd w:fill="F5F7F9"/>
            <w:tcMar>
              <w:top w:w="100" w:type="dxa"/>
              <w:start w:w="120" w:type="dxa"/>
              <w:bottom w:w="100" w:type="dxa"/>
              <w:end w:w="120" w:type="dxa"/>
            </w:tcMar>
          </w:tcPr>
          <w:p>
            <w:pPr>
              <w:spacing w:after="0"/>
            </w:pPr>
            <w:r>
              <w:rPr>
                <w:color w:val="102130"/>
                <w:sz w:val="18"/>
              </w:rPr>
              <w:t>4</w:t>
            </w:r>
          </w:p>
        </w:tc>
        <w:tc>
          <w:tcPr>
            <w:tcW w:type="dxa" w:w="2592"/>
            <w:vAlign w:val="center"/>
            <w:shd w:fill="F5F7F9"/>
            <w:tcMar>
              <w:top w:w="100" w:type="dxa"/>
              <w:start w:w="120" w:type="dxa"/>
              <w:bottom w:w="100" w:type="dxa"/>
              <w:end w:w="120" w:type="dxa"/>
            </w:tcMar>
          </w:tcPr>
          <w:p>
            <w:pPr>
              <w:spacing w:after="0"/>
            </w:pPr>
            <w:r>
              <w:rPr>
                <w:color w:val="102130"/>
                <w:sz w:val="18"/>
              </w:rPr>
              <w:t>Bank/Open Banking partner</w:t>
            </w:r>
          </w:p>
        </w:tc>
        <w:tc>
          <w:tcPr>
            <w:tcW w:type="dxa" w:w="5760"/>
            <w:vAlign w:val="center"/>
            <w:shd w:fill="F5F7F9"/>
            <w:tcMar>
              <w:top w:w="100" w:type="dxa"/>
              <w:start w:w="120" w:type="dxa"/>
              <w:bottom w:w="100" w:type="dxa"/>
              <w:end w:w="120" w:type="dxa"/>
            </w:tcMar>
          </w:tcPr>
          <w:p>
            <w:pPr>
              <w:spacing w:after="0"/>
            </w:pPr>
            <w:r>
              <w:rPr>
                <w:color w:val="102130"/>
                <w:sz w:val="18"/>
              </w:rPr>
              <w:t>Support payment reconciliation through an authorised provider.</w:t>
            </w:r>
          </w:p>
        </w:tc>
      </w:tr>
      <w:tr>
        <w:tc>
          <w:tcPr>
            <w:tcW w:type="dxa" w:w="1007"/>
            <w:vAlign w:val="center"/>
            <w:tcMar>
              <w:top w:w="100" w:type="dxa"/>
              <w:start w:w="120" w:type="dxa"/>
              <w:bottom w:w="100" w:type="dxa"/>
              <w:end w:w="120" w:type="dxa"/>
            </w:tcMar>
          </w:tcPr>
          <w:p>
            <w:pPr>
              <w:spacing w:after="0"/>
            </w:pPr>
            <w:r>
              <w:rPr>
                <w:color w:val="102130"/>
                <w:sz w:val="18"/>
              </w:rPr>
              <w:t>5</w:t>
            </w:r>
          </w:p>
        </w:tc>
        <w:tc>
          <w:tcPr>
            <w:tcW w:type="dxa" w:w="2592"/>
            <w:vAlign w:val="center"/>
            <w:tcMar>
              <w:top w:w="100" w:type="dxa"/>
              <w:start w:w="120" w:type="dxa"/>
              <w:bottom w:w="100" w:type="dxa"/>
              <w:end w:w="120" w:type="dxa"/>
            </w:tcMar>
          </w:tcPr>
          <w:p>
            <w:pPr>
              <w:spacing w:after="0"/>
            </w:pPr>
            <w:r>
              <w:rPr>
                <w:color w:val="102130"/>
                <w:sz w:val="18"/>
              </w:rPr>
              <w:t>Payroll provider summary</w:t>
            </w:r>
          </w:p>
        </w:tc>
        <w:tc>
          <w:tcPr>
            <w:tcW w:type="dxa" w:w="5760"/>
            <w:vAlign w:val="center"/>
            <w:tcMar>
              <w:top w:w="100" w:type="dxa"/>
              <w:start w:w="120" w:type="dxa"/>
              <w:bottom w:w="100" w:type="dxa"/>
              <w:end w:w="120" w:type="dxa"/>
            </w:tcMar>
          </w:tcPr>
          <w:p>
            <w:pPr>
              <w:spacing w:after="0"/>
            </w:pPr>
            <w:r>
              <w:rPr>
                <w:color w:val="102130"/>
                <w:sz w:val="18"/>
              </w:rPr>
              <w:t>Import approved aggregate or permitted wage-cost results.</w:t>
            </w:r>
          </w:p>
        </w:tc>
      </w:tr>
    </w:tbl>
    <w:p>
      <w:pPr>
        <w:spacing w:after="0"/>
      </w:pPr>
    </w:p>
    <w:p>
      <w:r>
        <w:t>The MVP should begin with CSV and Xero rather than direct payment initiation. Veyvio does not need authority to move money to provide cost-control value.</w:t>
      </w:r>
    </w:p>
    <w:p>
      <w:pPr>
        <w:pStyle w:val="Heading1"/>
      </w:pPr>
      <w:r>
        <w:t>12. Technical architecture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ARCHITECTURE RECOMMENDATION</w:t>
            </w:r>
          </w:p>
          <w:p>
            <w:pPr>
              <w:spacing w:after="0"/>
            </w:pPr>
            <w:r>
              <w:rPr>
                <w:b/>
                <w:color w:val="0B1F33"/>
                <w:sz w:val="23"/>
              </w:rPr>
              <w:t>Begin with a modular monolith, explicit domain boundaries and PostgreSQL. Split services only when scale, isolation or regulatory requirements justify the operational cost.</w:t>
            </w:r>
          </w:p>
        </w:tc>
      </w:tr>
    </w:tbl>
    <w:p>
      <w:pPr>
        <w:spacing w:after="0"/>
      </w:pPr>
    </w:p>
    <w:p>
      <w:pPr>
        <w:pStyle w:val="Heading2"/>
      </w:pPr>
      <w:r>
        <w:t>Logical modules</w:t>
      </w:r>
    </w:p>
    <w:p>
      <w:pPr>
        <w:pStyle w:val="ListBullet"/>
      </w:pPr>
      <w:r>
        <w:t>Identity and organisations</w:t>
      </w:r>
    </w:p>
    <w:p>
      <w:pPr>
        <w:pStyle w:val="ListBullet"/>
      </w:pPr>
      <w:r>
        <w:t>Cost ledger</w:t>
      </w:r>
    </w:p>
    <w:p>
      <w:pPr>
        <w:pStyle w:val="ListBullet"/>
      </w:pPr>
      <w:r>
        <w:t>Imports and reconciliation</w:t>
      </w:r>
    </w:p>
    <w:p>
      <w:pPr>
        <w:pStyle w:val="ListBullet"/>
      </w:pPr>
      <w:r>
        <w:t>Categories and allocations</w:t>
      </w:r>
    </w:p>
    <w:p>
      <w:pPr>
        <w:pStyle w:val="ListBullet"/>
      </w:pPr>
      <w:r>
        <w:t>Budgets</w:t>
      </w:r>
    </w:p>
    <w:p>
      <w:pPr>
        <w:pStyle w:val="ListBullet"/>
      </w:pPr>
      <w:r>
        <w:t>Forecasting</w:t>
      </w:r>
    </w:p>
    <w:p>
      <w:pPr>
        <w:pStyle w:val="ListBullet"/>
      </w:pPr>
      <w:r>
        <w:t>Cost reviews and approvals</w:t>
      </w:r>
    </w:p>
    <w:p>
      <w:pPr>
        <w:pStyle w:val="ListBullet"/>
      </w:pPr>
      <w:r>
        <w:t>Reporting and exports</w:t>
      </w:r>
    </w:p>
    <w:p>
      <w:pPr>
        <w:pStyle w:val="ListBullet"/>
      </w:pPr>
      <w:r>
        <w:t>AI explanation orchestrator</w:t>
      </w:r>
    </w:p>
    <w:p>
      <w:pPr>
        <w:pStyle w:val="ListBullet"/>
      </w:pPr>
      <w:r>
        <w:t>Notifications</w:t>
      </w:r>
    </w:p>
    <w:p>
      <w:pPr>
        <w:pStyle w:val="ListBullet"/>
      </w:pPr>
      <w:r>
        <w:t>Audit and compliance</w:t>
      </w:r>
    </w:p>
    <w:p>
      <w:pPr>
        <w:pStyle w:val="Heading2"/>
      </w:pPr>
      <w:r>
        <w:t>Recommended technology direction</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0B1F33"/>
            <w:vAlign w:val="center"/>
            <w:tcMar>
              <w:top w:w="100" w:type="dxa"/>
              <w:start w:w="120" w:type="dxa"/>
              <w:bottom w:w="100" w:type="dxa"/>
              <w:end w:w="120" w:type="dxa"/>
            </w:tcMar>
          </w:tcPr>
          <w:p>
            <w:pPr>
              <w:spacing w:after="0"/>
            </w:pPr>
            <w:r>
              <w:rPr>
                <w:b/>
                <w:color w:val="FFFFFF"/>
                <w:sz w:val="18"/>
              </w:rPr>
              <w:t>Layer</w:t>
            </w:r>
          </w:p>
        </w:tc>
        <w:tc>
          <w:tcPr>
            <w:tcW w:type="dxa" w:w="7056"/>
            <w:shd w:fill="0B1F33"/>
            <w:vAlign w:val="center"/>
            <w:tcMar>
              <w:top w:w="100" w:type="dxa"/>
              <w:start w:w="120" w:type="dxa"/>
              <w:bottom w:w="100" w:type="dxa"/>
              <w:end w:w="120" w:type="dxa"/>
            </w:tcMar>
          </w:tcPr>
          <w:p>
            <w:pPr>
              <w:spacing w:after="0"/>
            </w:pPr>
            <w:r>
              <w:rPr>
                <w:b/>
                <w:color w:val="FFFFFF"/>
                <w:sz w:val="18"/>
              </w:rPr>
              <w:t>Recommended starting point</w:t>
            </w:r>
          </w:p>
        </w:tc>
      </w:tr>
      <w:tr>
        <w:tc>
          <w:tcPr>
            <w:tcW w:type="dxa" w:w="2304"/>
            <w:vAlign w:val="center"/>
            <w:tcMar>
              <w:top w:w="100" w:type="dxa"/>
              <w:start w:w="120" w:type="dxa"/>
              <w:bottom w:w="100" w:type="dxa"/>
              <w:end w:w="120" w:type="dxa"/>
            </w:tcMar>
          </w:tcPr>
          <w:p>
            <w:pPr>
              <w:spacing w:after="0"/>
            </w:pPr>
            <w:r>
              <w:rPr>
                <w:color w:val="102130"/>
                <w:sz w:val="18"/>
              </w:rPr>
              <w:t>Web application</w:t>
            </w:r>
          </w:p>
        </w:tc>
        <w:tc>
          <w:tcPr>
            <w:tcW w:type="dxa" w:w="7056"/>
            <w:vAlign w:val="center"/>
            <w:tcMar>
              <w:top w:w="100" w:type="dxa"/>
              <w:start w:w="120" w:type="dxa"/>
              <w:bottom w:w="100" w:type="dxa"/>
              <w:end w:w="120" w:type="dxa"/>
            </w:tcMar>
          </w:tcPr>
          <w:p>
            <w:pPr>
              <w:spacing w:after="0"/>
            </w:pPr>
            <w:r>
              <w:rPr>
                <w:color w:val="102130"/>
                <w:sz w:val="18"/>
              </w:rPr>
              <w:t>React with Next.js and TypeScript</w:t>
            </w:r>
          </w:p>
        </w:tc>
      </w:tr>
      <w:tr>
        <w:tc>
          <w:tcPr>
            <w:tcW w:type="dxa" w:w="2304"/>
            <w:vAlign w:val="center"/>
            <w:shd w:fill="F5F7F9"/>
            <w:tcMar>
              <w:top w:w="100" w:type="dxa"/>
              <w:start w:w="120" w:type="dxa"/>
              <w:bottom w:w="100" w:type="dxa"/>
              <w:end w:w="120" w:type="dxa"/>
            </w:tcMar>
          </w:tcPr>
          <w:p>
            <w:pPr>
              <w:spacing w:after="0"/>
            </w:pPr>
            <w:r>
              <w:rPr>
                <w:color w:val="102130"/>
                <w:sz w:val="18"/>
              </w:rPr>
              <w:t>Application API</w:t>
            </w:r>
          </w:p>
        </w:tc>
        <w:tc>
          <w:tcPr>
            <w:tcW w:type="dxa" w:w="7056"/>
            <w:vAlign w:val="center"/>
            <w:shd w:fill="F5F7F9"/>
            <w:tcMar>
              <w:top w:w="100" w:type="dxa"/>
              <w:start w:w="120" w:type="dxa"/>
              <w:bottom w:w="100" w:type="dxa"/>
              <w:end w:w="120" w:type="dxa"/>
            </w:tcMar>
          </w:tcPr>
          <w:p>
            <w:pPr>
              <w:spacing w:after="0"/>
            </w:pPr>
            <w:r>
              <w:rPr>
                <w:color w:val="102130"/>
                <w:sz w:val="18"/>
              </w:rPr>
              <w:t>TypeScript service layer with modular domain boundaries</w:t>
            </w:r>
          </w:p>
        </w:tc>
      </w:tr>
      <w:tr>
        <w:tc>
          <w:tcPr>
            <w:tcW w:type="dxa" w:w="2304"/>
            <w:vAlign w:val="center"/>
            <w:tcMar>
              <w:top w:w="100" w:type="dxa"/>
              <w:start w:w="120" w:type="dxa"/>
              <w:bottom w:w="100" w:type="dxa"/>
              <w:end w:w="120" w:type="dxa"/>
            </w:tcMar>
          </w:tcPr>
          <w:p>
            <w:pPr>
              <w:spacing w:after="0"/>
            </w:pPr>
            <w:r>
              <w:rPr>
                <w:color w:val="102130"/>
                <w:sz w:val="18"/>
              </w:rPr>
              <w:t>Database</w:t>
            </w:r>
          </w:p>
        </w:tc>
        <w:tc>
          <w:tcPr>
            <w:tcW w:type="dxa" w:w="7056"/>
            <w:vAlign w:val="center"/>
            <w:tcMar>
              <w:top w:w="100" w:type="dxa"/>
              <w:start w:w="120" w:type="dxa"/>
              <w:bottom w:w="100" w:type="dxa"/>
              <w:end w:w="120" w:type="dxa"/>
            </w:tcMar>
          </w:tcPr>
          <w:p>
            <w:pPr>
              <w:spacing w:after="0"/>
            </w:pPr>
            <w:r>
              <w:rPr>
                <w:color w:val="102130"/>
                <w:sz w:val="18"/>
              </w:rPr>
              <w:t>PostgreSQL with strong constraints and transactional updates</w:t>
            </w:r>
          </w:p>
        </w:tc>
      </w:tr>
      <w:tr>
        <w:tc>
          <w:tcPr>
            <w:tcW w:type="dxa" w:w="2304"/>
            <w:vAlign w:val="center"/>
            <w:shd w:fill="F5F7F9"/>
            <w:tcMar>
              <w:top w:w="100" w:type="dxa"/>
              <w:start w:w="120" w:type="dxa"/>
              <w:bottom w:w="100" w:type="dxa"/>
              <w:end w:w="120" w:type="dxa"/>
            </w:tcMar>
          </w:tcPr>
          <w:p>
            <w:pPr>
              <w:spacing w:after="0"/>
            </w:pPr>
            <w:r>
              <w:rPr>
                <w:color w:val="102130"/>
                <w:sz w:val="18"/>
              </w:rPr>
              <w:t>Background work</w:t>
            </w:r>
          </w:p>
        </w:tc>
        <w:tc>
          <w:tcPr>
            <w:tcW w:type="dxa" w:w="7056"/>
            <w:vAlign w:val="center"/>
            <w:shd w:fill="F5F7F9"/>
            <w:tcMar>
              <w:top w:w="100" w:type="dxa"/>
              <w:start w:w="120" w:type="dxa"/>
              <w:bottom w:w="100" w:type="dxa"/>
              <w:end w:w="120" w:type="dxa"/>
            </w:tcMar>
          </w:tcPr>
          <w:p>
            <w:pPr>
              <w:spacing w:after="0"/>
            </w:pPr>
            <w:r>
              <w:rPr>
                <w:color w:val="102130"/>
                <w:sz w:val="18"/>
              </w:rPr>
              <w:t>Durable job queue for imports, forecasts, reports and notifications</w:t>
            </w:r>
          </w:p>
        </w:tc>
      </w:tr>
      <w:tr>
        <w:tc>
          <w:tcPr>
            <w:tcW w:type="dxa" w:w="2304"/>
            <w:vAlign w:val="center"/>
            <w:tcMar>
              <w:top w:w="100" w:type="dxa"/>
              <w:start w:w="120" w:type="dxa"/>
              <w:bottom w:w="100" w:type="dxa"/>
              <w:end w:w="120" w:type="dxa"/>
            </w:tcMar>
          </w:tcPr>
          <w:p>
            <w:pPr>
              <w:spacing w:after="0"/>
            </w:pPr>
            <w:r>
              <w:rPr>
                <w:color w:val="102130"/>
                <w:sz w:val="18"/>
              </w:rPr>
              <w:t>File storage</w:t>
            </w:r>
          </w:p>
        </w:tc>
        <w:tc>
          <w:tcPr>
            <w:tcW w:type="dxa" w:w="7056"/>
            <w:vAlign w:val="center"/>
            <w:tcMar>
              <w:top w:w="100" w:type="dxa"/>
              <w:start w:w="120" w:type="dxa"/>
              <w:bottom w:w="100" w:type="dxa"/>
              <w:end w:w="120" w:type="dxa"/>
            </w:tcMar>
          </w:tcPr>
          <w:p>
            <w:pPr>
              <w:spacing w:after="0"/>
            </w:pPr>
            <w:r>
              <w:rPr>
                <w:color w:val="102130"/>
                <w:sz w:val="18"/>
              </w:rPr>
              <w:t>Encrypted object storage for source files and evidence</w:t>
            </w:r>
          </w:p>
        </w:tc>
      </w:tr>
      <w:tr>
        <w:tc>
          <w:tcPr>
            <w:tcW w:type="dxa" w:w="2304"/>
            <w:vAlign w:val="center"/>
            <w:shd w:fill="F5F7F9"/>
            <w:tcMar>
              <w:top w:w="100" w:type="dxa"/>
              <w:start w:w="120" w:type="dxa"/>
              <w:bottom w:w="100" w:type="dxa"/>
              <w:end w:w="120" w:type="dxa"/>
            </w:tcMar>
          </w:tcPr>
          <w:p>
            <w:pPr>
              <w:spacing w:after="0"/>
            </w:pPr>
            <w:r>
              <w:rPr>
                <w:color w:val="102130"/>
                <w:sz w:val="18"/>
              </w:rPr>
              <w:t>Observability</w:t>
            </w:r>
          </w:p>
        </w:tc>
        <w:tc>
          <w:tcPr>
            <w:tcW w:type="dxa" w:w="7056"/>
            <w:vAlign w:val="center"/>
            <w:shd w:fill="F5F7F9"/>
            <w:tcMar>
              <w:top w:w="100" w:type="dxa"/>
              <w:start w:w="120" w:type="dxa"/>
              <w:bottom w:w="100" w:type="dxa"/>
              <w:end w:w="120" w:type="dxa"/>
            </w:tcMar>
          </w:tcPr>
          <w:p>
            <w:pPr>
              <w:spacing w:after="0"/>
            </w:pPr>
            <w:r>
              <w:rPr>
                <w:color w:val="102130"/>
                <w:sz w:val="18"/>
              </w:rPr>
              <w:t>Structured logs, metrics, tracing and calculation identifiers</w:t>
            </w:r>
          </w:p>
        </w:tc>
      </w:tr>
      <w:tr>
        <w:tc>
          <w:tcPr>
            <w:tcW w:type="dxa" w:w="2304"/>
            <w:vAlign w:val="center"/>
            <w:tcMar>
              <w:top w:w="100" w:type="dxa"/>
              <w:start w:w="120" w:type="dxa"/>
              <w:bottom w:w="100" w:type="dxa"/>
              <w:end w:w="120" w:type="dxa"/>
            </w:tcMar>
          </w:tcPr>
          <w:p>
            <w:pPr>
              <w:spacing w:after="0"/>
            </w:pPr>
            <w:r>
              <w:rPr>
                <w:color w:val="102130"/>
                <w:sz w:val="18"/>
              </w:rPr>
              <w:t>Deployment</w:t>
            </w:r>
          </w:p>
        </w:tc>
        <w:tc>
          <w:tcPr>
            <w:tcW w:type="dxa" w:w="7056"/>
            <w:vAlign w:val="center"/>
            <w:tcMar>
              <w:top w:w="100" w:type="dxa"/>
              <w:start w:w="120" w:type="dxa"/>
              <w:bottom w:w="100" w:type="dxa"/>
              <w:end w:w="120" w:type="dxa"/>
            </w:tcMar>
          </w:tcPr>
          <w:p>
            <w:pPr>
              <w:spacing w:after="0"/>
            </w:pPr>
            <w:r>
              <w:rPr>
                <w:color w:val="102130"/>
                <w:sz w:val="18"/>
              </w:rPr>
              <w:t>Managed cloud, infrastructure as code, separate development/staging/production</w:t>
            </w:r>
          </w:p>
        </w:tc>
      </w:tr>
      <w:tr>
        <w:tc>
          <w:tcPr>
            <w:tcW w:type="dxa" w:w="2304"/>
            <w:vAlign w:val="center"/>
            <w:shd w:fill="F5F7F9"/>
            <w:tcMar>
              <w:top w:w="100" w:type="dxa"/>
              <w:start w:w="120" w:type="dxa"/>
              <w:bottom w:w="100" w:type="dxa"/>
              <w:end w:w="120" w:type="dxa"/>
            </w:tcMar>
          </w:tcPr>
          <w:p>
            <w:pPr>
              <w:spacing w:after="0"/>
            </w:pPr>
            <w:r>
              <w:rPr>
                <w:color w:val="102130"/>
                <w:sz w:val="18"/>
              </w:rPr>
              <w:t>AI</w:t>
            </w:r>
          </w:p>
        </w:tc>
        <w:tc>
          <w:tcPr>
            <w:tcW w:type="dxa" w:w="7056"/>
            <w:vAlign w:val="center"/>
            <w:shd w:fill="F5F7F9"/>
            <w:tcMar>
              <w:top w:w="100" w:type="dxa"/>
              <w:start w:w="120" w:type="dxa"/>
              <w:bottom w:w="100" w:type="dxa"/>
              <w:end w:w="120" w:type="dxa"/>
            </w:tcMar>
          </w:tcPr>
          <w:p>
            <w:pPr>
              <w:spacing w:after="0"/>
            </w:pPr>
            <w:r>
              <w:rPr>
                <w:color w:val="102130"/>
                <w:sz w:val="18"/>
              </w:rPr>
              <w:t>Provider abstraction using structured tools and deterministic financial services</w:t>
            </w:r>
          </w:p>
        </w:tc>
      </w:tr>
    </w:tbl>
    <w:p>
      <w:pPr>
        <w:spacing w:after="0"/>
      </w:pPr>
    </w:p>
    <w:p>
      <w:pPr>
        <w:pStyle w:val="Heading2"/>
      </w:pPr>
      <w:r>
        <w:t>System flow</w:t>
      </w:r>
    </w:p>
    <w:p>
      <w:pPr>
        <w:spacing w:after="80" w:line="264" w:lineRule="auto"/>
        <w:ind w:left="720" w:hanging="360"/>
        <w:numPr>
          <w:ilvl w:val="0"/>
          <w:numId w:val="16"/>
        </w:numPr>
      </w:pPr>
      <w:r>
        <w:t>External cost sources enter the raw immutable data zone.</w:t>
      </w:r>
    </w:p>
    <w:p>
      <w:pPr>
        <w:spacing w:after="80" w:line="264" w:lineRule="auto"/>
        <w:ind w:left="720" w:hanging="360"/>
        <w:numPr>
          <w:ilvl w:val="0"/>
          <w:numId w:val="16"/>
        </w:numPr>
      </w:pPr>
      <w:r>
        <w:t>Validation and reconciliation services produce canonical cost records.</w:t>
      </w:r>
    </w:p>
    <w:p>
      <w:pPr>
        <w:spacing w:after="80" w:line="264" w:lineRule="auto"/>
        <w:ind w:left="720" w:hanging="360"/>
        <w:numPr>
          <w:ilvl w:val="0"/>
          <w:numId w:val="16"/>
        </w:numPr>
      </w:pPr>
      <w:r>
        <w:t>A versioned financial snapshot freezes the trusted calculation input.</w:t>
      </w:r>
    </w:p>
    <w:p>
      <w:pPr>
        <w:spacing w:after="80" w:line="264" w:lineRule="auto"/>
        <w:ind w:left="720" w:hanging="360"/>
        <w:numPr>
          <w:ilvl w:val="0"/>
          <w:numId w:val="16"/>
        </w:numPr>
      </w:pPr>
      <w:r>
        <w:t>Budget and forecasting engines calculate deterministic outputs.</w:t>
      </w:r>
    </w:p>
    <w:p>
      <w:pPr>
        <w:spacing w:after="80" w:line="264" w:lineRule="auto"/>
        <w:ind w:left="720" w:hanging="360"/>
        <w:numPr>
          <w:ilvl w:val="0"/>
          <w:numId w:val="16"/>
        </w:numPr>
      </w:pPr>
      <w:r>
        <w:t>Home, cost pages, reports and AI explanations read the same stored outputs.</w:t>
      </w:r>
    </w:p>
    <w:p>
      <w:pPr>
        <w:spacing w:after="80" w:line="264" w:lineRule="auto"/>
        <w:ind w:left="720" w:hanging="360"/>
        <w:numPr>
          <w:ilvl w:val="0"/>
          <w:numId w:val="16"/>
        </w:numPr>
      </w:pPr>
      <w:r>
        <w:t>Approved corrections create new records and restart the controlled calculation flow.</w:t>
      </w:r>
    </w:p>
    <w:p>
      <w:pPr>
        <w:keepNext/>
        <w:spacing w:before="160" w:after="80"/>
        <w:jc w:val="center"/>
      </w:pPr>
      <w:r>
        <w:drawing>
          <wp:inline xmlns:a="http://schemas.openxmlformats.org/drawingml/2006/main" xmlns:pic="http://schemas.openxmlformats.org/drawingml/2006/picture">
            <wp:extent cx="5897880" cy="3440430"/>
            <wp:docPr id="4" name="Picture 4" descr="Web application connects to identity, cost ledger, budgets, forecasting and review modules. PostgreSQL stores canonical records, object storage holds source evidence and a durable queue runs imports, forecasts and reports."/>
            <wp:cNvGraphicFramePr>
              <a:graphicFrameLocks noChangeAspect="1"/>
            </wp:cNvGraphicFramePr>
            <a:graphic>
              <a:graphicData uri="http://schemas.openxmlformats.org/drawingml/2006/picture">
                <pic:pic>
                  <pic:nvPicPr>
                    <pic:cNvPr id="0" name="backend-architecture.png"/>
                    <pic:cNvPicPr/>
                  </pic:nvPicPr>
                  <pic:blipFill>
                    <a:blip r:embed="rId14"/>
                    <a:stretch>
                      <a:fillRect/>
                    </a:stretch>
                  </pic:blipFill>
                  <pic:spPr>
                    <a:xfrm>
                      <a:off x="0" y="0"/>
                      <a:ext cx="5897880" cy="3440430"/>
                    </a:xfrm>
                    <a:prstGeom prst="rect"/>
                  </pic:spPr>
                </pic:pic>
              </a:graphicData>
            </a:graphic>
          </wp:inline>
        </w:drawing>
      </w:r>
    </w:p>
    <w:p>
      <w:pPr>
        <w:spacing w:before="0" w:after="200"/>
        <w:jc w:val="center"/>
      </w:pPr>
      <w:r>
        <w:rPr>
          <w:i/>
          <w:color w:val="5E6B75"/>
          <w:sz w:val="18"/>
        </w:rPr>
        <w:t>Figure 4. Modular-monolith backend with explicit domains and shared trusted infrastructure.</w:t>
      </w:r>
    </w:p>
    <w:p>
      <w:pPr>
        <w:pStyle w:val="Heading2"/>
      </w:pPr>
      <w:r>
        <w:t>12.1 Backend domain boundaries</w:t>
      </w:r>
    </w:p>
    <w:tbl>
      <w:tblPr>
        <w:tblStyle w:val="TableGrid"/>
        <w:tblW w:type="dxa" w:w="9360"/>
        <w:jc w:val="left"/>
        <w:tblLayout w:type="fixed"/>
        <w:tblLook w:firstColumn="1" w:firstRow="1" w:lastColumn="0" w:lastRow="0" w:noHBand="0" w:noVBand="1" w:val="04A0"/>
        <w:tblInd w:w="120" w:type="dxa"/>
      </w:tblPr>
      <w:tblGrid>
        <w:gridCol w:w="1944"/>
        <w:gridCol w:w="4392"/>
        <w:gridCol w:w="3024"/>
      </w:tblGrid>
      <w:tr>
        <w:trPr>
          <w:tblHeader w:val="true"/>
        </w:trPr>
        <w:tc>
          <w:tcPr>
            <w:tcW w:type="dxa" w:w="1944"/>
            <w:shd w:fill="0B1F33"/>
            <w:vAlign w:val="center"/>
            <w:tcMar>
              <w:top w:w="100" w:type="dxa"/>
              <w:start w:w="120" w:type="dxa"/>
              <w:bottom w:w="100" w:type="dxa"/>
              <w:end w:w="120" w:type="dxa"/>
            </w:tcMar>
          </w:tcPr>
          <w:p>
            <w:pPr>
              <w:spacing w:after="0"/>
            </w:pPr>
            <w:r>
              <w:rPr>
                <w:b/>
                <w:color w:val="FFFFFF"/>
                <w:sz w:val="16"/>
              </w:rPr>
              <w:t>Backend module</w:t>
            </w:r>
          </w:p>
        </w:tc>
        <w:tc>
          <w:tcPr>
            <w:tcW w:type="dxa" w:w="4392"/>
            <w:shd w:fill="0B1F33"/>
            <w:vAlign w:val="center"/>
            <w:tcMar>
              <w:top w:w="100" w:type="dxa"/>
              <w:start w:w="120" w:type="dxa"/>
              <w:bottom w:w="100" w:type="dxa"/>
              <w:end w:w="120" w:type="dxa"/>
            </w:tcMar>
          </w:tcPr>
          <w:p>
            <w:pPr>
              <w:spacing w:after="0"/>
            </w:pPr>
            <w:r>
              <w:rPr>
                <w:b/>
                <w:color w:val="FFFFFF"/>
                <w:sz w:val="16"/>
              </w:rPr>
              <w:t>Owns</w:t>
            </w:r>
          </w:p>
        </w:tc>
        <w:tc>
          <w:tcPr>
            <w:tcW w:type="dxa" w:w="3024"/>
            <w:shd w:fill="0B1F33"/>
            <w:vAlign w:val="center"/>
            <w:tcMar>
              <w:top w:w="100" w:type="dxa"/>
              <w:start w:w="120" w:type="dxa"/>
              <w:bottom w:w="100" w:type="dxa"/>
              <w:end w:w="120" w:type="dxa"/>
            </w:tcMar>
          </w:tcPr>
          <w:p>
            <w:pPr>
              <w:spacing w:after="0"/>
            </w:pPr>
            <w:r>
              <w:rPr>
                <w:b/>
                <w:color w:val="FFFFFF"/>
                <w:sz w:val="16"/>
              </w:rPr>
              <w:t>Must not own</w:t>
            </w:r>
          </w:p>
        </w:tc>
      </w:tr>
      <w:tr>
        <w:tc>
          <w:tcPr>
            <w:tcW w:type="dxa" w:w="1944"/>
            <w:vAlign w:val="center"/>
            <w:tcMar>
              <w:top w:w="100" w:type="dxa"/>
              <w:start w:w="120" w:type="dxa"/>
              <w:bottom w:w="100" w:type="dxa"/>
              <w:end w:w="120" w:type="dxa"/>
            </w:tcMar>
          </w:tcPr>
          <w:p>
            <w:pPr>
              <w:spacing w:after="0"/>
            </w:pPr>
            <w:r>
              <w:rPr>
                <w:color w:val="102130"/>
                <w:sz w:val="16"/>
              </w:rPr>
              <w:t>Identity</w:t>
            </w:r>
          </w:p>
        </w:tc>
        <w:tc>
          <w:tcPr>
            <w:tcW w:type="dxa" w:w="4392"/>
            <w:vAlign w:val="center"/>
            <w:tcMar>
              <w:top w:w="100" w:type="dxa"/>
              <w:start w:w="120" w:type="dxa"/>
              <w:bottom w:w="100" w:type="dxa"/>
              <w:end w:w="120" w:type="dxa"/>
            </w:tcMar>
          </w:tcPr>
          <w:p>
            <w:pPr>
              <w:spacing w:after="0"/>
            </w:pPr>
            <w:r>
              <w:rPr>
                <w:color w:val="102130"/>
                <w:sz w:val="16"/>
              </w:rPr>
              <w:t>Users, organisations, memberships, roles, sessions and approval authority</w:t>
            </w:r>
          </w:p>
        </w:tc>
        <w:tc>
          <w:tcPr>
            <w:tcW w:type="dxa" w:w="3024"/>
            <w:vAlign w:val="center"/>
            <w:tcMar>
              <w:top w:w="100" w:type="dxa"/>
              <w:start w:w="120" w:type="dxa"/>
              <w:bottom w:w="100" w:type="dxa"/>
              <w:end w:w="120" w:type="dxa"/>
            </w:tcMar>
          </w:tcPr>
          <w:p>
            <w:pPr>
              <w:spacing w:after="0"/>
            </w:pPr>
            <w:r>
              <w:rPr>
                <w:color w:val="102130"/>
                <w:sz w:val="16"/>
              </w:rPr>
              <w:t>Cost amounts or budget calculations</w:t>
            </w:r>
          </w:p>
        </w:tc>
      </w:tr>
      <w:tr>
        <w:tc>
          <w:tcPr>
            <w:tcW w:type="dxa" w:w="1944"/>
            <w:vAlign w:val="center"/>
            <w:shd w:fill="F5F7F9"/>
            <w:tcMar>
              <w:top w:w="100" w:type="dxa"/>
              <w:start w:w="120" w:type="dxa"/>
              <w:bottom w:w="100" w:type="dxa"/>
              <w:end w:w="120" w:type="dxa"/>
            </w:tcMar>
          </w:tcPr>
          <w:p>
            <w:pPr>
              <w:spacing w:after="0"/>
            </w:pPr>
            <w:r>
              <w:rPr>
                <w:color w:val="102130"/>
                <w:sz w:val="16"/>
              </w:rPr>
              <w:t>Cost ledger</w:t>
            </w:r>
          </w:p>
        </w:tc>
        <w:tc>
          <w:tcPr>
            <w:tcW w:type="dxa" w:w="4392"/>
            <w:vAlign w:val="center"/>
            <w:shd w:fill="F5F7F9"/>
            <w:tcMar>
              <w:top w:w="100" w:type="dxa"/>
              <w:start w:w="120" w:type="dxa"/>
              <w:bottom w:w="100" w:type="dxa"/>
              <w:end w:w="120" w:type="dxa"/>
            </w:tcMar>
          </w:tcPr>
          <w:p>
            <w:pPr>
              <w:spacing w:after="0"/>
            </w:pPr>
            <w:r>
              <w:rPr>
                <w:color w:val="102130"/>
                <w:sz w:val="16"/>
              </w:rPr>
              <w:t>Canonical costs, versions, lines, categories, allocation and correction</w:t>
            </w:r>
          </w:p>
        </w:tc>
        <w:tc>
          <w:tcPr>
            <w:tcW w:type="dxa" w:w="3024"/>
            <w:vAlign w:val="center"/>
            <w:shd w:fill="F5F7F9"/>
            <w:tcMar>
              <w:top w:w="100" w:type="dxa"/>
              <w:start w:w="120" w:type="dxa"/>
              <w:bottom w:w="100" w:type="dxa"/>
              <w:end w:w="120" w:type="dxa"/>
            </w:tcMar>
          </w:tcPr>
          <w:p>
            <w:pPr>
              <w:spacing w:after="0"/>
            </w:pPr>
            <w:r>
              <w:rPr>
                <w:color w:val="102130"/>
                <w:sz w:val="16"/>
              </w:rPr>
              <w:t>Forecast assumptions or user sessions</w:t>
            </w:r>
          </w:p>
        </w:tc>
      </w:tr>
      <w:tr>
        <w:tc>
          <w:tcPr>
            <w:tcW w:type="dxa" w:w="1944"/>
            <w:vAlign w:val="center"/>
            <w:tcMar>
              <w:top w:w="100" w:type="dxa"/>
              <w:start w:w="120" w:type="dxa"/>
              <w:bottom w:w="100" w:type="dxa"/>
              <w:end w:w="120" w:type="dxa"/>
            </w:tcMar>
          </w:tcPr>
          <w:p>
            <w:pPr>
              <w:spacing w:after="0"/>
            </w:pPr>
            <w:r>
              <w:rPr>
                <w:color w:val="102130"/>
                <w:sz w:val="16"/>
              </w:rPr>
              <w:t>Imports</w:t>
            </w:r>
          </w:p>
        </w:tc>
        <w:tc>
          <w:tcPr>
            <w:tcW w:type="dxa" w:w="4392"/>
            <w:vAlign w:val="center"/>
            <w:tcMar>
              <w:top w:w="100" w:type="dxa"/>
              <w:start w:w="120" w:type="dxa"/>
              <w:bottom w:w="100" w:type="dxa"/>
              <w:end w:w="120" w:type="dxa"/>
            </w:tcMar>
          </w:tcPr>
          <w:p>
            <w:pPr>
              <w:spacing w:after="0"/>
            </w:pPr>
            <w:r>
              <w:rPr>
                <w:color w:val="102130"/>
                <w:sz w:val="16"/>
              </w:rPr>
              <w:t>Connections, raw payloads, mapping, staging, validation, reconciliation and quarantine</w:t>
            </w:r>
          </w:p>
        </w:tc>
        <w:tc>
          <w:tcPr>
            <w:tcW w:type="dxa" w:w="3024"/>
            <w:vAlign w:val="center"/>
            <w:tcMar>
              <w:top w:w="100" w:type="dxa"/>
              <w:start w:w="120" w:type="dxa"/>
              <w:bottom w:w="100" w:type="dxa"/>
              <w:end w:w="120" w:type="dxa"/>
            </w:tcMar>
          </w:tcPr>
          <w:p>
            <w:pPr>
              <w:spacing w:after="0"/>
            </w:pPr>
            <w:r>
              <w:rPr>
                <w:color w:val="102130"/>
                <w:sz w:val="16"/>
              </w:rPr>
              <w:t>Published financial totals</w:t>
            </w:r>
          </w:p>
        </w:tc>
      </w:tr>
      <w:tr>
        <w:tc>
          <w:tcPr>
            <w:tcW w:type="dxa" w:w="1944"/>
            <w:vAlign w:val="center"/>
            <w:shd w:fill="F5F7F9"/>
            <w:tcMar>
              <w:top w:w="100" w:type="dxa"/>
              <w:start w:w="120" w:type="dxa"/>
              <w:bottom w:w="100" w:type="dxa"/>
              <w:end w:w="120" w:type="dxa"/>
            </w:tcMar>
          </w:tcPr>
          <w:p>
            <w:pPr>
              <w:spacing w:after="0"/>
            </w:pPr>
            <w:r>
              <w:rPr>
                <w:color w:val="102130"/>
                <w:sz w:val="16"/>
              </w:rPr>
              <w:t>Budgets</w:t>
            </w:r>
          </w:p>
        </w:tc>
        <w:tc>
          <w:tcPr>
            <w:tcW w:type="dxa" w:w="4392"/>
            <w:vAlign w:val="center"/>
            <w:shd w:fill="F5F7F9"/>
            <w:tcMar>
              <w:top w:w="100" w:type="dxa"/>
              <w:start w:w="120" w:type="dxa"/>
              <w:bottom w:w="100" w:type="dxa"/>
              <w:end w:w="120" w:type="dxa"/>
            </w:tcMar>
          </w:tcPr>
          <w:p>
            <w:pPr>
              <w:spacing w:after="0"/>
            </w:pPr>
            <w:r>
              <w:rPr>
                <w:color w:val="102130"/>
                <w:sz w:val="16"/>
              </w:rPr>
              <w:t>Budget hierarchy, baselines, versions, lines, transfers and change requests</w:t>
            </w:r>
          </w:p>
        </w:tc>
        <w:tc>
          <w:tcPr>
            <w:tcW w:type="dxa" w:w="3024"/>
            <w:vAlign w:val="center"/>
            <w:shd w:fill="F5F7F9"/>
            <w:tcMar>
              <w:top w:w="100" w:type="dxa"/>
              <w:start w:w="120" w:type="dxa"/>
              <w:bottom w:w="100" w:type="dxa"/>
              <w:end w:w="120" w:type="dxa"/>
            </w:tcMar>
          </w:tcPr>
          <w:p>
            <w:pPr>
              <w:spacing w:after="0"/>
            </w:pPr>
            <w:r>
              <w:rPr>
                <w:color w:val="102130"/>
                <w:sz w:val="16"/>
              </w:rPr>
              <w:t>Source-system connection tokens</w:t>
            </w:r>
          </w:p>
        </w:tc>
      </w:tr>
      <w:tr>
        <w:tc>
          <w:tcPr>
            <w:tcW w:type="dxa" w:w="1944"/>
            <w:vAlign w:val="center"/>
            <w:tcMar>
              <w:top w:w="100" w:type="dxa"/>
              <w:start w:w="120" w:type="dxa"/>
              <w:bottom w:w="100" w:type="dxa"/>
              <w:end w:w="120" w:type="dxa"/>
            </w:tcMar>
          </w:tcPr>
          <w:p>
            <w:pPr>
              <w:spacing w:after="0"/>
            </w:pPr>
            <w:r>
              <w:rPr>
                <w:color w:val="102130"/>
                <w:sz w:val="16"/>
              </w:rPr>
              <w:t>Forecasting</w:t>
            </w:r>
          </w:p>
        </w:tc>
        <w:tc>
          <w:tcPr>
            <w:tcW w:type="dxa" w:w="4392"/>
            <w:vAlign w:val="center"/>
            <w:tcMar>
              <w:top w:w="100" w:type="dxa"/>
              <w:start w:w="120" w:type="dxa"/>
              <w:bottom w:w="100" w:type="dxa"/>
              <w:end w:w="120" w:type="dxa"/>
            </w:tcMar>
          </w:tcPr>
          <w:p>
            <w:pPr>
              <w:spacing w:after="0"/>
            </w:pPr>
            <w:r>
              <w:rPr>
                <w:color w:val="102130"/>
                <w:sz w:val="16"/>
              </w:rPr>
              <w:t>Rules, recurring costs, assumptions, runs, versions and forecast lines</w:t>
            </w:r>
          </w:p>
        </w:tc>
        <w:tc>
          <w:tcPr>
            <w:tcW w:type="dxa" w:w="3024"/>
            <w:vAlign w:val="center"/>
            <w:tcMar>
              <w:top w:w="100" w:type="dxa"/>
              <w:start w:w="120" w:type="dxa"/>
              <w:bottom w:w="100" w:type="dxa"/>
              <w:end w:w="120" w:type="dxa"/>
            </w:tcMar>
          </w:tcPr>
          <w:p>
            <w:pPr>
              <w:spacing w:after="0"/>
            </w:pPr>
            <w:r>
              <w:rPr>
                <w:color w:val="102130"/>
                <w:sz w:val="16"/>
              </w:rPr>
              <w:t>Mutation of canonical actual costs</w:t>
            </w:r>
          </w:p>
        </w:tc>
      </w:tr>
      <w:tr>
        <w:tc>
          <w:tcPr>
            <w:tcW w:type="dxa" w:w="1944"/>
            <w:vAlign w:val="center"/>
            <w:shd w:fill="F5F7F9"/>
            <w:tcMar>
              <w:top w:w="100" w:type="dxa"/>
              <w:start w:w="120" w:type="dxa"/>
              <w:bottom w:w="100" w:type="dxa"/>
              <w:end w:w="120" w:type="dxa"/>
            </w:tcMar>
          </w:tcPr>
          <w:p>
            <w:pPr>
              <w:spacing w:after="0"/>
            </w:pPr>
            <w:r>
              <w:rPr>
                <w:color w:val="102130"/>
                <w:sz w:val="16"/>
              </w:rPr>
              <w:t>Reviews</w:t>
            </w:r>
          </w:p>
        </w:tc>
        <w:tc>
          <w:tcPr>
            <w:tcW w:type="dxa" w:w="4392"/>
            <w:vAlign w:val="center"/>
            <w:shd w:fill="F5F7F9"/>
            <w:tcMar>
              <w:top w:w="100" w:type="dxa"/>
              <w:start w:w="120" w:type="dxa"/>
              <w:bottom w:w="100" w:type="dxa"/>
              <w:end w:w="120" w:type="dxa"/>
            </w:tcMar>
          </w:tcPr>
          <w:p>
            <w:pPr>
              <w:spacing w:after="0"/>
            </w:pPr>
            <w:r>
              <w:rPr>
                <w:color w:val="102130"/>
                <w:sz w:val="16"/>
              </w:rPr>
              <w:t>Exceptions, recommendations, assignment, approval, decisions and outcomes</w:t>
            </w:r>
          </w:p>
        </w:tc>
        <w:tc>
          <w:tcPr>
            <w:tcW w:type="dxa" w:w="3024"/>
            <w:vAlign w:val="center"/>
            <w:shd w:fill="F5F7F9"/>
            <w:tcMar>
              <w:top w:w="100" w:type="dxa"/>
              <w:start w:w="120" w:type="dxa"/>
              <w:bottom w:w="100" w:type="dxa"/>
              <w:end w:w="120" w:type="dxa"/>
            </w:tcMar>
          </w:tcPr>
          <w:p>
            <w:pPr>
              <w:spacing w:after="0"/>
            </w:pPr>
            <w:r>
              <w:rPr>
                <w:color w:val="102130"/>
                <w:sz w:val="16"/>
              </w:rPr>
              <w:t>Independent financial calculations</w:t>
            </w:r>
          </w:p>
        </w:tc>
      </w:tr>
      <w:tr>
        <w:tc>
          <w:tcPr>
            <w:tcW w:type="dxa" w:w="1944"/>
            <w:vAlign w:val="center"/>
            <w:tcMar>
              <w:top w:w="100" w:type="dxa"/>
              <w:start w:w="120" w:type="dxa"/>
              <w:bottom w:w="100" w:type="dxa"/>
              <w:end w:w="120" w:type="dxa"/>
            </w:tcMar>
          </w:tcPr>
          <w:p>
            <w:pPr>
              <w:spacing w:after="0"/>
            </w:pPr>
            <w:r>
              <w:rPr>
                <w:color w:val="102130"/>
                <w:sz w:val="16"/>
              </w:rPr>
              <w:t>Reporting</w:t>
            </w:r>
          </w:p>
        </w:tc>
        <w:tc>
          <w:tcPr>
            <w:tcW w:type="dxa" w:w="4392"/>
            <w:vAlign w:val="center"/>
            <w:tcMar>
              <w:top w:w="100" w:type="dxa"/>
              <w:start w:w="120" w:type="dxa"/>
              <w:bottom w:w="100" w:type="dxa"/>
              <w:end w:w="120" w:type="dxa"/>
            </w:tcMar>
          </w:tcPr>
          <w:p>
            <w:pPr>
              <w:spacing w:after="0"/>
            </w:pPr>
            <w:r>
              <w:rPr>
                <w:color w:val="102130"/>
                <w:sz w:val="16"/>
              </w:rPr>
              <w:t>Report definitions, dataset snapshots, exports and schedules</w:t>
            </w:r>
          </w:p>
        </w:tc>
        <w:tc>
          <w:tcPr>
            <w:tcW w:type="dxa" w:w="3024"/>
            <w:vAlign w:val="center"/>
            <w:tcMar>
              <w:top w:w="100" w:type="dxa"/>
              <w:start w:w="120" w:type="dxa"/>
              <w:bottom w:w="100" w:type="dxa"/>
              <w:end w:w="120" w:type="dxa"/>
            </w:tcMar>
          </w:tcPr>
          <w:p>
            <w:pPr>
              <w:spacing w:after="0"/>
            </w:pPr>
            <w:r>
              <w:rPr>
                <w:color w:val="102130"/>
                <w:sz w:val="16"/>
              </w:rPr>
              <w:t>Alternative copies of financial formulas</w:t>
            </w:r>
          </w:p>
        </w:tc>
      </w:tr>
      <w:tr>
        <w:tc>
          <w:tcPr>
            <w:tcW w:type="dxa" w:w="1944"/>
            <w:vAlign w:val="center"/>
            <w:shd w:fill="F5F7F9"/>
            <w:tcMar>
              <w:top w:w="100" w:type="dxa"/>
              <w:start w:w="120" w:type="dxa"/>
              <w:bottom w:w="100" w:type="dxa"/>
              <w:end w:w="120" w:type="dxa"/>
            </w:tcMar>
          </w:tcPr>
          <w:p>
            <w:pPr>
              <w:spacing w:after="0"/>
            </w:pPr>
            <w:r>
              <w:rPr>
                <w:color w:val="102130"/>
                <w:sz w:val="16"/>
              </w:rPr>
              <w:t>Audit</w:t>
            </w:r>
          </w:p>
        </w:tc>
        <w:tc>
          <w:tcPr>
            <w:tcW w:type="dxa" w:w="4392"/>
            <w:vAlign w:val="center"/>
            <w:shd w:fill="F5F7F9"/>
            <w:tcMar>
              <w:top w:w="100" w:type="dxa"/>
              <w:start w:w="120" w:type="dxa"/>
              <w:bottom w:w="100" w:type="dxa"/>
              <w:end w:w="120" w:type="dxa"/>
            </w:tcMar>
          </w:tcPr>
          <w:p>
            <w:pPr>
              <w:spacing w:after="0"/>
            </w:pPr>
            <w:r>
              <w:rPr>
                <w:color w:val="102130"/>
                <w:sz w:val="16"/>
              </w:rPr>
              <w:t>Append-only material events and security evidence</w:t>
            </w:r>
          </w:p>
        </w:tc>
        <w:tc>
          <w:tcPr>
            <w:tcW w:type="dxa" w:w="3024"/>
            <w:vAlign w:val="center"/>
            <w:shd w:fill="F5F7F9"/>
            <w:tcMar>
              <w:top w:w="100" w:type="dxa"/>
              <w:start w:w="120" w:type="dxa"/>
              <w:bottom w:w="100" w:type="dxa"/>
              <w:end w:w="120" w:type="dxa"/>
            </w:tcMar>
          </w:tcPr>
          <w:p>
            <w:pPr>
              <w:spacing w:after="0"/>
            </w:pPr>
            <w:r>
              <w:rPr>
                <w:color w:val="102130"/>
                <w:sz w:val="16"/>
              </w:rPr>
              <w:t>Mutable business state</w:t>
            </w:r>
          </w:p>
        </w:tc>
      </w:tr>
    </w:tbl>
    <w:p>
      <w:pPr>
        <w:spacing w:after="0"/>
      </w:pPr>
    </w:p>
    <w:p>
      <w:pPr>
        <w:pStyle w:val="Heading2"/>
      </w:pPr>
      <w:r>
        <w:t>12.2 Backend database requirements</w:t>
      </w:r>
    </w:p>
    <w:p>
      <w:r>
        <w:t>PostgreSQL should be the authoritative transactional database. Every business table must include organisation ownership, stable identifiers, creation metadata and a concurrency strategy. Monetary values should use fixed-precision decimal or integer minor units; binary floating-point values are prohibited for authoritative amounts.</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0B1F33"/>
            <w:vAlign w:val="center"/>
            <w:tcMar>
              <w:top w:w="100" w:type="dxa"/>
              <w:start w:w="120" w:type="dxa"/>
              <w:bottom w:w="100" w:type="dxa"/>
              <w:end w:w="120" w:type="dxa"/>
            </w:tcMar>
          </w:tcPr>
          <w:p>
            <w:pPr>
              <w:spacing w:after="0"/>
            </w:pPr>
            <w:r>
              <w:rPr>
                <w:b/>
                <w:color w:val="FFFFFF"/>
                <w:sz w:val="17"/>
              </w:rPr>
              <w:t>Requirement</w:t>
            </w:r>
          </w:p>
        </w:tc>
        <w:tc>
          <w:tcPr>
            <w:tcW w:type="dxa" w:w="7128"/>
            <w:shd w:fill="0B1F33"/>
            <w:vAlign w:val="center"/>
            <w:tcMar>
              <w:top w:w="100" w:type="dxa"/>
              <w:start w:w="120" w:type="dxa"/>
              <w:bottom w:w="100" w:type="dxa"/>
              <w:end w:w="120" w:type="dxa"/>
            </w:tcMar>
          </w:tcPr>
          <w:p>
            <w:pPr>
              <w:spacing w:after="0"/>
            </w:pPr>
            <w:r>
              <w:rPr>
                <w:b/>
                <w:color w:val="FFFFFF"/>
                <w:sz w:val="17"/>
              </w:rPr>
              <w:t>Implementation rule</w:t>
            </w:r>
          </w:p>
        </w:tc>
      </w:tr>
      <w:tr>
        <w:tc>
          <w:tcPr>
            <w:tcW w:type="dxa" w:w="2232"/>
            <w:vAlign w:val="center"/>
            <w:tcMar>
              <w:top w:w="100" w:type="dxa"/>
              <w:start w:w="120" w:type="dxa"/>
              <w:bottom w:w="100" w:type="dxa"/>
              <w:end w:w="120" w:type="dxa"/>
            </w:tcMar>
          </w:tcPr>
          <w:p>
            <w:pPr>
              <w:spacing w:after="0"/>
            </w:pPr>
            <w:r>
              <w:rPr>
                <w:color w:val="102130"/>
                <w:sz w:val="17"/>
              </w:rPr>
              <w:t>Tenant isolation</w:t>
            </w:r>
          </w:p>
        </w:tc>
        <w:tc>
          <w:tcPr>
            <w:tcW w:type="dxa" w:w="7128"/>
            <w:vAlign w:val="center"/>
            <w:tcMar>
              <w:top w:w="100" w:type="dxa"/>
              <w:start w:w="120" w:type="dxa"/>
              <w:bottom w:w="100" w:type="dxa"/>
              <w:end w:w="120" w:type="dxa"/>
            </w:tcMar>
          </w:tcPr>
          <w:p>
            <w:pPr>
              <w:spacing w:after="0"/>
            </w:pPr>
            <w:r>
              <w:rPr>
                <w:color w:val="102130"/>
                <w:sz w:val="17"/>
              </w:rPr>
              <w:t>Every tenant-owned row carries organisation_id; repository and policy layers require it on every query.</w:t>
            </w:r>
          </w:p>
        </w:tc>
      </w:tr>
      <w:tr>
        <w:tc>
          <w:tcPr>
            <w:tcW w:type="dxa" w:w="2232"/>
            <w:vAlign w:val="center"/>
            <w:shd w:fill="F5F7F9"/>
            <w:tcMar>
              <w:top w:w="100" w:type="dxa"/>
              <w:start w:w="120" w:type="dxa"/>
              <w:bottom w:w="100" w:type="dxa"/>
              <w:end w:w="120" w:type="dxa"/>
            </w:tcMar>
          </w:tcPr>
          <w:p>
            <w:pPr>
              <w:spacing w:after="0"/>
            </w:pPr>
            <w:r>
              <w:rPr>
                <w:color w:val="102130"/>
                <w:sz w:val="17"/>
              </w:rPr>
              <w:t>Money</w:t>
            </w:r>
          </w:p>
        </w:tc>
        <w:tc>
          <w:tcPr>
            <w:tcW w:type="dxa" w:w="7128"/>
            <w:vAlign w:val="center"/>
            <w:shd w:fill="F5F7F9"/>
            <w:tcMar>
              <w:top w:w="100" w:type="dxa"/>
              <w:start w:w="120" w:type="dxa"/>
              <w:bottom w:w="100" w:type="dxa"/>
              <w:end w:w="120" w:type="dxa"/>
            </w:tcMar>
          </w:tcPr>
          <w:p>
            <w:pPr>
              <w:spacing w:after="0"/>
            </w:pPr>
            <w:r>
              <w:rPr>
                <w:color w:val="102130"/>
                <w:sz w:val="17"/>
              </w:rPr>
              <w:t>Store amount_minor plus ISO currency, or a fixed NUMERIC scale with a documented rounding policy.</w:t>
            </w:r>
          </w:p>
        </w:tc>
      </w:tr>
      <w:tr>
        <w:tc>
          <w:tcPr>
            <w:tcW w:type="dxa" w:w="2232"/>
            <w:vAlign w:val="center"/>
            <w:tcMar>
              <w:top w:w="100" w:type="dxa"/>
              <w:start w:w="120" w:type="dxa"/>
              <w:bottom w:w="100" w:type="dxa"/>
              <w:end w:w="120" w:type="dxa"/>
            </w:tcMar>
          </w:tcPr>
          <w:p>
            <w:pPr>
              <w:spacing w:after="0"/>
            </w:pPr>
            <w:r>
              <w:rPr>
                <w:color w:val="102130"/>
                <w:sz w:val="17"/>
              </w:rPr>
              <w:t>Time</w:t>
            </w:r>
          </w:p>
        </w:tc>
        <w:tc>
          <w:tcPr>
            <w:tcW w:type="dxa" w:w="7128"/>
            <w:vAlign w:val="center"/>
            <w:tcMar>
              <w:top w:w="100" w:type="dxa"/>
              <w:start w:w="120" w:type="dxa"/>
              <w:bottom w:w="100" w:type="dxa"/>
              <w:end w:w="120" w:type="dxa"/>
            </w:tcMar>
          </w:tcPr>
          <w:p>
            <w:pPr>
              <w:spacing w:after="0"/>
            </w:pPr>
            <w:r>
              <w:rPr>
                <w:color w:val="102130"/>
                <w:sz w:val="17"/>
              </w:rPr>
              <w:t>Store UTC timestamps; retain the organisation time zone for reporting-period boundaries.</w:t>
            </w:r>
          </w:p>
        </w:tc>
      </w:tr>
      <w:tr>
        <w:tc>
          <w:tcPr>
            <w:tcW w:type="dxa" w:w="2232"/>
            <w:vAlign w:val="center"/>
            <w:shd w:fill="F5F7F9"/>
            <w:tcMar>
              <w:top w:w="100" w:type="dxa"/>
              <w:start w:w="120" w:type="dxa"/>
              <w:bottom w:w="100" w:type="dxa"/>
              <w:end w:w="120" w:type="dxa"/>
            </w:tcMar>
          </w:tcPr>
          <w:p>
            <w:pPr>
              <w:spacing w:after="0"/>
            </w:pPr>
            <w:r>
              <w:rPr>
                <w:color w:val="102130"/>
                <w:sz w:val="17"/>
              </w:rPr>
              <w:t>Identifiers</w:t>
            </w:r>
          </w:p>
        </w:tc>
        <w:tc>
          <w:tcPr>
            <w:tcW w:type="dxa" w:w="7128"/>
            <w:vAlign w:val="center"/>
            <w:shd w:fill="F5F7F9"/>
            <w:tcMar>
              <w:top w:w="100" w:type="dxa"/>
              <w:start w:w="120" w:type="dxa"/>
              <w:bottom w:w="100" w:type="dxa"/>
              <w:end w:w="120" w:type="dxa"/>
            </w:tcMar>
          </w:tcPr>
          <w:p>
            <w:pPr>
              <w:spacing w:after="0"/>
            </w:pPr>
            <w:r>
              <w:rPr>
                <w:color w:val="102130"/>
                <w:sz w:val="17"/>
              </w:rPr>
              <w:t>Use non-sequential externally safe IDs; retain provider IDs under unique source constraints.</w:t>
            </w:r>
          </w:p>
        </w:tc>
      </w:tr>
      <w:tr>
        <w:tc>
          <w:tcPr>
            <w:tcW w:type="dxa" w:w="2232"/>
            <w:vAlign w:val="center"/>
            <w:tcMar>
              <w:top w:w="100" w:type="dxa"/>
              <w:start w:w="120" w:type="dxa"/>
              <w:bottom w:w="100" w:type="dxa"/>
              <w:end w:w="120" w:type="dxa"/>
            </w:tcMar>
          </w:tcPr>
          <w:p>
            <w:pPr>
              <w:spacing w:after="0"/>
            </w:pPr>
            <w:r>
              <w:rPr>
                <w:color w:val="102130"/>
                <w:sz w:val="17"/>
              </w:rPr>
              <w:t>Versioning</w:t>
            </w:r>
          </w:p>
        </w:tc>
        <w:tc>
          <w:tcPr>
            <w:tcW w:type="dxa" w:w="7128"/>
            <w:vAlign w:val="center"/>
            <w:tcMar>
              <w:top w:w="100" w:type="dxa"/>
              <w:start w:w="120" w:type="dxa"/>
              <w:bottom w:w="100" w:type="dxa"/>
              <w:end w:w="120" w:type="dxa"/>
            </w:tcMar>
          </w:tcPr>
          <w:p>
            <w:pPr>
              <w:spacing w:after="0"/>
            </w:pPr>
            <w:r>
              <w:rPr>
                <w:color w:val="102130"/>
                <w:sz w:val="17"/>
              </w:rPr>
              <w:t>Immutable version tables reference a stable parent record and monotonically increasing version.</w:t>
            </w:r>
          </w:p>
        </w:tc>
      </w:tr>
      <w:tr>
        <w:tc>
          <w:tcPr>
            <w:tcW w:type="dxa" w:w="2232"/>
            <w:vAlign w:val="center"/>
            <w:shd w:fill="F5F7F9"/>
            <w:tcMar>
              <w:top w:w="100" w:type="dxa"/>
              <w:start w:w="120" w:type="dxa"/>
              <w:bottom w:w="100" w:type="dxa"/>
              <w:end w:w="120" w:type="dxa"/>
            </w:tcMar>
          </w:tcPr>
          <w:p>
            <w:pPr>
              <w:spacing w:after="0"/>
            </w:pPr>
            <w:r>
              <w:rPr>
                <w:color w:val="102130"/>
                <w:sz w:val="17"/>
              </w:rPr>
              <w:t>Soft deletion</w:t>
            </w:r>
          </w:p>
        </w:tc>
        <w:tc>
          <w:tcPr>
            <w:tcW w:type="dxa" w:w="7128"/>
            <w:vAlign w:val="center"/>
            <w:shd w:fill="F5F7F9"/>
            <w:tcMar>
              <w:top w:w="100" w:type="dxa"/>
              <w:start w:w="120" w:type="dxa"/>
              <w:bottom w:w="100" w:type="dxa"/>
              <w:end w:w="120" w:type="dxa"/>
            </w:tcMar>
          </w:tcPr>
          <w:p>
            <w:pPr>
              <w:spacing w:after="0"/>
            </w:pPr>
            <w:r>
              <w:rPr>
                <w:color w:val="102130"/>
                <w:sz w:val="17"/>
              </w:rPr>
              <w:t>Use lifecycle status for financial records; never physically delete records needed for audit.</w:t>
            </w:r>
          </w:p>
        </w:tc>
      </w:tr>
      <w:tr>
        <w:tc>
          <w:tcPr>
            <w:tcW w:type="dxa" w:w="2232"/>
            <w:vAlign w:val="center"/>
            <w:tcMar>
              <w:top w:w="100" w:type="dxa"/>
              <w:start w:w="120" w:type="dxa"/>
              <w:bottom w:w="100" w:type="dxa"/>
              <w:end w:w="120" w:type="dxa"/>
            </w:tcMar>
          </w:tcPr>
          <w:p>
            <w:pPr>
              <w:spacing w:after="0"/>
            </w:pPr>
            <w:r>
              <w:rPr>
                <w:color w:val="102130"/>
                <w:sz w:val="17"/>
              </w:rPr>
              <w:t>Optimistic locking</w:t>
            </w:r>
          </w:p>
        </w:tc>
        <w:tc>
          <w:tcPr>
            <w:tcW w:type="dxa" w:w="7128"/>
            <w:vAlign w:val="center"/>
            <w:tcMar>
              <w:top w:w="100" w:type="dxa"/>
              <w:start w:w="120" w:type="dxa"/>
              <w:bottom w:w="100" w:type="dxa"/>
              <w:end w:w="120" w:type="dxa"/>
            </w:tcMar>
          </w:tcPr>
          <w:p>
            <w:pPr>
              <w:spacing w:after="0"/>
            </w:pPr>
            <w:r>
              <w:rPr>
                <w:color w:val="102130"/>
                <w:sz w:val="17"/>
              </w:rPr>
              <w:t>Use version counters or updated_at checks on editable configuration and review items.</w:t>
            </w:r>
          </w:p>
        </w:tc>
      </w:tr>
      <w:tr>
        <w:tc>
          <w:tcPr>
            <w:tcW w:type="dxa" w:w="2232"/>
            <w:vAlign w:val="center"/>
            <w:shd w:fill="F5F7F9"/>
            <w:tcMar>
              <w:top w:w="100" w:type="dxa"/>
              <w:start w:w="120" w:type="dxa"/>
              <w:bottom w:w="100" w:type="dxa"/>
              <w:end w:w="120" w:type="dxa"/>
            </w:tcMar>
          </w:tcPr>
          <w:p>
            <w:pPr>
              <w:spacing w:after="0"/>
            </w:pPr>
            <w:r>
              <w:rPr>
                <w:color w:val="102130"/>
                <w:sz w:val="17"/>
              </w:rPr>
              <w:t>Constraints</w:t>
            </w:r>
          </w:p>
        </w:tc>
        <w:tc>
          <w:tcPr>
            <w:tcW w:type="dxa" w:w="7128"/>
            <w:vAlign w:val="center"/>
            <w:shd w:fill="F5F7F9"/>
            <w:tcMar>
              <w:top w:w="100" w:type="dxa"/>
              <w:start w:w="120" w:type="dxa"/>
              <w:bottom w:w="100" w:type="dxa"/>
              <w:end w:w="120" w:type="dxa"/>
            </w:tcMar>
          </w:tcPr>
          <w:p>
            <w:pPr>
              <w:spacing w:after="0"/>
            </w:pPr>
            <w:r>
              <w:rPr>
                <w:color w:val="102130"/>
                <w:sz w:val="17"/>
              </w:rPr>
              <w:t>Enforce status transitions, non-null currency, allocation totals and unique import keys in the database.</w:t>
            </w:r>
          </w:p>
        </w:tc>
      </w:tr>
    </w:tbl>
    <w:p>
      <w:pPr>
        <w:spacing w:after="0"/>
      </w:pPr>
    </w:p>
    <w:p>
      <w:pPr>
        <w:keepNext/>
        <w:spacing w:before="160" w:after="80"/>
        <w:jc w:val="center"/>
      </w:pPr>
      <w:r>
        <w:drawing>
          <wp:inline xmlns:a="http://schemas.openxmlformats.org/drawingml/2006/main" xmlns:pic="http://schemas.openxmlformats.org/drawingml/2006/picture">
            <wp:extent cx="5897880" cy="3440430"/>
            <wp:docPr id="5" name="Picture 5" descr="Organisation owns cost records and budgets. Cost records have immutable versions and allocations. Budget lines link to allocations. Cost versions form financial snapshots that generate forecast versions. Approvals and forecast versions write audit events."/>
            <wp:cNvGraphicFramePr>
              <a:graphicFrameLocks noChangeAspect="1"/>
            </wp:cNvGraphicFramePr>
            <a:graphic>
              <a:graphicData uri="http://schemas.openxmlformats.org/drawingml/2006/picture">
                <pic:pic>
                  <pic:nvPicPr>
                    <pic:cNvPr id="0" name="backend-data-relationships.png"/>
                    <pic:cNvPicPr/>
                  </pic:nvPicPr>
                  <pic:blipFill>
                    <a:blip r:embed="rId15"/>
                    <a:stretch>
                      <a:fillRect/>
                    </a:stretch>
                  </pic:blipFill>
                  <pic:spPr>
                    <a:xfrm>
                      <a:off x="0" y="0"/>
                      <a:ext cx="5897880" cy="3440430"/>
                    </a:xfrm>
                    <a:prstGeom prst="rect"/>
                  </pic:spPr>
                </pic:pic>
              </a:graphicData>
            </a:graphic>
          </wp:inline>
        </w:drawing>
      </w:r>
    </w:p>
    <w:p>
      <w:pPr>
        <w:spacing w:before="0" w:after="200"/>
        <w:jc w:val="center"/>
      </w:pPr>
      <w:r>
        <w:rPr>
          <w:i/>
          <w:color w:val="5E6B75"/>
          <w:sz w:val="18"/>
        </w:rPr>
        <w:t>Figure 5. Core relationships between costs, budgets, snapshots, forecasts, approvals and audit records.</w:t>
      </w:r>
    </w:p>
    <w:p>
      <w:pPr>
        <w:pStyle w:val="Heading2"/>
      </w:pPr>
      <w:r>
        <w:t>12.3 Minimum backend tables</w:t>
      </w:r>
    </w:p>
    <w:tbl>
      <w:tblPr>
        <w:tblStyle w:val="TableGrid"/>
        <w:tblW w:type="dxa" w:w="9360"/>
        <w:jc w:val="left"/>
        <w:tblLayout w:type="fixed"/>
        <w:tblLook w:firstColumn="1" w:firstRow="1" w:lastColumn="0" w:lastRow="0" w:noHBand="0" w:noVBand="1" w:val="04A0"/>
        <w:tblInd w:w="120" w:type="dxa"/>
      </w:tblPr>
      <w:tblGrid>
        <w:gridCol w:w="2015"/>
        <w:gridCol w:w="7343"/>
      </w:tblGrid>
      <w:tr>
        <w:trPr>
          <w:tblHeader w:val="true"/>
        </w:trPr>
        <w:tc>
          <w:tcPr>
            <w:tcW w:type="dxa" w:w="2015"/>
            <w:shd w:fill="0B1F33"/>
            <w:vAlign w:val="center"/>
            <w:tcMar>
              <w:top w:w="100" w:type="dxa"/>
              <w:start w:w="120" w:type="dxa"/>
              <w:bottom w:w="100" w:type="dxa"/>
              <w:end w:w="120" w:type="dxa"/>
            </w:tcMar>
          </w:tcPr>
          <w:p>
            <w:pPr>
              <w:spacing w:after="0"/>
            </w:pPr>
            <w:r>
              <w:rPr>
                <w:b/>
                <w:color w:val="FFFFFF"/>
                <w:sz w:val="17"/>
              </w:rPr>
              <w:t>Table group</w:t>
            </w:r>
          </w:p>
        </w:tc>
        <w:tc>
          <w:tcPr>
            <w:tcW w:type="dxa" w:w="7343"/>
            <w:shd w:fill="0B1F33"/>
            <w:vAlign w:val="center"/>
            <w:tcMar>
              <w:top w:w="100" w:type="dxa"/>
              <w:start w:w="120" w:type="dxa"/>
              <w:bottom w:w="100" w:type="dxa"/>
              <w:end w:w="120" w:type="dxa"/>
            </w:tcMar>
          </w:tcPr>
          <w:p>
            <w:pPr>
              <w:spacing w:after="0"/>
            </w:pPr>
            <w:r>
              <w:rPr>
                <w:b/>
                <w:color w:val="FFFFFF"/>
                <w:sz w:val="17"/>
              </w:rPr>
              <w:t>Minimum tables</w:t>
            </w:r>
          </w:p>
        </w:tc>
      </w:tr>
      <w:tr>
        <w:tc>
          <w:tcPr>
            <w:tcW w:type="dxa" w:w="2015"/>
            <w:vAlign w:val="center"/>
            <w:tcMar>
              <w:top w:w="100" w:type="dxa"/>
              <w:start w:w="120" w:type="dxa"/>
              <w:bottom w:w="100" w:type="dxa"/>
              <w:end w:w="120" w:type="dxa"/>
            </w:tcMar>
          </w:tcPr>
          <w:p>
            <w:pPr>
              <w:spacing w:after="0"/>
            </w:pPr>
            <w:r>
              <w:rPr>
                <w:color w:val="102130"/>
                <w:sz w:val="17"/>
              </w:rPr>
              <w:t>Organisation</w:t>
            </w:r>
          </w:p>
        </w:tc>
        <w:tc>
          <w:tcPr>
            <w:tcW w:type="dxa" w:w="7343"/>
            <w:vAlign w:val="center"/>
            <w:tcMar>
              <w:top w:w="100" w:type="dxa"/>
              <w:start w:w="120" w:type="dxa"/>
              <w:bottom w:w="100" w:type="dxa"/>
              <w:end w:w="120" w:type="dxa"/>
            </w:tcMar>
          </w:tcPr>
          <w:p>
            <w:pPr>
              <w:spacing w:after="0"/>
            </w:pPr>
            <w:r>
              <w:rPr>
                <w:color w:val="102130"/>
                <w:sz w:val="17"/>
              </w:rPr>
              <w:t>organisations, users, memberships, roles, role_permissions, sessions</w:t>
            </w:r>
          </w:p>
        </w:tc>
      </w:tr>
      <w:tr>
        <w:tc>
          <w:tcPr>
            <w:tcW w:type="dxa" w:w="2015"/>
            <w:vAlign w:val="center"/>
            <w:shd w:fill="F5F7F9"/>
            <w:tcMar>
              <w:top w:w="100" w:type="dxa"/>
              <w:start w:w="120" w:type="dxa"/>
              <w:bottom w:w="100" w:type="dxa"/>
              <w:end w:w="120" w:type="dxa"/>
            </w:tcMar>
          </w:tcPr>
          <w:p>
            <w:pPr>
              <w:spacing w:after="0"/>
            </w:pPr>
            <w:r>
              <w:rPr>
                <w:color w:val="102130"/>
                <w:sz w:val="17"/>
              </w:rPr>
              <w:t>Cost ledger</w:t>
            </w:r>
          </w:p>
        </w:tc>
        <w:tc>
          <w:tcPr>
            <w:tcW w:type="dxa" w:w="7343"/>
            <w:vAlign w:val="center"/>
            <w:shd w:fill="F5F7F9"/>
            <w:tcMar>
              <w:top w:w="100" w:type="dxa"/>
              <w:start w:w="120" w:type="dxa"/>
              <w:bottom w:w="100" w:type="dxa"/>
              <w:end w:w="120" w:type="dxa"/>
            </w:tcMar>
          </w:tcPr>
          <w:p>
            <w:pPr>
              <w:spacing w:after="0"/>
            </w:pPr>
            <w:r>
              <w:rPr>
                <w:color w:val="102130"/>
                <w:sz w:val="17"/>
              </w:rPr>
              <w:t>cost_records, cost_versions, cost_lines, cost_categories, cost_allocations, cost_evidence</w:t>
            </w:r>
          </w:p>
        </w:tc>
      </w:tr>
      <w:tr>
        <w:tc>
          <w:tcPr>
            <w:tcW w:type="dxa" w:w="2015"/>
            <w:vAlign w:val="center"/>
            <w:tcMar>
              <w:top w:w="100" w:type="dxa"/>
              <w:start w:w="120" w:type="dxa"/>
              <w:bottom w:w="100" w:type="dxa"/>
              <w:end w:w="120" w:type="dxa"/>
            </w:tcMar>
          </w:tcPr>
          <w:p>
            <w:pPr>
              <w:spacing w:after="0"/>
            </w:pPr>
            <w:r>
              <w:rPr>
                <w:color w:val="102130"/>
                <w:sz w:val="17"/>
              </w:rPr>
              <w:t>Reference</w:t>
            </w:r>
          </w:p>
        </w:tc>
        <w:tc>
          <w:tcPr>
            <w:tcW w:type="dxa" w:w="7343"/>
            <w:vAlign w:val="center"/>
            <w:tcMar>
              <w:top w:w="100" w:type="dxa"/>
              <w:start w:w="120" w:type="dxa"/>
              <w:bottom w:w="100" w:type="dxa"/>
              <w:end w:w="120" w:type="dxa"/>
            </w:tcMar>
          </w:tcPr>
          <w:p>
            <w:pPr>
              <w:spacing w:after="0"/>
            </w:pPr>
            <w:r>
              <w:rPr>
                <w:color w:val="102130"/>
                <w:sz w:val="17"/>
              </w:rPr>
              <w:t>suppliers, vehicles, cost_centres, departments, accounting_periods, funding_codes</w:t>
            </w:r>
          </w:p>
        </w:tc>
      </w:tr>
      <w:tr>
        <w:tc>
          <w:tcPr>
            <w:tcW w:type="dxa" w:w="2015"/>
            <w:vAlign w:val="center"/>
            <w:shd w:fill="F5F7F9"/>
            <w:tcMar>
              <w:top w:w="100" w:type="dxa"/>
              <w:start w:w="120" w:type="dxa"/>
              <w:bottom w:w="100" w:type="dxa"/>
              <w:end w:w="120" w:type="dxa"/>
            </w:tcMar>
          </w:tcPr>
          <w:p>
            <w:pPr>
              <w:spacing w:after="0"/>
            </w:pPr>
            <w:r>
              <w:rPr>
                <w:color w:val="102130"/>
                <w:sz w:val="17"/>
              </w:rPr>
              <w:t>Imports</w:t>
            </w:r>
          </w:p>
        </w:tc>
        <w:tc>
          <w:tcPr>
            <w:tcW w:type="dxa" w:w="7343"/>
            <w:vAlign w:val="center"/>
            <w:shd w:fill="F5F7F9"/>
            <w:tcMar>
              <w:top w:w="100" w:type="dxa"/>
              <w:start w:w="120" w:type="dxa"/>
              <w:bottom w:w="100" w:type="dxa"/>
              <w:end w:w="120" w:type="dxa"/>
            </w:tcMar>
          </w:tcPr>
          <w:p>
            <w:pPr>
              <w:spacing w:after="0"/>
            </w:pPr>
            <w:r>
              <w:rPr>
                <w:color w:val="102130"/>
                <w:sz w:val="17"/>
              </w:rPr>
              <w:t>integration_connections, sync_runs, raw_import_records, staging_costs, import_mappings, quarantine_items</w:t>
            </w:r>
          </w:p>
        </w:tc>
      </w:tr>
      <w:tr>
        <w:tc>
          <w:tcPr>
            <w:tcW w:type="dxa" w:w="2015"/>
            <w:vAlign w:val="center"/>
            <w:tcMar>
              <w:top w:w="100" w:type="dxa"/>
              <w:start w:w="120" w:type="dxa"/>
              <w:bottom w:w="100" w:type="dxa"/>
              <w:end w:w="120" w:type="dxa"/>
            </w:tcMar>
          </w:tcPr>
          <w:p>
            <w:pPr>
              <w:spacing w:after="0"/>
            </w:pPr>
            <w:r>
              <w:rPr>
                <w:color w:val="102130"/>
                <w:sz w:val="17"/>
              </w:rPr>
              <w:t>Budgets</w:t>
            </w:r>
          </w:p>
        </w:tc>
        <w:tc>
          <w:tcPr>
            <w:tcW w:type="dxa" w:w="7343"/>
            <w:vAlign w:val="center"/>
            <w:tcMar>
              <w:top w:w="100" w:type="dxa"/>
              <w:start w:w="120" w:type="dxa"/>
              <w:bottom w:w="100" w:type="dxa"/>
              <w:end w:w="120" w:type="dxa"/>
            </w:tcMar>
          </w:tcPr>
          <w:p>
            <w:pPr>
              <w:spacing w:after="0"/>
            </w:pPr>
            <w:r>
              <w:rPr>
                <w:color w:val="102130"/>
                <w:sz w:val="17"/>
              </w:rPr>
              <w:t>budgets, budget_versions, budget_lines, budget_transfers, budget_change_requests</w:t>
            </w:r>
          </w:p>
        </w:tc>
      </w:tr>
      <w:tr>
        <w:tc>
          <w:tcPr>
            <w:tcW w:type="dxa" w:w="2015"/>
            <w:vAlign w:val="center"/>
            <w:shd w:fill="F5F7F9"/>
            <w:tcMar>
              <w:top w:w="100" w:type="dxa"/>
              <w:start w:w="120" w:type="dxa"/>
              <w:bottom w:w="100" w:type="dxa"/>
              <w:end w:w="120" w:type="dxa"/>
            </w:tcMar>
          </w:tcPr>
          <w:p>
            <w:pPr>
              <w:spacing w:after="0"/>
            </w:pPr>
            <w:r>
              <w:rPr>
                <w:color w:val="102130"/>
                <w:sz w:val="17"/>
              </w:rPr>
              <w:t>Forecasts</w:t>
            </w:r>
          </w:p>
        </w:tc>
        <w:tc>
          <w:tcPr>
            <w:tcW w:type="dxa" w:w="7343"/>
            <w:vAlign w:val="center"/>
            <w:shd w:fill="F5F7F9"/>
            <w:tcMar>
              <w:top w:w="100" w:type="dxa"/>
              <w:start w:w="120" w:type="dxa"/>
              <w:bottom w:w="100" w:type="dxa"/>
              <w:end w:w="120" w:type="dxa"/>
            </w:tcMar>
          </w:tcPr>
          <w:p>
            <w:pPr>
              <w:spacing w:after="0"/>
            </w:pPr>
            <w:r>
              <w:rPr>
                <w:color w:val="102130"/>
                <w:sz w:val="17"/>
              </w:rPr>
              <w:t>forecast_runs, forecast_versions, forecast_lines, recurring_rules, assumptions</w:t>
            </w:r>
          </w:p>
        </w:tc>
      </w:tr>
      <w:tr>
        <w:tc>
          <w:tcPr>
            <w:tcW w:type="dxa" w:w="2015"/>
            <w:vAlign w:val="center"/>
            <w:tcMar>
              <w:top w:w="100" w:type="dxa"/>
              <w:start w:w="120" w:type="dxa"/>
              <w:bottom w:w="100" w:type="dxa"/>
              <w:end w:w="120" w:type="dxa"/>
            </w:tcMar>
          </w:tcPr>
          <w:p>
            <w:pPr>
              <w:spacing w:after="0"/>
            </w:pPr>
            <w:r>
              <w:rPr>
                <w:color w:val="102130"/>
                <w:sz w:val="17"/>
              </w:rPr>
              <w:t>Control</w:t>
            </w:r>
          </w:p>
        </w:tc>
        <w:tc>
          <w:tcPr>
            <w:tcW w:type="dxa" w:w="7343"/>
            <w:vAlign w:val="center"/>
            <w:tcMar>
              <w:top w:w="100" w:type="dxa"/>
              <w:start w:w="120" w:type="dxa"/>
              <w:bottom w:w="100" w:type="dxa"/>
              <w:end w:w="120" w:type="dxa"/>
            </w:tcMar>
          </w:tcPr>
          <w:p>
            <w:pPr>
              <w:spacing w:after="0"/>
            </w:pPr>
            <w:r>
              <w:rPr>
                <w:color w:val="102130"/>
                <w:sz w:val="17"/>
              </w:rPr>
              <w:t>review_items, recommendations, approvals, approval_steps, actions, outcomes</w:t>
            </w:r>
          </w:p>
        </w:tc>
      </w:tr>
      <w:tr>
        <w:tc>
          <w:tcPr>
            <w:tcW w:type="dxa" w:w="2015"/>
            <w:vAlign w:val="center"/>
            <w:shd w:fill="F5F7F9"/>
            <w:tcMar>
              <w:top w:w="100" w:type="dxa"/>
              <w:start w:w="120" w:type="dxa"/>
              <w:bottom w:w="100" w:type="dxa"/>
              <w:end w:w="120" w:type="dxa"/>
            </w:tcMar>
          </w:tcPr>
          <w:p>
            <w:pPr>
              <w:spacing w:after="0"/>
            </w:pPr>
            <w:r>
              <w:rPr>
                <w:color w:val="102130"/>
                <w:sz w:val="17"/>
              </w:rPr>
              <w:t>Reporting</w:t>
            </w:r>
          </w:p>
        </w:tc>
        <w:tc>
          <w:tcPr>
            <w:tcW w:type="dxa" w:w="7343"/>
            <w:vAlign w:val="center"/>
            <w:shd w:fill="F5F7F9"/>
            <w:tcMar>
              <w:top w:w="100" w:type="dxa"/>
              <w:start w:w="120" w:type="dxa"/>
              <w:bottom w:w="100" w:type="dxa"/>
              <w:end w:w="120" w:type="dxa"/>
            </w:tcMar>
          </w:tcPr>
          <w:p>
            <w:pPr>
              <w:spacing w:after="0"/>
            </w:pPr>
            <w:r>
              <w:rPr>
                <w:color w:val="102130"/>
                <w:sz w:val="17"/>
              </w:rPr>
              <w:t>financial_snapshots, report_definitions, report_exports, report_schedules</w:t>
            </w:r>
          </w:p>
        </w:tc>
      </w:tr>
      <w:tr>
        <w:tc>
          <w:tcPr>
            <w:tcW w:type="dxa" w:w="2015"/>
            <w:vAlign w:val="center"/>
            <w:tcMar>
              <w:top w:w="100" w:type="dxa"/>
              <w:start w:w="120" w:type="dxa"/>
              <w:bottom w:w="100" w:type="dxa"/>
              <w:end w:w="120" w:type="dxa"/>
            </w:tcMar>
          </w:tcPr>
          <w:p>
            <w:pPr>
              <w:spacing w:after="0"/>
            </w:pPr>
            <w:r>
              <w:rPr>
                <w:color w:val="102130"/>
                <w:sz w:val="17"/>
              </w:rPr>
              <w:t>Audit</w:t>
            </w:r>
          </w:p>
        </w:tc>
        <w:tc>
          <w:tcPr>
            <w:tcW w:type="dxa" w:w="7343"/>
            <w:vAlign w:val="center"/>
            <w:tcMar>
              <w:top w:w="100" w:type="dxa"/>
              <w:start w:w="120" w:type="dxa"/>
              <w:bottom w:w="100" w:type="dxa"/>
              <w:end w:w="120" w:type="dxa"/>
            </w:tcMar>
          </w:tcPr>
          <w:p>
            <w:pPr>
              <w:spacing w:after="0"/>
            </w:pPr>
            <w:r>
              <w:rPr>
                <w:color w:val="102130"/>
                <w:sz w:val="17"/>
              </w:rPr>
              <w:t>audit_events, security_events and outbox_events</w:t>
            </w:r>
          </w:p>
        </w:tc>
      </w:tr>
    </w:tbl>
    <w:p>
      <w:pPr>
        <w:spacing w:after="0"/>
      </w:pPr>
    </w:p>
    <w:p>
      <w:pPr>
        <w:pStyle w:val="Heading2"/>
      </w:pPr>
      <w:r>
        <w:t>12.4 Cost-ledger transaction model</w:t>
      </w:r>
    </w:p>
    <w:p>
      <w:pPr>
        <w:spacing w:after="80" w:line="264" w:lineRule="auto"/>
        <w:ind w:left="720" w:hanging="360"/>
        <w:numPr>
          <w:ilvl w:val="0"/>
          <w:numId w:val="17"/>
        </w:numPr>
      </w:pPr>
      <w:r>
        <w:t>Begin one database transaction after raw source data has passed structural validation.</w:t>
      </w:r>
    </w:p>
    <w:p>
      <w:pPr>
        <w:spacing w:after="80" w:line="264" w:lineRule="auto"/>
        <w:ind w:left="720" w:hanging="360"/>
        <w:numPr>
          <w:ilvl w:val="0"/>
          <w:numId w:val="17"/>
        </w:numPr>
      </w:pPr>
      <w:r>
        <w:t>Acquire or verify the organisation and source-record idempotency key.</w:t>
      </w:r>
    </w:p>
    <w:p>
      <w:pPr>
        <w:spacing w:after="80" w:line="264" w:lineRule="auto"/>
        <w:ind w:left="720" w:hanging="360"/>
        <w:numPr>
          <w:ilvl w:val="0"/>
          <w:numId w:val="17"/>
        </w:numPr>
      </w:pPr>
      <w:r>
        <w:t>Create or update the stable cost record and append a new immutable cost version.</w:t>
      </w:r>
    </w:p>
    <w:p>
      <w:pPr>
        <w:spacing w:after="80" w:line="264" w:lineRule="auto"/>
        <w:ind w:left="720" w:hanging="360"/>
        <w:numPr>
          <w:ilvl w:val="0"/>
          <w:numId w:val="17"/>
        </w:numPr>
      </w:pPr>
      <w:r>
        <w:t>Write cost lines, evidence references and allocations against that version.</w:t>
      </w:r>
    </w:p>
    <w:p>
      <w:pPr>
        <w:spacing w:after="80" w:line="264" w:lineRule="auto"/>
        <w:ind w:left="720" w:hanging="360"/>
        <w:numPr>
          <w:ilvl w:val="0"/>
          <w:numId w:val="17"/>
        </w:numPr>
      </w:pPr>
      <w:r>
        <w:t>Validate that allocation amounts exactly equal the cost amount.</w:t>
      </w:r>
    </w:p>
    <w:p>
      <w:pPr>
        <w:spacing w:after="80" w:line="264" w:lineRule="auto"/>
        <w:ind w:left="720" w:hanging="360"/>
        <w:numPr>
          <w:ilvl w:val="0"/>
          <w:numId w:val="17"/>
        </w:numPr>
      </w:pPr>
      <w:r>
        <w:t>Write the audit event and outbox event inside the same database transaction.</w:t>
      </w:r>
    </w:p>
    <w:p>
      <w:pPr>
        <w:spacing w:after="80" w:line="264" w:lineRule="auto"/>
        <w:ind w:left="720" w:hanging="360"/>
        <w:numPr>
          <w:ilvl w:val="0"/>
          <w:numId w:val="17"/>
        </w:numPr>
      </w:pPr>
      <w:r>
        <w:t>Commit once; publish asynchronous work from the outbox after the transaction succeeds.</w:t>
      </w:r>
    </w:p>
    <w:p>
      <w:r>
        <w:t>The transactional outbox prevents a cost from being committed without the corresponding budget-recalculation or audit event. Consumers must remain idempotent because event delivery may occur more than once.</w:t>
      </w:r>
    </w:p>
    <w:p>
      <w:pPr>
        <w:pStyle w:val="Heading2"/>
      </w:pPr>
      <w:r>
        <w:t>12.5 API surface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0B1F33"/>
            <w:vAlign w:val="center"/>
            <w:tcMar>
              <w:top w:w="100" w:type="dxa"/>
              <w:start w:w="120" w:type="dxa"/>
              <w:bottom w:w="100" w:type="dxa"/>
              <w:end w:w="120" w:type="dxa"/>
            </w:tcMar>
          </w:tcPr>
          <w:p>
            <w:pPr>
              <w:spacing w:after="0"/>
            </w:pPr>
            <w:r>
              <w:rPr>
                <w:b/>
                <w:color w:val="FFFFFF"/>
                <w:sz w:val="16"/>
              </w:rPr>
              <w:t>API group</w:t>
            </w:r>
          </w:p>
        </w:tc>
        <w:tc>
          <w:tcPr>
            <w:tcW w:type="dxa" w:w="7416"/>
            <w:shd w:fill="0B1F33"/>
            <w:vAlign w:val="center"/>
            <w:tcMar>
              <w:top w:w="100" w:type="dxa"/>
              <w:start w:w="120" w:type="dxa"/>
              <w:bottom w:w="100" w:type="dxa"/>
              <w:end w:w="120" w:type="dxa"/>
            </w:tcMar>
          </w:tcPr>
          <w:p>
            <w:pPr>
              <w:spacing w:after="0"/>
            </w:pPr>
            <w:r>
              <w:rPr>
                <w:b/>
                <w:color w:val="FFFFFF"/>
                <w:sz w:val="16"/>
              </w:rPr>
              <w:t>Representative operations</w:t>
            </w:r>
          </w:p>
        </w:tc>
      </w:tr>
      <w:tr>
        <w:tc>
          <w:tcPr>
            <w:tcW w:type="dxa" w:w="1944"/>
            <w:vAlign w:val="center"/>
            <w:tcMar>
              <w:top w:w="100" w:type="dxa"/>
              <w:start w:w="120" w:type="dxa"/>
              <w:bottom w:w="100" w:type="dxa"/>
              <w:end w:w="120" w:type="dxa"/>
            </w:tcMar>
          </w:tcPr>
          <w:p>
            <w:pPr>
              <w:spacing w:after="0"/>
            </w:pPr>
            <w:r>
              <w:rPr>
                <w:color w:val="102130"/>
                <w:sz w:val="16"/>
              </w:rPr>
              <w:t>Session</w:t>
            </w:r>
          </w:p>
        </w:tc>
        <w:tc>
          <w:tcPr>
            <w:tcW w:type="dxa" w:w="7416"/>
            <w:vAlign w:val="center"/>
            <w:tcMar>
              <w:top w:w="100" w:type="dxa"/>
              <w:start w:w="120" w:type="dxa"/>
              <w:bottom w:w="100" w:type="dxa"/>
              <w:end w:w="120" w:type="dxa"/>
            </w:tcMar>
          </w:tcPr>
          <w:p>
            <w:pPr>
              <w:spacing w:after="0"/>
            </w:pPr>
            <w:r>
              <w:rPr>
                <w:color w:val="102130"/>
                <w:sz w:val="16"/>
              </w:rPr>
              <w:t>Sign in, sign out, refresh session, multi-factor challenge and current-user context</w:t>
            </w:r>
          </w:p>
        </w:tc>
      </w:tr>
      <w:tr>
        <w:tc>
          <w:tcPr>
            <w:tcW w:type="dxa" w:w="1944"/>
            <w:vAlign w:val="center"/>
            <w:shd w:fill="F5F7F9"/>
            <w:tcMar>
              <w:top w:w="100" w:type="dxa"/>
              <w:start w:w="120" w:type="dxa"/>
              <w:bottom w:w="100" w:type="dxa"/>
              <w:end w:w="120" w:type="dxa"/>
            </w:tcMar>
          </w:tcPr>
          <w:p>
            <w:pPr>
              <w:spacing w:after="0"/>
            </w:pPr>
            <w:r>
              <w:rPr>
                <w:color w:val="102130"/>
                <w:sz w:val="16"/>
              </w:rPr>
              <w:t>Organisations</w:t>
            </w:r>
          </w:p>
        </w:tc>
        <w:tc>
          <w:tcPr>
            <w:tcW w:type="dxa" w:w="7416"/>
            <w:vAlign w:val="center"/>
            <w:shd w:fill="F5F7F9"/>
            <w:tcMar>
              <w:top w:w="100" w:type="dxa"/>
              <w:start w:w="120" w:type="dxa"/>
              <w:bottom w:w="100" w:type="dxa"/>
              <w:end w:w="120" w:type="dxa"/>
            </w:tcMar>
          </w:tcPr>
          <w:p>
            <w:pPr>
              <w:spacing w:after="0"/>
            </w:pPr>
            <w:r>
              <w:rPr>
                <w:color w:val="102130"/>
                <w:sz w:val="16"/>
              </w:rPr>
              <w:t>Read organisation, switch context, list memberships and manage permitted settings</w:t>
            </w:r>
          </w:p>
        </w:tc>
      </w:tr>
      <w:tr>
        <w:tc>
          <w:tcPr>
            <w:tcW w:type="dxa" w:w="1944"/>
            <w:vAlign w:val="center"/>
            <w:tcMar>
              <w:top w:w="100" w:type="dxa"/>
              <w:start w:w="120" w:type="dxa"/>
              <w:bottom w:w="100" w:type="dxa"/>
              <w:end w:w="120" w:type="dxa"/>
            </w:tcMar>
          </w:tcPr>
          <w:p>
            <w:pPr>
              <w:spacing w:after="0"/>
            </w:pPr>
            <w:r>
              <w:rPr>
                <w:color w:val="102130"/>
                <w:sz w:val="16"/>
              </w:rPr>
              <w:t>Costs</w:t>
            </w:r>
          </w:p>
        </w:tc>
        <w:tc>
          <w:tcPr>
            <w:tcW w:type="dxa" w:w="7416"/>
            <w:vAlign w:val="center"/>
            <w:tcMar>
              <w:top w:w="100" w:type="dxa"/>
              <w:start w:w="120" w:type="dxa"/>
              <w:bottom w:w="100" w:type="dxa"/>
              <w:end w:w="120" w:type="dxa"/>
            </w:tcMar>
          </w:tcPr>
          <w:p>
            <w:pPr>
              <w:spacing w:after="0"/>
            </w:pPr>
            <w:r>
              <w:rPr>
                <w:color w:val="102130"/>
                <w:sz w:val="16"/>
              </w:rPr>
              <w:t>List, read, create manual draft, split, reclassify, submit correction and inspect versions</w:t>
            </w:r>
          </w:p>
        </w:tc>
      </w:tr>
      <w:tr>
        <w:tc>
          <w:tcPr>
            <w:tcW w:type="dxa" w:w="1944"/>
            <w:vAlign w:val="center"/>
            <w:shd w:fill="F5F7F9"/>
            <w:tcMar>
              <w:top w:w="100" w:type="dxa"/>
              <w:start w:w="120" w:type="dxa"/>
              <w:bottom w:w="100" w:type="dxa"/>
              <w:end w:w="120" w:type="dxa"/>
            </w:tcMar>
          </w:tcPr>
          <w:p>
            <w:pPr>
              <w:spacing w:after="0"/>
            </w:pPr>
            <w:r>
              <w:rPr>
                <w:color w:val="102130"/>
                <w:sz w:val="16"/>
              </w:rPr>
              <w:t>Evidence</w:t>
            </w:r>
          </w:p>
        </w:tc>
        <w:tc>
          <w:tcPr>
            <w:tcW w:type="dxa" w:w="7416"/>
            <w:vAlign w:val="center"/>
            <w:shd w:fill="F5F7F9"/>
            <w:tcMar>
              <w:top w:w="100" w:type="dxa"/>
              <w:start w:w="120" w:type="dxa"/>
              <w:bottom w:w="100" w:type="dxa"/>
              <w:end w:w="120" w:type="dxa"/>
            </w:tcMar>
          </w:tcPr>
          <w:p>
            <w:pPr>
              <w:spacing w:after="0"/>
            </w:pPr>
            <w:r>
              <w:rPr>
                <w:color w:val="102130"/>
                <w:sz w:val="16"/>
              </w:rPr>
              <w:t>Request secure upload, attach evidence, list metadata and obtain expiring download link</w:t>
            </w:r>
          </w:p>
        </w:tc>
      </w:tr>
      <w:tr>
        <w:tc>
          <w:tcPr>
            <w:tcW w:type="dxa" w:w="1944"/>
            <w:vAlign w:val="center"/>
            <w:tcMar>
              <w:top w:w="100" w:type="dxa"/>
              <w:start w:w="120" w:type="dxa"/>
              <w:bottom w:w="100" w:type="dxa"/>
              <w:end w:w="120" w:type="dxa"/>
            </w:tcMar>
          </w:tcPr>
          <w:p>
            <w:pPr>
              <w:spacing w:after="0"/>
            </w:pPr>
            <w:r>
              <w:rPr>
                <w:color w:val="102130"/>
                <w:sz w:val="16"/>
              </w:rPr>
              <w:t>Budgets</w:t>
            </w:r>
          </w:p>
        </w:tc>
        <w:tc>
          <w:tcPr>
            <w:tcW w:type="dxa" w:w="7416"/>
            <w:vAlign w:val="center"/>
            <w:tcMar>
              <w:top w:w="100" w:type="dxa"/>
              <w:start w:w="120" w:type="dxa"/>
              <w:bottom w:w="100" w:type="dxa"/>
              <w:end w:w="120" w:type="dxa"/>
            </w:tcMar>
          </w:tcPr>
          <w:p>
            <w:pPr>
              <w:spacing w:after="0"/>
            </w:pPr>
            <w:r>
              <w:rPr>
                <w:color w:val="102130"/>
                <w:sz w:val="16"/>
              </w:rPr>
              <w:t>List, read, create draft, submit change, approve change and compare versions</w:t>
            </w:r>
          </w:p>
        </w:tc>
      </w:tr>
      <w:tr>
        <w:tc>
          <w:tcPr>
            <w:tcW w:type="dxa" w:w="1944"/>
            <w:vAlign w:val="center"/>
            <w:shd w:fill="F5F7F9"/>
            <w:tcMar>
              <w:top w:w="100" w:type="dxa"/>
              <w:start w:w="120" w:type="dxa"/>
              <w:bottom w:w="100" w:type="dxa"/>
              <w:end w:w="120" w:type="dxa"/>
            </w:tcMar>
          </w:tcPr>
          <w:p>
            <w:pPr>
              <w:spacing w:after="0"/>
            </w:pPr>
            <w:r>
              <w:rPr>
                <w:color w:val="102130"/>
                <w:sz w:val="16"/>
              </w:rPr>
              <w:t>Forecasts</w:t>
            </w:r>
          </w:p>
        </w:tc>
        <w:tc>
          <w:tcPr>
            <w:tcW w:type="dxa" w:w="7416"/>
            <w:vAlign w:val="center"/>
            <w:shd w:fill="F5F7F9"/>
            <w:tcMar>
              <w:top w:w="100" w:type="dxa"/>
              <w:start w:w="120" w:type="dxa"/>
              <w:bottom w:w="100" w:type="dxa"/>
              <w:end w:w="120" w:type="dxa"/>
            </w:tcMar>
          </w:tcPr>
          <w:p>
            <w:pPr>
              <w:spacing w:after="0"/>
            </w:pPr>
            <w:r>
              <w:rPr>
                <w:color w:val="102130"/>
                <w:sz w:val="16"/>
              </w:rPr>
              <w:t>Run preview, publish version, compare versions and inspect assumptions</w:t>
            </w:r>
          </w:p>
        </w:tc>
      </w:tr>
      <w:tr>
        <w:tc>
          <w:tcPr>
            <w:tcW w:type="dxa" w:w="1944"/>
            <w:vAlign w:val="center"/>
            <w:tcMar>
              <w:top w:w="100" w:type="dxa"/>
              <w:start w:w="120" w:type="dxa"/>
              <w:bottom w:w="100" w:type="dxa"/>
              <w:end w:w="120" w:type="dxa"/>
            </w:tcMar>
          </w:tcPr>
          <w:p>
            <w:pPr>
              <w:spacing w:after="0"/>
            </w:pPr>
            <w:r>
              <w:rPr>
                <w:color w:val="102130"/>
                <w:sz w:val="16"/>
              </w:rPr>
              <w:t>Reviews</w:t>
            </w:r>
          </w:p>
        </w:tc>
        <w:tc>
          <w:tcPr>
            <w:tcW w:type="dxa" w:w="7416"/>
            <w:vAlign w:val="center"/>
            <w:tcMar>
              <w:top w:w="100" w:type="dxa"/>
              <w:start w:w="120" w:type="dxa"/>
              <w:bottom w:w="100" w:type="dxa"/>
              <w:end w:w="120" w:type="dxa"/>
            </w:tcMar>
          </w:tcPr>
          <w:p>
            <w:pPr>
              <w:spacing w:after="0"/>
            </w:pPr>
            <w:r>
              <w:rPr>
                <w:color w:val="102130"/>
                <w:sz w:val="16"/>
              </w:rPr>
              <w:t>List queue, assign, approve, reject, snooze, request evidence and record outcome</w:t>
            </w:r>
          </w:p>
        </w:tc>
      </w:tr>
      <w:tr>
        <w:tc>
          <w:tcPr>
            <w:tcW w:type="dxa" w:w="1944"/>
            <w:vAlign w:val="center"/>
            <w:shd w:fill="F5F7F9"/>
            <w:tcMar>
              <w:top w:w="100" w:type="dxa"/>
              <w:start w:w="120" w:type="dxa"/>
              <w:bottom w:w="100" w:type="dxa"/>
              <w:end w:w="120" w:type="dxa"/>
            </w:tcMar>
          </w:tcPr>
          <w:p>
            <w:pPr>
              <w:spacing w:after="0"/>
            </w:pPr>
            <w:r>
              <w:rPr>
                <w:color w:val="102130"/>
                <w:sz w:val="16"/>
              </w:rPr>
              <w:t>Imports</w:t>
            </w:r>
          </w:p>
        </w:tc>
        <w:tc>
          <w:tcPr>
            <w:tcW w:type="dxa" w:w="7416"/>
            <w:vAlign w:val="center"/>
            <w:shd w:fill="F5F7F9"/>
            <w:tcMar>
              <w:top w:w="100" w:type="dxa"/>
              <w:start w:w="120" w:type="dxa"/>
              <w:bottom w:w="100" w:type="dxa"/>
              <w:end w:w="120" w:type="dxa"/>
            </w:tcMar>
          </w:tcPr>
          <w:p>
            <w:pPr>
              <w:spacing w:after="0"/>
            </w:pPr>
            <w:r>
              <w:rPr>
                <w:color w:val="102130"/>
                <w:sz w:val="16"/>
              </w:rPr>
              <w:t>Create upload, preview mapping, confirm mapping, view sync, retry and resolve quarantine</w:t>
            </w:r>
          </w:p>
        </w:tc>
      </w:tr>
      <w:tr>
        <w:tc>
          <w:tcPr>
            <w:tcW w:type="dxa" w:w="1944"/>
            <w:vAlign w:val="center"/>
            <w:tcMar>
              <w:top w:w="100" w:type="dxa"/>
              <w:start w:w="120" w:type="dxa"/>
              <w:bottom w:w="100" w:type="dxa"/>
              <w:end w:w="120" w:type="dxa"/>
            </w:tcMar>
          </w:tcPr>
          <w:p>
            <w:pPr>
              <w:spacing w:after="0"/>
            </w:pPr>
            <w:r>
              <w:rPr>
                <w:color w:val="102130"/>
                <w:sz w:val="16"/>
              </w:rPr>
              <w:t>Reports</w:t>
            </w:r>
          </w:p>
        </w:tc>
        <w:tc>
          <w:tcPr>
            <w:tcW w:type="dxa" w:w="7416"/>
            <w:vAlign w:val="center"/>
            <w:tcMar>
              <w:top w:w="100" w:type="dxa"/>
              <w:start w:w="120" w:type="dxa"/>
              <w:bottom w:w="100" w:type="dxa"/>
              <w:end w:w="120" w:type="dxa"/>
            </w:tcMar>
          </w:tcPr>
          <w:p>
            <w:pPr>
              <w:spacing w:after="0"/>
            </w:pPr>
            <w:r>
              <w:rPr>
                <w:color w:val="102130"/>
                <w:sz w:val="16"/>
              </w:rPr>
              <w:t>Run report, inspect generation status, download export and manage schedules</w:t>
            </w:r>
          </w:p>
        </w:tc>
      </w:tr>
      <w:tr>
        <w:tc>
          <w:tcPr>
            <w:tcW w:type="dxa" w:w="1944"/>
            <w:vAlign w:val="center"/>
            <w:shd w:fill="F5F7F9"/>
            <w:tcMar>
              <w:top w:w="100" w:type="dxa"/>
              <w:start w:w="120" w:type="dxa"/>
              <w:bottom w:w="100" w:type="dxa"/>
              <w:end w:w="120" w:type="dxa"/>
            </w:tcMar>
          </w:tcPr>
          <w:p>
            <w:pPr>
              <w:spacing w:after="0"/>
            </w:pPr>
            <w:r>
              <w:rPr>
                <w:color w:val="102130"/>
                <w:sz w:val="16"/>
              </w:rPr>
              <w:t>Audit</w:t>
            </w:r>
          </w:p>
        </w:tc>
        <w:tc>
          <w:tcPr>
            <w:tcW w:type="dxa" w:w="7416"/>
            <w:vAlign w:val="center"/>
            <w:shd w:fill="F5F7F9"/>
            <w:tcMar>
              <w:top w:w="100" w:type="dxa"/>
              <w:start w:w="120" w:type="dxa"/>
              <w:bottom w:w="100" w:type="dxa"/>
              <w:end w:w="120" w:type="dxa"/>
            </w:tcMar>
          </w:tcPr>
          <w:p>
            <w:pPr>
              <w:spacing w:after="0"/>
            </w:pPr>
            <w:r>
              <w:rPr>
                <w:color w:val="102130"/>
                <w:sz w:val="16"/>
              </w:rPr>
              <w:t>Read permitted audit history and export an evidence package</w:t>
            </w:r>
          </w:p>
        </w:tc>
      </w:tr>
    </w:tbl>
    <w:p>
      <w:pPr>
        <w:spacing w:after="0"/>
      </w:pPr>
    </w:p>
    <w:p>
      <w:pPr>
        <w:pStyle w:val="Heading3"/>
      </w:pPr>
      <w:r>
        <w:t>API contract rules</w:t>
      </w:r>
    </w:p>
    <w:p>
      <w:pPr>
        <w:pStyle w:val="ListBullet"/>
      </w:pPr>
      <w:r>
        <w:t>All organisation-scoped requests derive the tenant from authenticated membership, never from an unchecked client header.</w:t>
      </w:r>
    </w:p>
    <w:p>
      <w:pPr>
        <w:pStyle w:val="ListBullet"/>
      </w:pPr>
      <w:r>
        <w:t>Mutating endpoints accept an idempotency key and return the authoritative resulting version.</w:t>
      </w:r>
    </w:p>
    <w:p>
      <w:pPr>
        <w:pStyle w:val="ListBullet"/>
      </w:pPr>
      <w:r>
        <w:t>Amounts use explicit currency and string or integer representations that cannot lose precision.</w:t>
      </w:r>
    </w:p>
    <w:p>
      <w:pPr>
        <w:pStyle w:val="ListBullet"/>
      </w:pPr>
      <w:r>
        <w:t>Errors use stable codes, human-readable messages and field-level details.</w:t>
      </w:r>
    </w:p>
    <w:p>
      <w:pPr>
        <w:pStyle w:val="ListBullet"/>
      </w:pPr>
      <w:r>
        <w:t>List endpoints use cursor pagination and deterministic ordering.</w:t>
      </w:r>
    </w:p>
    <w:p>
      <w:pPr>
        <w:pStyle w:val="ListBullet"/>
      </w:pPr>
      <w:r>
        <w:t>Conditional updates use an expected version to prevent silent overwrites.</w:t>
      </w:r>
    </w:p>
    <w:p>
      <w:pPr>
        <w:pStyle w:val="ListBullet"/>
      </w:pPr>
      <w:r>
        <w:t>Consequential endpoints return an approval requirement rather than bypassing policy.</w:t>
      </w:r>
    </w:p>
    <w:p>
      <w:pPr>
        <w:pStyle w:val="Heading2"/>
      </w:pPr>
      <w:r>
        <w:t>12.6 Background jobs and event processing</w:t>
      </w:r>
    </w:p>
    <w:tbl>
      <w:tblPr>
        <w:tblStyle w:val="TableGrid"/>
        <w:tblW w:type="dxa" w:w="9360"/>
        <w:jc w:val="left"/>
        <w:tblLayout w:type="fixed"/>
        <w:tblLook w:firstColumn="1" w:firstRow="1" w:lastColumn="0" w:lastRow="0" w:noHBand="0" w:noVBand="1" w:val="04A0"/>
        <w:tblInd w:w="120" w:type="dxa"/>
      </w:tblPr>
      <w:tblGrid>
        <w:gridCol w:w="1872"/>
        <w:gridCol w:w="3096"/>
        <w:gridCol w:w="4392"/>
      </w:tblGrid>
      <w:tr>
        <w:trPr>
          <w:tblHeader w:val="true"/>
        </w:trPr>
        <w:tc>
          <w:tcPr>
            <w:tcW w:type="dxa" w:w="1872"/>
            <w:shd w:fill="0B1F33"/>
            <w:vAlign w:val="center"/>
            <w:tcMar>
              <w:top w:w="100" w:type="dxa"/>
              <w:start w:w="120" w:type="dxa"/>
              <w:bottom w:w="100" w:type="dxa"/>
              <w:end w:w="120" w:type="dxa"/>
            </w:tcMar>
          </w:tcPr>
          <w:p>
            <w:pPr>
              <w:spacing w:after="0"/>
            </w:pPr>
            <w:r>
              <w:rPr>
                <w:b/>
                <w:color w:val="FFFFFF"/>
                <w:sz w:val="16"/>
              </w:rPr>
              <w:t>Job</w:t>
            </w:r>
          </w:p>
        </w:tc>
        <w:tc>
          <w:tcPr>
            <w:tcW w:type="dxa" w:w="3096"/>
            <w:shd w:fill="0B1F33"/>
            <w:vAlign w:val="center"/>
            <w:tcMar>
              <w:top w:w="100" w:type="dxa"/>
              <w:start w:w="120" w:type="dxa"/>
              <w:bottom w:w="100" w:type="dxa"/>
              <w:end w:w="120" w:type="dxa"/>
            </w:tcMar>
          </w:tcPr>
          <w:p>
            <w:pPr>
              <w:spacing w:after="0"/>
            </w:pPr>
            <w:r>
              <w:rPr>
                <w:b/>
                <w:color w:val="FFFFFF"/>
                <w:sz w:val="16"/>
              </w:rPr>
              <w:t>Trigger</w:t>
            </w:r>
          </w:p>
        </w:tc>
        <w:tc>
          <w:tcPr>
            <w:tcW w:type="dxa" w:w="4392"/>
            <w:shd w:fill="0B1F33"/>
            <w:vAlign w:val="center"/>
            <w:tcMar>
              <w:top w:w="100" w:type="dxa"/>
              <w:start w:w="120" w:type="dxa"/>
              <w:bottom w:w="100" w:type="dxa"/>
              <w:end w:w="120" w:type="dxa"/>
            </w:tcMar>
          </w:tcPr>
          <w:p>
            <w:pPr>
              <w:spacing w:after="0"/>
            </w:pPr>
            <w:r>
              <w:rPr>
                <w:b/>
                <w:color w:val="FFFFFF"/>
                <w:sz w:val="16"/>
              </w:rPr>
              <w:t>Correctness requirement</w:t>
            </w:r>
          </w:p>
        </w:tc>
      </w:tr>
      <w:tr>
        <w:tc>
          <w:tcPr>
            <w:tcW w:type="dxa" w:w="1872"/>
            <w:vAlign w:val="center"/>
            <w:tcMar>
              <w:top w:w="100" w:type="dxa"/>
              <w:start w:w="120" w:type="dxa"/>
              <w:bottom w:w="100" w:type="dxa"/>
              <w:end w:w="120" w:type="dxa"/>
            </w:tcMar>
          </w:tcPr>
          <w:p>
            <w:pPr>
              <w:spacing w:after="0"/>
            </w:pPr>
            <w:r>
              <w:rPr>
                <w:color w:val="102130"/>
                <w:sz w:val="16"/>
              </w:rPr>
              <w:t>Import sync</w:t>
            </w:r>
          </w:p>
        </w:tc>
        <w:tc>
          <w:tcPr>
            <w:tcW w:type="dxa" w:w="3096"/>
            <w:vAlign w:val="center"/>
            <w:tcMar>
              <w:top w:w="100" w:type="dxa"/>
              <w:start w:w="120" w:type="dxa"/>
              <w:bottom w:w="100" w:type="dxa"/>
              <w:end w:w="120" w:type="dxa"/>
            </w:tcMar>
          </w:tcPr>
          <w:p>
            <w:pPr>
              <w:spacing w:after="0"/>
            </w:pPr>
            <w:r>
              <w:rPr>
                <w:color w:val="102130"/>
                <w:sz w:val="16"/>
              </w:rPr>
              <w:t>Schedule or authorised manual request</w:t>
            </w:r>
          </w:p>
        </w:tc>
        <w:tc>
          <w:tcPr>
            <w:tcW w:type="dxa" w:w="4392"/>
            <w:vAlign w:val="center"/>
            <w:tcMar>
              <w:top w:w="100" w:type="dxa"/>
              <w:start w:w="120" w:type="dxa"/>
              <w:bottom w:w="100" w:type="dxa"/>
              <w:end w:w="120" w:type="dxa"/>
            </w:tcMar>
          </w:tcPr>
          <w:p>
            <w:pPr>
              <w:spacing w:after="0"/>
            </w:pPr>
            <w:r>
              <w:rPr>
                <w:color w:val="102130"/>
                <w:sz w:val="16"/>
              </w:rPr>
              <w:t>Provider cursor, idempotent records and resumable batches</w:t>
            </w:r>
          </w:p>
        </w:tc>
      </w:tr>
      <w:tr>
        <w:tc>
          <w:tcPr>
            <w:tcW w:type="dxa" w:w="1872"/>
            <w:vAlign w:val="center"/>
            <w:shd w:fill="F5F7F9"/>
            <w:tcMar>
              <w:top w:w="100" w:type="dxa"/>
              <w:start w:w="120" w:type="dxa"/>
              <w:bottom w:w="100" w:type="dxa"/>
              <w:end w:w="120" w:type="dxa"/>
            </w:tcMar>
          </w:tcPr>
          <w:p>
            <w:pPr>
              <w:spacing w:after="0"/>
            </w:pPr>
            <w:r>
              <w:rPr>
                <w:color w:val="102130"/>
                <w:sz w:val="16"/>
              </w:rPr>
              <w:t>File parse</w:t>
            </w:r>
          </w:p>
        </w:tc>
        <w:tc>
          <w:tcPr>
            <w:tcW w:type="dxa" w:w="3096"/>
            <w:vAlign w:val="center"/>
            <w:shd w:fill="F5F7F9"/>
            <w:tcMar>
              <w:top w:w="100" w:type="dxa"/>
              <w:start w:w="120" w:type="dxa"/>
              <w:bottom w:w="100" w:type="dxa"/>
              <w:end w:w="120" w:type="dxa"/>
            </w:tcMar>
          </w:tcPr>
          <w:p>
            <w:pPr>
              <w:spacing w:after="0"/>
            </w:pPr>
            <w:r>
              <w:rPr>
                <w:color w:val="102130"/>
                <w:sz w:val="16"/>
              </w:rPr>
              <w:t>Completed secure upload</w:t>
            </w:r>
          </w:p>
        </w:tc>
        <w:tc>
          <w:tcPr>
            <w:tcW w:type="dxa" w:w="4392"/>
            <w:vAlign w:val="center"/>
            <w:shd w:fill="F5F7F9"/>
            <w:tcMar>
              <w:top w:w="100" w:type="dxa"/>
              <w:start w:w="120" w:type="dxa"/>
              <w:bottom w:w="100" w:type="dxa"/>
              <w:end w:w="120" w:type="dxa"/>
            </w:tcMar>
          </w:tcPr>
          <w:p>
            <w:pPr>
              <w:spacing w:after="0"/>
            </w:pPr>
            <w:r>
              <w:rPr>
                <w:color w:val="102130"/>
                <w:sz w:val="16"/>
              </w:rPr>
              <w:t>Checksum, parser version and quarantined invalid rows</w:t>
            </w:r>
          </w:p>
        </w:tc>
      </w:tr>
      <w:tr>
        <w:tc>
          <w:tcPr>
            <w:tcW w:type="dxa" w:w="1872"/>
            <w:vAlign w:val="center"/>
            <w:tcMar>
              <w:top w:w="100" w:type="dxa"/>
              <w:start w:w="120" w:type="dxa"/>
              <w:bottom w:w="100" w:type="dxa"/>
              <w:end w:w="120" w:type="dxa"/>
            </w:tcMar>
          </w:tcPr>
          <w:p>
            <w:pPr>
              <w:spacing w:after="0"/>
            </w:pPr>
            <w:r>
              <w:rPr>
                <w:color w:val="102130"/>
                <w:sz w:val="16"/>
              </w:rPr>
              <w:t>Reconciliation</w:t>
            </w:r>
          </w:p>
        </w:tc>
        <w:tc>
          <w:tcPr>
            <w:tcW w:type="dxa" w:w="3096"/>
            <w:vAlign w:val="center"/>
            <w:tcMar>
              <w:top w:w="100" w:type="dxa"/>
              <w:start w:w="120" w:type="dxa"/>
              <w:bottom w:w="100" w:type="dxa"/>
              <w:end w:w="120" w:type="dxa"/>
            </w:tcMar>
          </w:tcPr>
          <w:p>
            <w:pPr>
              <w:spacing w:after="0"/>
            </w:pPr>
            <w:r>
              <w:rPr>
                <w:color w:val="102130"/>
                <w:sz w:val="16"/>
              </w:rPr>
              <w:t>Validated staging batch</w:t>
            </w:r>
          </w:p>
        </w:tc>
        <w:tc>
          <w:tcPr>
            <w:tcW w:type="dxa" w:w="4392"/>
            <w:vAlign w:val="center"/>
            <w:tcMar>
              <w:top w:w="100" w:type="dxa"/>
              <w:start w:w="120" w:type="dxa"/>
              <w:bottom w:w="100" w:type="dxa"/>
              <w:end w:w="120" w:type="dxa"/>
            </w:tcMar>
          </w:tcPr>
          <w:p>
            <w:pPr>
              <w:spacing w:after="0"/>
            </w:pPr>
            <w:r>
              <w:rPr>
                <w:color w:val="102130"/>
                <w:sz w:val="16"/>
              </w:rPr>
              <w:t>Source totals must match before publication</w:t>
            </w:r>
          </w:p>
        </w:tc>
      </w:tr>
      <w:tr>
        <w:tc>
          <w:tcPr>
            <w:tcW w:type="dxa" w:w="1872"/>
            <w:vAlign w:val="center"/>
            <w:shd w:fill="F5F7F9"/>
            <w:tcMar>
              <w:top w:w="100" w:type="dxa"/>
              <w:start w:w="120" w:type="dxa"/>
              <w:bottom w:w="100" w:type="dxa"/>
              <w:end w:w="120" w:type="dxa"/>
            </w:tcMar>
          </w:tcPr>
          <w:p>
            <w:pPr>
              <w:spacing w:after="0"/>
            </w:pPr>
            <w:r>
              <w:rPr>
                <w:color w:val="102130"/>
                <w:sz w:val="16"/>
              </w:rPr>
              <w:t>Snapshot build</w:t>
            </w:r>
          </w:p>
        </w:tc>
        <w:tc>
          <w:tcPr>
            <w:tcW w:type="dxa" w:w="3096"/>
            <w:vAlign w:val="center"/>
            <w:shd w:fill="F5F7F9"/>
            <w:tcMar>
              <w:top w:w="100" w:type="dxa"/>
              <w:start w:w="120" w:type="dxa"/>
              <w:bottom w:w="100" w:type="dxa"/>
              <w:end w:w="120" w:type="dxa"/>
            </w:tcMar>
          </w:tcPr>
          <w:p>
            <w:pPr>
              <w:spacing w:after="0"/>
            </w:pPr>
            <w:r>
              <w:rPr>
                <w:color w:val="102130"/>
                <w:sz w:val="16"/>
              </w:rPr>
              <w:t>Ledger or budget change</w:t>
            </w:r>
          </w:p>
        </w:tc>
        <w:tc>
          <w:tcPr>
            <w:tcW w:type="dxa" w:w="4392"/>
            <w:vAlign w:val="center"/>
            <w:shd w:fill="F5F7F9"/>
            <w:tcMar>
              <w:top w:w="100" w:type="dxa"/>
              <w:start w:w="120" w:type="dxa"/>
              <w:bottom w:w="100" w:type="dxa"/>
              <w:end w:w="120" w:type="dxa"/>
            </w:tcMar>
          </w:tcPr>
          <w:p>
            <w:pPr>
              <w:spacing w:after="0"/>
            </w:pPr>
            <w:r>
              <w:rPr>
                <w:color w:val="102130"/>
                <w:sz w:val="16"/>
              </w:rPr>
              <w:t>Consistent transaction boundary and deterministic input set</w:t>
            </w:r>
          </w:p>
        </w:tc>
      </w:tr>
      <w:tr>
        <w:tc>
          <w:tcPr>
            <w:tcW w:type="dxa" w:w="1872"/>
            <w:vAlign w:val="center"/>
            <w:tcMar>
              <w:top w:w="100" w:type="dxa"/>
              <w:start w:w="120" w:type="dxa"/>
              <w:bottom w:w="100" w:type="dxa"/>
              <w:end w:w="120" w:type="dxa"/>
            </w:tcMar>
          </w:tcPr>
          <w:p>
            <w:pPr>
              <w:spacing w:after="0"/>
            </w:pPr>
            <w:r>
              <w:rPr>
                <w:color w:val="102130"/>
                <w:sz w:val="16"/>
              </w:rPr>
              <w:t>Forecast run</w:t>
            </w:r>
          </w:p>
        </w:tc>
        <w:tc>
          <w:tcPr>
            <w:tcW w:type="dxa" w:w="3096"/>
            <w:vAlign w:val="center"/>
            <w:tcMar>
              <w:top w:w="100" w:type="dxa"/>
              <w:start w:w="120" w:type="dxa"/>
              <w:bottom w:w="100" w:type="dxa"/>
              <w:end w:w="120" w:type="dxa"/>
            </w:tcMar>
          </w:tcPr>
          <w:p>
            <w:pPr>
              <w:spacing w:after="0"/>
            </w:pPr>
            <w:r>
              <w:rPr>
                <w:color w:val="102130"/>
                <w:sz w:val="16"/>
              </w:rPr>
              <w:t>New snapshot or changed assumption</w:t>
            </w:r>
          </w:p>
        </w:tc>
        <w:tc>
          <w:tcPr>
            <w:tcW w:type="dxa" w:w="4392"/>
            <w:vAlign w:val="center"/>
            <w:tcMar>
              <w:top w:w="100" w:type="dxa"/>
              <w:start w:w="120" w:type="dxa"/>
              <w:bottom w:w="100" w:type="dxa"/>
              <w:end w:w="120" w:type="dxa"/>
            </w:tcMar>
          </w:tcPr>
          <w:p>
            <w:pPr>
              <w:spacing w:after="0"/>
            </w:pPr>
            <w:r>
              <w:rPr>
                <w:color w:val="102130"/>
                <w:sz w:val="16"/>
              </w:rPr>
              <w:t>Pinned formula and assumption versions</w:t>
            </w:r>
          </w:p>
        </w:tc>
      </w:tr>
      <w:tr>
        <w:tc>
          <w:tcPr>
            <w:tcW w:type="dxa" w:w="1872"/>
            <w:vAlign w:val="center"/>
            <w:shd w:fill="F5F7F9"/>
            <w:tcMar>
              <w:top w:w="100" w:type="dxa"/>
              <w:start w:w="120" w:type="dxa"/>
              <w:bottom w:w="100" w:type="dxa"/>
              <w:end w:w="120" w:type="dxa"/>
            </w:tcMar>
          </w:tcPr>
          <w:p>
            <w:pPr>
              <w:spacing w:after="0"/>
            </w:pPr>
            <w:r>
              <w:rPr>
                <w:color w:val="102130"/>
                <w:sz w:val="16"/>
              </w:rPr>
              <w:t>Review detection</w:t>
            </w:r>
          </w:p>
        </w:tc>
        <w:tc>
          <w:tcPr>
            <w:tcW w:type="dxa" w:w="3096"/>
            <w:vAlign w:val="center"/>
            <w:shd w:fill="F5F7F9"/>
            <w:tcMar>
              <w:top w:w="100" w:type="dxa"/>
              <w:start w:w="120" w:type="dxa"/>
              <w:bottom w:w="100" w:type="dxa"/>
              <w:end w:w="120" w:type="dxa"/>
            </w:tcMar>
          </w:tcPr>
          <w:p>
            <w:pPr>
              <w:spacing w:after="0"/>
            </w:pPr>
            <w:r>
              <w:rPr>
                <w:color w:val="102130"/>
                <w:sz w:val="16"/>
              </w:rPr>
              <w:t>New published snapshot</w:t>
            </w:r>
          </w:p>
        </w:tc>
        <w:tc>
          <w:tcPr>
            <w:tcW w:type="dxa" w:w="4392"/>
            <w:vAlign w:val="center"/>
            <w:shd w:fill="F5F7F9"/>
            <w:tcMar>
              <w:top w:w="100" w:type="dxa"/>
              <w:start w:w="120" w:type="dxa"/>
              <w:bottom w:w="100" w:type="dxa"/>
              <w:end w:w="120" w:type="dxa"/>
            </w:tcMar>
          </w:tcPr>
          <w:p>
            <w:pPr>
              <w:spacing w:after="0"/>
            </w:pPr>
            <w:r>
              <w:rPr>
                <w:color w:val="102130"/>
                <w:sz w:val="16"/>
              </w:rPr>
              <w:t>Stable rules and deduplicated open review items</w:t>
            </w:r>
          </w:p>
        </w:tc>
      </w:tr>
      <w:tr>
        <w:tc>
          <w:tcPr>
            <w:tcW w:type="dxa" w:w="1872"/>
            <w:vAlign w:val="center"/>
            <w:tcMar>
              <w:top w:w="100" w:type="dxa"/>
              <w:start w:w="120" w:type="dxa"/>
              <w:bottom w:w="100" w:type="dxa"/>
              <w:end w:w="120" w:type="dxa"/>
            </w:tcMar>
          </w:tcPr>
          <w:p>
            <w:pPr>
              <w:spacing w:after="0"/>
            </w:pPr>
            <w:r>
              <w:rPr>
                <w:color w:val="102130"/>
                <w:sz w:val="16"/>
              </w:rPr>
              <w:t>Report generation</w:t>
            </w:r>
          </w:p>
        </w:tc>
        <w:tc>
          <w:tcPr>
            <w:tcW w:type="dxa" w:w="3096"/>
            <w:vAlign w:val="center"/>
            <w:tcMar>
              <w:top w:w="100" w:type="dxa"/>
              <w:start w:w="120" w:type="dxa"/>
              <w:bottom w:w="100" w:type="dxa"/>
              <w:end w:w="120" w:type="dxa"/>
            </w:tcMar>
          </w:tcPr>
          <w:p>
            <w:pPr>
              <w:spacing w:after="0"/>
            </w:pPr>
            <w:r>
              <w:rPr>
                <w:color w:val="102130"/>
                <w:sz w:val="16"/>
              </w:rPr>
              <w:t>User or schedule</w:t>
            </w:r>
          </w:p>
        </w:tc>
        <w:tc>
          <w:tcPr>
            <w:tcW w:type="dxa" w:w="4392"/>
            <w:vAlign w:val="center"/>
            <w:tcMar>
              <w:top w:w="100" w:type="dxa"/>
              <w:start w:w="120" w:type="dxa"/>
              <w:bottom w:w="100" w:type="dxa"/>
              <w:end w:w="120" w:type="dxa"/>
            </w:tcMar>
          </w:tcPr>
          <w:p>
            <w:pPr>
              <w:spacing w:after="0"/>
            </w:pPr>
            <w:r>
              <w:rPr>
                <w:color w:val="102130"/>
                <w:sz w:val="16"/>
              </w:rPr>
              <w:t>Pinned snapshot/version and immutable export metadata</w:t>
            </w:r>
          </w:p>
        </w:tc>
      </w:tr>
      <w:tr>
        <w:tc>
          <w:tcPr>
            <w:tcW w:type="dxa" w:w="1872"/>
            <w:vAlign w:val="center"/>
            <w:shd w:fill="F5F7F9"/>
            <w:tcMar>
              <w:top w:w="100" w:type="dxa"/>
              <w:start w:w="120" w:type="dxa"/>
              <w:bottom w:w="100" w:type="dxa"/>
              <w:end w:w="120" w:type="dxa"/>
            </w:tcMar>
          </w:tcPr>
          <w:p>
            <w:pPr>
              <w:spacing w:after="0"/>
            </w:pPr>
            <w:r>
              <w:rPr>
                <w:color w:val="102130"/>
                <w:sz w:val="16"/>
              </w:rPr>
              <w:t>Notification</w:t>
            </w:r>
          </w:p>
        </w:tc>
        <w:tc>
          <w:tcPr>
            <w:tcW w:type="dxa" w:w="3096"/>
            <w:vAlign w:val="center"/>
            <w:shd w:fill="F5F7F9"/>
            <w:tcMar>
              <w:top w:w="100" w:type="dxa"/>
              <w:start w:w="120" w:type="dxa"/>
              <w:bottom w:w="100" w:type="dxa"/>
              <w:end w:w="120" w:type="dxa"/>
            </w:tcMar>
          </w:tcPr>
          <w:p>
            <w:pPr>
              <w:spacing w:after="0"/>
            </w:pPr>
            <w:r>
              <w:rPr>
                <w:color w:val="102130"/>
                <w:sz w:val="16"/>
              </w:rPr>
              <w:t>Approved domain event</w:t>
            </w:r>
          </w:p>
        </w:tc>
        <w:tc>
          <w:tcPr>
            <w:tcW w:type="dxa" w:w="4392"/>
            <w:vAlign w:val="center"/>
            <w:shd w:fill="F5F7F9"/>
            <w:tcMar>
              <w:top w:w="100" w:type="dxa"/>
              <w:start w:w="120" w:type="dxa"/>
              <w:bottom w:w="100" w:type="dxa"/>
              <w:end w:w="120" w:type="dxa"/>
            </w:tcMar>
          </w:tcPr>
          <w:p>
            <w:pPr>
              <w:spacing w:after="0"/>
            </w:pPr>
            <w:r>
              <w:rPr>
                <w:color w:val="102130"/>
                <w:sz w:val="16"/>
              </w:rPr>
              <w:t>Recipient permission check and delivery status</w:t>
            </w:r>
          </w:p>
        </w:tc>
      </w:tr>
      <w:tr>
        <w:tc>
          <w:tcPr>
            <w:tcW w:type="dxa" w:w="1872"/>
            <w:vAlign w:val="center"/>
            <w:tcMar>
              <w:top w:w="100" w:type="dxa"/>
              <w:start w:w="120" w:type="dxa"/>
              <w:bottom w:w="100" w:type="dxa"/>
              <w:end w:w="120" w:type="dxa"/>
            </w:tcMar>
          </w:tcPr>
          <w:p>
            <w:pPr>
              <w:spacing w:after="0"/>
            </w:pPr>
            <w:r>
              <w:rPr>
                <w:color w:val="102130"/>
                <w:sz w:val="16"/>
              </w:rPr>
              <w:t>Retention</w:t>
            </w:r>
          </w:p>
        </w:tc>
        <w:tc>
          <w:tcPr>
            <w:tcW w:type="dxa" w:w="3096"/>
            <w:vAlign w:val="center"/>
            <w:tcMar>
              <w:top w:w="100" w:type="dxa"/>
              <w:start w:w="120" w:type="dxa"/>
              <w:bottom w:w="100" w:type="dxa"/>
              <w:end w:w="120" w:type="dxa"/>
            </w:tcMar>
          </w:tcPr>
          <w:p>
            <w:pPr>
              <w:spacing w:after="0"/>
            </w:pPr>
            <w:r>
              <w:rPr>
                <w:color w:val="102130"/>
                <w:sz w:val="16"/>
              </w:rPr>
              <w:t>Policy schedule</w:t>
            </w:r>
          </w:p>
        </w:tc>
        <w:tc>
          <w:tcPr>
            <w:tcW w:type="dxa" w:w="4392"/>
            <w:vAlign w:val="center"/>
            <w:tcMar>
              <w:top w:w="100" w:type="dxa"/>
              <w:start w:w="120" w:type="dxa"/>
              <w:bottom w:w="100" w:type="dxa"/>
              <w:end w:w="120" w:type="dxa"/>
            </w:tcMar>
          </w:tcPr>
          <w:p>
            <w:pPr>
              <w:spacing w:after="0"/>
            </w:pPr>
            <w:r>
              <w:rPr>
                <w:color w:val="102130"/>
                <w:sz w:val="16"/>
              </w:rPr>
              <w:t>Legal holds, audit preservation and deletion evidence</w:t>
            </w:r>
          </w:p>
        </w:tc>
      </w:tr>
    </w:tbl>
    <w:p>
      <w:pPr>
        <w:spacing w:after="0"/>
      </w:pPr>
    </w:p>
    <w:p>
      <w:pPr>
        <w:pStyle w:val="Heading2"/>
      </w:pPr>
      <w:r>
        <w:t>12.7 Domain events</w:t>
      </w:r>
    </w:p>
    <w:p>
      <w:pPr>
        <w:pStyle w:val="ListBullet"/>
      </w:pPr>
      <w:r>
        <w:t>cost.imported</w:t>
      </w:r>
    </w:p>
    <w:p>
      <w:pPr>
        <w:pStyle w:val="ListBullet"/>
      </w:pPr>
      <w:r>
        <w:t>cost.validated</w:t>
      </w:r>
    </w:p>
    <w:p>
      <w:pPr>
        <w:pStyle w:val="ListBullet"/>
      </w:pPr>
      <w:r>
        <w:t>cost.quarantined</w:t>
      </w:r>
    </w:p>
    <w:p>
      <w:pPr>
        <w:pStyle w:val="ListBullet"/>
      </w:pPr>
      <w:r>
        <w:t>cost.corrected</w:t>
      </w:r>
    </w:p>
    <w:p>
      <w:pPr>
        <w:pStyle w:val="ListBullet"/>
      </w:pPr>
      <w:r>
        <w:t>cost.status_changed</w:t>
      </w:r>
    </w:p>
    <w:p>
      <w:pPr>
        <w:pStyle w:val="ListBullet"/>
      </w:pPr>
      <w:r>
        <w:t>commitment.converted</w:t>
      </w:r>
    </w:p>
    <w:p>
      <w:pPr>
        <w:pStyle w:val="ListBullet"/>
      </w:pPr>
      <w:r>
        <w:t>budget.version_approved</w:t>
      </w:r>
    </w:p>
    <w:p>
      <w:pPr>
        <w:pStyle w:val="ListBullet"/>
      </w:pPr>
      <w:r>
        <w:t>snapshot.published</w:t>
      </w:r>
    </w:p>
    <w:p>
      <w:pPr>
        <w:pStyle w:val="ListBullet"/>
      </w:pPr>
      <w:r>
        <w:t>forecast.published</w:t>
      </w:r>
    </w:p>
    <w:p>
      <w:pPr>
        <w:pStyle w:val="ListBullet"/>
      </w:pPr>
      <w:r>
        <w:t>review.created</w:t>
      </w:r>
    </w:p>
    <w:p>
      <w:pPr>
        <w:pStyle w:val="ListBullet"/>
      </w:pPr>
      <w:r>
        <w:t>approval.completed</w:t>
      </w:r>
    </w:p>
    <w:p>
      <w:pPr>
        <w:pStyle w:val="ListBullet"/>
      </w:pPr>
      <w:r>
        <w:t>report.generated</w:t>
      </w:r>
    </w:p>
    <w:p>
      <w:pPr>
        <w:pStyle w:val="ListBullet"/>
      </w:pPr>
      <w:r>
        <w:t>integration.degraded</w:t>
      </w:r>
    </w:p>
    <w:p>
      <w:r>
        <w:t>Events contain identifiers and version references rather than unrestricted sensitive payloads. Consumers fetch authorised detail when needed. Event schemas are versioned and backward-compatible.</w:t>
      </w:r>
    </w:p>
    <w:p>
      <w:pPr>
        <w:pStyle w:val="Heading2"/>
      </w:pPr>
      <w:r>
        <w:t>12.8 Validation and financial rules service</w:t>
      </w:r>
    </w:p>
    <w:p>
      <w:pPr>
        <w:pStyle w:val="ListBullet"/>
      </w:pPr>
      <w:r>
        <w:t>Currency and rounding rules</w:t>
      </w:r>
    </w:p>
    <w:p>
      <w:pPr>
        <w:pStyle w:val="ListBullet"/>
      </w:pPr>
      <w:r>
        <w:t>VAT and gross/net consistency</w:t>
      </w:r>
    </w:p>
    <w:p>
      <w:pPr>
        <w:pStyle w:val="ListBullet"/>
      </w:pPr>
      <w:r>
        <w:t>Actual, committed, forecast and estimated status transitions</w:t>
      </w:r>
    </w:p>
    <w:p>
      <w:pPr>
        <w:pStyle w:val="ListBullet"/>
      </w:pPr>
      <w:r>
        <w:t>Duplicate detection and provider idempotency</w:t>
      </w:r>
    </w:p>
    <w:p>
      <w:pPr>
        <w:pStyle w:val="ListBullet"/>
      </w:pPr>
      <w:r>
        <w:t>Allocation equality and permitted allocation dimensions</w:t>
      </w:r>
    </w:p>
    <w:p>
      <w:pPr>
        <w:pStyle w:val="ListBullet"/>
      </w:pPr>
      <w:r>
        <w:t>Accounting-period openness</w:t>
      </w:r>
    </w:p>
    <w:p>
      <w:pPr>
        <w:pStyle w:val="ListBullet"/>
      </w:pPr>
      <w:r>
        <w:t>Budget ownership and approval threshold</w:t>
      </w:r>
    </w:p>
    <w:p>
      <w:pPr>
        <w:pStyle w:val="ListBullet"/>
      </w:pPr>
      <w:r>
        <w:t>Commitment-to-actual conversion</w:t>
      </w:r>
    </w:p>
    <w:p>
      <w:pPr>
        <w:pStyle w:val="ListBullet"/>
      </w:pPr>
      <w:r>
        <w:t>Formula-version selection</w:t>
      </w:r>
    </w:p>
    <w:p>
      <w:r>
        <w:t>Rules should be pure, deterministic functions where possible. Each calculation stores the rule-set version so historical results remain reproducible after future rule changes.</w:t>
      </w:r>
    </w:p>
    <w:p>
      <w:pPr>
        <w:pStyle w:val="Heading2"/>
      </w:pPr>
      <w:r>
        <w:t>12.9 Integration adapter contract</w:t>
      </w:r>
    </w:p>
    <w:p>
      <w:r>
        <w:t>Every external provider must sit behind a common adapter boundary. The domain layer should not contain Xero, bank or fuel-card-specific field names.</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0B1F33"/>
            <w:vAlign w:val="center"/>
            <w:tcMar>
              <w:top w:w="100" w:type="dxa"/>
              <w:start w:w="120" w:type="dxa"/>
              <w:bottom w:w="100" w:type="dxa"/>
              <w:end w:w="120" w:type="dxa"/>
            </w:tcMar>
          </w:tcPr>
          <w:p>
            <w:pPr>
              <w:spacing w:after="0"/>
            </w:pPr>
            <w:r>
              <w:rPr>
                <w:b/>
                <w:color w:val="FFFFFF"/>
                <w:sz w:val="17"/>
              </w:rPr>
              <w:t>Adapter capability</w:t>
            </w:r>
          </w:p>
        </w:tc>
        <w:tc>
          <w:tcPr>
            <w:tcW w:type="dxa" w:w="7200"/>
            <w:shd w:fill="0B1F33"/>
            <w:vAlign w:val="center"/>
            <w:tcMar>
              <w:top w:w="100" w:type="dxa"/>
              <w:start w:w="120" w:type="dxa"/>
              <w:bottom w:w="100" w:type="dxa"/>
              <w:end w:w="120" w:type="dxa"/>
            </w:tcMar>
          </w:tcPr>
          <w:p>
            <w:pPr>
              <w:spacing w:after="0"/>
            </w:pPr>
            <w:r>
              <w:rPr>
                <w:b/>
                <w:color w:val="FFFFFF"/>
                <w:sz w:val="17"/>
              </w:rPr>
              <w:t>Required behaviour</w:t>
            </w:r>
          </w:p>
        </w:tc>
      </w:tr>
      <w:tr>
        <w:tc>
          <w:tcPr>
            <w:tcW w:type="dxa" w:w="2160"/>
            <w:vAlign w:val="center"/>
            <w:tcMar>
              <w:top w:w="100" w:type="dxa"/>
              <w:start w:w="120" w:type="dxa"/>
              <w:bottom w:w="100" w:type="dxa"/>
              <w:end w:w="120" w:type="dxa"/>
            </w:tcMar>
          </w:tcPr>
          <w:p>
            <w:pPr>
              <w:spacing w:after="0"/>
            </w:pPr>
            <w:r>
              <w:rPr>
                <w:color w:val="102130"/>
                <w:sz w:val="17"/>
              </w:rPr>
              <w:t>Authorise</w:t>
            </w:r>
          </w:p>
        </w:tc>
        <w:tc>
          <w:tcPr>
            <w:tcW w:type="dxa" w:w="7200"/>
            <w:vAlign w:val="center"/>
            <w:tcMar>
              <w:top w:w="100" w:type="dxa"/>
              <w:start w:w="120" w:type="dxa"/>
              <w:bottom w:w="100" w:type="dxa"/>
              <w:end w:w="120" w:type="dxa"/>
            </w:tcMar>
          </w:tcPr>
          <w:p>
            <w:pPr>
              <w:spacing w:after="0"/>
            </w:pPr>
            <w:r>
              <w:rPr>
                <w:color w:val="102130"/>
                <w:sz w:val="17"/>
              </w:rPr>
              <w:t>Obtain and securely store the minimum provider permissions.</w:t>
            </w:r>
          </w:p>
        </w:tc>
      </w:tr>
      <w:tr>
        <w:tc>
          <w:tcPr>
            <w:tcW w:type="dxa" w:w="2160"/>
            <w:vAlign w:val="center"/>
            <w:shd w:fill="F5F7F9"/>
            <w:tcMar>
              <w:top w:w="100" w:type="dxa"/>
              <w:start w:w="120" w:type="dxa"/>
              <w:bottom w:w="100" w:type="dxa"/>
              <w:end w:w="120" w:type="dxa"/>
            </w:tcMar>
          </w:tcPr>
          <w:p>
            <w:pPr>
              <w:spacing w:after="0"/>
            </w:pPr>
            <w:r>
              <w:rPr>
                <w:color w:val="102130"/>
                <w:sz w:val="17"/>
              </w:rPr>
              <w:t>Refresh</w:t>
            </w:r>
          </w:p>
        </w:tc>
        <w:tc>
          <w:tcPr>
            <w:tcW w:type="dxa" w:w="7200"/>
            <w:vAlign w:val="center"/>
            <w:shd w:fill="F5F7F9"/>
            <w:tcMar>
              <w:top w:w="100" w:type="dxa"/>
              <w:start w:w="120" w:type="dxa"/>
              <w:bottom w:w="100" w:type="dxa"/>
              <w:end w:w="120" w:type="dxa"/>
            </w:tcMar>
          </w:tcPr>
          <w:p>
            <w:pPr>
              <w:spacing w:after="0"/>
            </w:pPr>
            <w:r>
              <w:rPr>
                <w:color w:val="102130"/>
                <w:sz w:val="17"/>
              </w:rPr>
              <w:t>Refresh credentials before expiry and surface reauthorisation requirements.</w:t>
            </w:r>
          </w:p>
        </w:tc>
      </w:tr>
      <w:tr>
        <w:tc>
          <w:tcPr>
            <w:tcW w:type="dxa" w:w="2160"/>
            <w:vAlign w:val="center"/>
            <w:tcMar>
              <w:top w:w="100" w:type="dxa"/>
              <w:start w:w="120" w:type="dxa"/>
              <w:bottom w:w="100" w:type="dxa"/>
              <w:end w:w="120" w:type="dxa"/>
            </w:tcMar>
          </w:tcPr>
          <w:p>
            <w:pPr>
              <w:spacing w:after="0"/>
            </w:pPr>
            <w:r>
              <w:rPr>
                <w:color w:val="102130"/>
                <w:sz w:val="17"/>
              </w:rPr>
              <w:t>Discover</w:t>
            </w:r>
          </w:p>
        </w:tc>
        <w:tc>
          <w:tcPr>
            <w:tcW w:type="dxa" w:w="7200"/>
            <w:vAlign w:val="center"/>
            <w:tcMar>
              <w:top w:w="100" w:type="dxa"/>
              <w:start w:w="120" w:type="dxa"/>
              <w:bottom w:w="100" w:type="dxa"/>
              <w:end w:w="120" w:type="dxa"/>
            </w:tcMar>
          </w:tcPr>
          <w:p>
            <w:pPr>
              <w:spacing w:after="0"/>
            </w:pPr>
            <w:r>
              <w:rPr>
                <w:color w:val="102130"/>
                <w:sz w:val="17"/>
              </w:rPr>
              <w:t>List accessible organisations, accounts or card programmes.</w:t>
            </w:r>
          </w:p>
        </w:tc>
      </w:tr>
      <w:tr>
        <w:tc>
          <w:tcPr>
            <w:tcW w:type="dxa" w:w="2160"/>
            <w:vAlign w:val="center"/>
            <w:shd w:fill="F5F7F9"/>
            <w:tcMar>
              <w:top w:w="100" w:type="dxa"/>
              <w:start w:w="120" w:type="dxa"/>
              <w:bottom w:w="100" w:type="dxa"/>
              <w:end w:w="120" w:type="dxa"/>
            </w:tcMar>
          </w:tcPr>
          <w:p>
            <w:pPr>
              <w:spacing w:after="0"/>
            </w:pPr>
            <w:r>
              <w:rPr>
                <w:color w:val="102130"/>
                <w:sz w:val="17"/>
              </w:rPr>
              <w:t>Sync</w:t>
            </w:r>
          </w:p>
        </w:tc>
        <w:tc>
          <w:tcPr>
            <w:tcW w:type="dxa" w:w="7200"/>
            <w:vAlign w:val="center"/>
            <w:shd w:fill="F5F7F9"/>
            <w:tcMar>
              <w:top w:w="100" w:type="dxa"/>
              <w:start w:w="120" w:type="dxa"/>
              <w:bottom w:w="100" w:type="dxa"/>
              <w:end w:w="120" w:type="dxa"/>
            </w:tcMar>
          </w:tcPr>
          <w:p>
            <w:pPr>
              <w:spacing w:after="0"/>
            </w:pPr>
            <w:r>
              <w:rPr>
                <w:color w:val="102130"/>
                <w:sz w:val="17"/>
              </w:rPr>
              <w:t>Read incrementally using provider cursors or time windows.</w:t>
            </w:r>
          </w:p>
        </w:tc>
      </w:tr>
      <w:tr>
        <w:tc>
          <w:tcPr>
            <w:tcW w:type="dxa" w:w="2160"/>
            <w:vAlign w:val="center"/>
            <w:tcMar>
              <w:top w:w="100" w:type="dxa"/>
              <w:start w:w="120" w:type="dxa"/>
              <w:bottom w:w="100" w:type="dxa"/>
              <w:end w:w="120" w:type="dxa"/>
            </w:tcMar>
          </w:tcPr>
          <w:p>
            <w:pPr>
              <w:spacing w:after="0"/>
            </w:pPr>
            <w:r>
              <w:rPr>
                <w:color w:val="102130"/>
                <w:sz w:val="17"/>
              </w:rPr>
              <w:t>Normalise</w:t>
            </w:r>
          </w:p>
        </w:tc>
        <w:tc>
          <w:tcPr>
            <w:tcW w:type="dxa" w:w="7200"/>
            <w:vAlign w:val="center"/>
            <w:tcMar>
              <w:top w:w="100" w:type="dxa"/>
              <w:start w:w="120" w:type="dxa"/>
              <w:bottom w:w="100" w:type="dxa"/>
              <w:end w:w="120" w:type="dxa"/>
            </w:tcMar>
          </w:tcPr>
          <w:p>
            <w:pPr>
              <w:spacing w:after="0"/>
            </w:pPr>
            <w:r>
              <w:rPr>
                <w:color w:val="102130"/>
                <w:sz w:val="17"/>
              </w:rPr>
              <w:t>Map provider data to the staging schema without losing the raw payload.</w:t>
            </w:r>
          </w:p>
        </w:tc>
      </w:tr>
      <w:tr>
        <w:tc>
          <w:tcPr>
            <w:tcW w:type="dxa" w:w="2160"/>
            <w:vAlign w:val="center"/>
            <w:shd w:fill="F5F7F9"/>
            <w:tcMar>
              <w:top w:w="100" w:type="dxa"/>
              <w:start w:w="120" w:type="dxa"/>
              <w:bottom w:w="100" w:type="dxa"/>
              <w:end w:w="120" w:type="dxa"/>
            </w:tcMar>
          </w:tcPr>
          <w:p>
            <w:pPr>
              <w:spacing w:after="0"/>
            </w:pPr>
            <w:r>
              <w:rPr>
                <w:color w:val="102130"/>
                <w:sz w:val="17"/>
              </w:rPr>
              <w:t>Rate limiting</w:t>
            </w:r>
          </w:p>
        </w:tc>
        <w:tc>
          <w:tcPr>
            <w:tcW w:type="dxa" w:w="7200"/>
            <w:vAlign w:val="center"/>
            <w:shd w:fill="F5F7F9"/>
            <w:tcMar>
              <w:top w:w="100" w:type="dxa"/>
              <w:start w:w="120" w:type="dxa"/>
              <w:bottom w:w="100" w:type="dxa"/>
              <w:end w:w="120" w:type="dxa"/>
            </w:tcMar>
          </w:tcPr>
          <w:p>
            <w:pPr>
              <w:spacing w:after="0"/>
            </w:pPr>
            <w:r>
              <w:rPr>
                <w:color w:val="102130"/>
                <w:sz w:val="17"/>
              </w:rPr>
              <w:t>Respect provider limits with bounded retry and jitter.</w:t>
            </w:r>
          </w:p>
        </w:tc>
      </w:tr>
      <w:tr>
        <w:tc>
          <w:tcPr>
            <w:tcW w:type="dxa" w:w="2160"/>
            <w:vAlign w:val="center"/>
            <w:tcMar>
              <w:top w:w="100" w:type="dxa"/>
              <w:start w:w="120" w:type="dxa"/>
              <w:bottom w:w="100" w:type="dxa"/>
              <w:end w:w="120" w:type="dxa"/>
            </w:tcMar>
          </w:tcPr>
          <w:p>
            <w:pPr>
              <w:spacing w:after="0"/>
            </w:pPr>
            <w:r>
              <w:rPr>
                <w:color w:val="102130"/>
                <w:sz w:val="17"/>
              </w:rPr>
              <w:t>Webhook</w:t>
            </w:r>
          </w:p>
        </w:tc>
        <w:tc>
          <w:tcPr>
            <w:tcW w:type="dxa" w:w="7200"/>
            <w:vAlign w:val="center"/>
            <w:tcMar>
              <w:top w:w="100" w:type="dxa"/>
              <w:start w:w="120" w:type="dxa"/>
              <w:bottom w:w="100" w:type="dxa"/>
              <w:end w:w="120" w:type="dxa"/>
            </w:tcMar>
          </w:tcPr>
          <w:p>
            <w:pPr>
              <w:spacing w:after="0"/>
            </w:pPr>
            <w:r>
              <w:rPr>
                <w:color w:val="102130"/>
                <w:sz w:val="17"/>
              </w:rPr>
              <w:t>Verify signature, store event and process idempotently.</w:t>
            </w:r>
          </w:p>
        </w:tc>
      </w:tr>
      <w:tr>
        <w:tc>
          <w:tcPr>
            <w:tcW w:type="dxa" w:w="2160"/>
            <w:vAlign w:val="center"/>
            <w:shd w:fill="F5F7F9"/>
            <w:tcMar>
              <w:top w:w="100" w:type="dxa"/>
              <w:start w:w="120" w:type="dxa"/>
              <w:bottom w:w="100" w:type="dxa"/>
              <w:end w:w="120" w:type="dxa"/>
            </w:tcMar>
          </w:tcPr>
          <w:p>
            <w:pPr>
              <w:spacing w:after="0"/>
            </w:pPr>
            <w:r>
              <w:rPr>
                <w:color w:val="102130"/>
                <w:sz w:val="17"/>
              </w:rPr>
              <w:t>Health</w:t>
            </w:r>
          </w:p>
        </w:tc>
        <w:tc>
          <w:tcPr>
            <w:tcW w:type="dxa" w:w="7200"/>
            <w:vAlign w:val="center"/>
            <w:shd w:fill="F5F7F9"/>
            <w:tcMar>
              <w:top w:w="100" w:type="dxa"/>
              <w:start w:w="120" w:type="dxa"/>
              <w:bottom w:w="100" w:type="dxa"/>
              <w:end w:w="120" w:type="dxa"/>
            </w:tcMar>
          </w:tcPr>
          <w:p>
            <w:pPr>
              <w:spacing w:after="0"/>
            </w:pPr>
            <w:r>
              <w:rPr>
                <w:color w:val="102130"/>
                <w:sz w:val="17"/>
              </w:rPr>
              <w:t>Expose last success, last error, cursor, lag and permission state.</w:t>
            </w:r>
          </w:p>
        </w:tc>
      </w:tr>
    </w:tbl>
    <w:p>
      <w:pPr>
        <w:spacing w:after="0"/>
      </w:pPr>
    </w:p>
    <w:p>
      <w:pPr>
        <w:pStyle w:val="Heading2"/>
      </w:pPr>
      <w:r>
        <w:t>12.10 Authentication and authorisation</w:t>
      </w:r>
    </w:p>
    <w:p>
      <w:pPr>
        <w:pStyle w:val="ListBullet"/>
      </w:pPr>
      <w:r>
        <w:t>Use a proven identity provider or security-reviewed authentication library.</w:t>
      </w:r>
    </w:p>
    <w:p>
      <w:pPr>
        <w:pStyle w:val="ListBullet"/>
      </w:pPr>
      <w:r>
        <w:t>Short-lived authenticated sessions with secure, HTTP-only and same-site cookies.</w:t>
      </w:r>
    </w:p>
    <w:p>
      <w:pPr>
        <w:pStyle w:val="ListBullet"/>
      </w:pPr>
      <w:r>
        <w:t>Multi-factor authentication for owners, finance managers and approvers.</w:t>
      </w:r>
    </w:p>
    <w:p>
      <w:pPr>
        <w:pStyle w:val="ListBullet"/>
      </w:pPr>
      <w:r>
        <w:t>Server-side organisation membership and permission evaluation on every request.</w:t>
      </w:r>
    </w:p>
    <w:p>
      <w:pPr>
        <w:pStyle w:val="ListBullet"/>
      </w:pPr>
      <w:r>
        <w:t>Step-up authentication for exports, connection changes and high-value approvals.</w:t>
      </w:r>
    </w:p>
    <w:p>
      <w:pPr>
        <w:pStyle w:val="ListBullet"/>
      </w:pPr>
      <w:r>
        <w:t>Approval policies support thresholds, categories and segregation of duties.</w:t>
      </w:r>
    </w:p>
    <w:p>
      <w:pPr>
        <w:pStyle w:val="ListBullet"/>
      </w:pPr>
      <w:r>
        <w:t>The person submitting a controlled change cannot approve it when policy requires separation.</w:t>
      </w:r>
    </w:p>
    <w:p>
      <w:pPr>
        <w:pStyle w:val="Heading2"/>
      </w:pPr>
      <w:r>
        <w:t>12.11 File and evidence storage</w:t>
      </w:r>
    </w:p>
    <w:p>
      <w:pPr>
        <w:pStyle w:val="ListBullet"/>
      </w:pPr>
      <w:r>
        <w:t>Use private encrypted object storage; never expose permanent public URLs.</w:t>
      </w:r>
    </w:p>
    <w:p>
      <w:pPr>
        <w:pStyle w:val="ListBullet"/>
      </w:pPr>
      <w:r>
        <w:t>Store checksum, media type, byte size, uploader, source and retention classification.</w:t>
      </w:r>
    </w:p>
    <w:p>
      <w:pPr>
        <w:pStyle w:val="ListBullet"/>
      </w:pPr>
      <w:r>
        <w:t>Scan uploads before parsing or download.</w:t>
      </w:r>
    </w:p>
    <w:p>
      <w:pPr>
        <w:pStyle w:val="ListBullet"/>
      </w:pPr>
      <w:r>
        <w:t>Generate short-lived signed upload and download URLs.</w:t>
      </w:r>
    </w:p>
    <w:p>
      <w:pPr>
        <w:pStyle w:val="ListBullet"/>
      </w:pPr>
      <w:r>
        <w:t>Link evidence to a specific cost version so a later correction does not rewrite historical evidence.</w:t>
      </w:r>
    </w:p>
    <w:p>
      <w:pPr>
        <w:pStyle w:val="ListBullet"/>
      </w:pPr>
      <w:r>
        <w:t>Preserve original source files independently from generated reports.</w:t>
      </w:r>
    </w:p>
    <w:p>
      <w:pPr>
        <w:pStyle w:val="Heading2"/>
      </w:pPr>
      <w:r>
        <w:t>12.12 Observability and operational controls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0B1F33"/>
            <w:vAlign w:val="center"/>
            <w:tcMar>
              <w:top w:w="100" w:type="dxa"/>
              <w:start w:w="120" w:type="dxa"/>
              <w:bottom w:w="100" w:type="dxa"/>
              <w:end w:w="120" w:type="dxa"/>
            </w:tcMar>
          </w:tcPr>
          <w:p>
            <w:pPr>
              <w:spacing w:after="0"/>
            </w:pPr>
            <w:r>
              <w:rPr>
                <w:b/>
                <w:color w:val="FFFFFF"/>
                <w:sz w:val="16"/>
              </w:rPr>
              <w:t>Area</w:t>
            </w:r>
          </w:p>
        </w:tc>
        <w:tc>
          <w:tcPr>
            <w:tcW w:type="dxa" w:w="7416"/>
            <w:shd w:fill="0B1F33"/>
            <w:vAlign w:val="center"/>
            <w:tcMar>
              <w:top w:w="100" w:type="dxa"/>
              <w:start w:w="120" w:type="dxa"/>
              <w:bottom w:w="100" w:type="dxa"/>
              <w:end w:w="120" w:type="dxa"/>
            </w:tcMar>
          </w:tcPr>
          <w:p>
            <w:pPr>
              <w:spacing w:after="0"/>
            </w:pPr>
            <w:r>
              <w:rPr>
                <w:b/>
                <w:color w:val="FFFFFF"/>
                <w:sz w:val="16"/>
              </w:rPr>
              <w:t>Required telemetry</w:t>
            </w:r>
          </w:p>
        </w:tc>
      </w:tr>
      <w:tr>
        <w:tc>
          <w:tcPr>
            <w:tcW w:type="dxa" w:w="1944"/>
            <w:vAlign w:val="center"/>
            <w:tcMar>
              <w:top w:w="100" w:type="dxa"/>
              <w:start w:w="120" w:type="dxa"/>
              <w:bottom w:w="100" w:type="dxa"/>
              <w:end w:w="120" w:type="dxa"/>
            </w:tcMar>
          </w:tcPr>
          <w:p>
            <w:pPr>
              <w:spacing w:after="0"/>
            </w:pPr>
            <w:r>
              <w:rPr>
                <w:color w:val="102130"/>
                <w:sz w:val="16"/>
              </w:rPr>
              <w:t>Requests</w:t>
            </w:r>
          </w:p>
        </w:tc>
        <w:tc>
          <w:tcPr>
            <w:tcW w:type="dxa" w:w="7416"/>
            <w:vAlign w:val="center"/>
            <w:tcMar>
              <w:top w:w="100" w:type="dxa"/>
              <w:start w:w="120" w:type="dxa"/>
              <w:bottom w:w="100" w:type="dxa"/>
              <w:end w:w="120" w:type="dxa"/>
            </w:tcMar>
          </w:tcPr>
          <w:p>
            <w:pPr>
              <w:spacing w:after="0"/>
            </w:pPr>
            <w:r>
              <w:rPr>
                <w:color w:val="102130"/>
                <w:sz w:val="16"/>
              </w:rPr>
              <w:t>Request ID, organisation-safe context, route, status, latency and error code</w:t>
            </w:r>
          </w:p>
        </w:tc>
      </w:tr>
      <w:tr>
        <w:tc>
          <w:tcPr>
            <w:tcW w:type="dxa" w:w="1944"/>
            <w:vAlign w:val="center"/>
            <w:shd w:fill="F5F7F9"/>
            <w:tcMar>
              <w:top w:w="100" w:type="dxa"/>
              <w:start w:w="120" w:type="dxa"/>
              <w:bottom w:w="100" w:type="dxa"/>
              <w:end w:w="120" w:type="dxa"/>
            </w:tcMar>
          </w:tcPr>
          <w:p>
            <w:pPr>
              <w:spacing w:after="0"/>
            </w:pPr>
            <w:r>
              <w:rPr>
                <w:color w:val="102130"/>
                <w:sz w:val="16"/>
              </w:rPr>
              <w:t>Imports</w:t>
            </w:r>
          </w:p>
        </w:tc>
        <w:tc>
          <w:tcPr>
            <w:tcW w:type="dxa" w:w="7416"/>
            <w:vAlign w:val="center"/>
            <w:shd w:fill="F5F7F9"/>
            <w:tcMar>
              <w:top w:w="100" w:type="dxa"/>
              <w:start w:w="120" w:type="dxa"/>
              <w:bottom w:w="100" w:type="dxa"/>
              <w:end w:w="120" w:type="dxa"/>
            </w:tcMar>
          </w:tcPr>
          <w:p>
            <w:pPr>
              <w:spacing w:after="0"/>
            </w:pPr>
            <w:r>
              <w:rPr>
                <w:color w:val="102130"/>
                <w:sz w:val="16"/>
              </w:rPr>
              <w:t>Provider, cursor, rows read, rows accepted, rows quarantined and reconciliation difference</w:t>
            </w:r>
          </w:p>
        </w:tc>
      </w:tr>
      <w:tr>
        <w:tc>
          <w:tcPr>
            <w:tcW w:type="dxa" w:w="1944"/>
            <w:vAlign w:val="center"/>
            <w:tcMar>
              <w:top w:w="100" w:type="dxa"/>
              <w:start w:w="120" w:type="dxa"/>
              <w:bottom w:w="100" w:type="dxa"/>
              <w:end w:w="120" w:type="dxa"/>
            </w:tcMar>
          </w:tcPr>
          <w:p>
            <w:pPr>
              <w:spacing w:after="0"/>
            </w:pPr>
            <w:r>
              <w:rPr>
                <w:color w:val="102130"/>
                <w:sz w:val="16"/>
              </w:rPr>
              <w:t>Calculations</w:t>
            </w:r>
          </w:p>
        </w:tc>
        <w:tc>
          <w:tcPr>
            <w:tcW w:type="dxa" w:w="7416"/>
            <w:vAlign w:val="center"/>
            <w:tcMar>
              <w:top w:w="100" w:type="dxa"/>
              <w:start w:w="120" w:type="dxa"/>
              <w:bottom w:w="100" w:type="dxa"/>
              <w:end w:w="120" w:type="dxa"/>
            </w:tcMar>
          </w:tcPr>
          <w:p>
            <w:pPr>
              <w:spacing w:after="0"/>
            </w:pPr>
            <w:r>
              <w:rPr>
                <w:color w:val="102130"/>
                <w:sz w:val="16"/>
              </w:rPr>
              <w:t>Calculation ID, snapshot, formula version, duration and consistency result</w:t>
            </w:r>
          </w:p>
        </w:tc>
      </w:tr>
      <w:tr>
        <w:tc>
          <w:tcPr>
            <w:tcW w:type="dxa" w:w="1944"/>
            <w:vAlign w:val="center"/>
            <w:shd w:fill="F5F7F9"/>
            <w:tcMar>
              <w:top w:w="100" w:type="dxa"/>
              <w:start w:w="120" w:type="dxa"/>
              <w:bottom w:w="100" w:type="dxa"/>
              <w:end w:w="120" w:type="dxa"/>
            </w:tcMar>
          </w:tcPr>
          <w:p>
            <w:pPr>
              <w:spacing w:after="0"/>
            </w:pPr>
            <w:r>
              <w:rPr>
                <w:color w:val="102130"/>
                <w:sz w:val="16"/>
              </w:rPr>
              <w:t>Jobs</w:t>
            </w:r>
          </w:p>
        </w:tc>
        <w:tc>
          <w:tcPr>
            <w:tcW w:type="dxa" w:w="7416"/>
            <w:vAlign w:val="center"/>
            <w:shd w:fill="F5F7F9"/>
            <w:tcMar>
              <w:top w:w="100" w:type="dxa"/>
              <w:start w:w="120" w:type="dxa"/>
              <w:bottom w:w="100" w:type="dxa"/>
              <w:end w:w="120" w:type="dxa"/>
            </w:tcMar>
          </w:tcPr>
          <w:p>
            <w:pPr>
              <w:spacing w:after="0"/>
            </w:pPr>
            <w:r>
              <w:rPr>
                <w:color w:val="102130"/>
                <w:sz w:val="16"/>
              </w:rPr>
              <w:t>Queue delay, attempt, completion, failure, dead-letter and idempotency outcome</w:t>
            </w:r>
          </w:p>
        </w:tc>
      </w:tr>
      <w:tr>
        <w:tc>
          <w:tcPr>
            <w:tcW w:type="dxa" w:w="1944"/>
            <w:vAlign w:val="center"/>
            <w:tcMar>
              <w:top w:w="100" w:type="dxa"/>
              <w:start w:w="120" w:type="dxa"/>
              <w:bottom w:w="100" w:type="dxa"/>
              <w:end w:w="120" w:type="dxa"/>
            </w:tcMar>
          </w:tcPr>
          <w:p>
            <w:pPr>
              <w:spacing w:after="0"/>
            </w:pPr>
            <w:r>
              <w:rPr>
                <w:color w:val="102130"/>
                <w:sz w:val="16"/>
              </w:rPr>
              <w:t>Security</w:t>
            </w:r>
          </w:p>
        </w:tc>
        <w:tc>
          <w:tcPr>
            <w:tcW w:type="dxa" w:w="7416"/>
            <w:vAlign w:val="center"/>
            <w:tcMar>
              <w:top w:w="100" w:type="dxa"/>
              <w:start w:w="120" w:type="dxa"/>
              <w:bottom w:w="100" w:type="dxa"/>
              <w:end w:w="120" w:type="dxa"/>
            </w:tcMar>
          </w:tcPr>
          <w:p>
            <w:pPr>
              <w:spacing w:after="0"/>
            </w:pPr>
            <w:r>
              <w:rPr>
                <w:color w:val="102130"/>
                <w:sz w:val="16"/>
              </w:rPr>
              <w:t>Authentication changes, denied actions, exports, role changes and sensitive reads</w:t>
            </w:r>
          </w:p>
        </w:tc>
      </w:tr>
      <w:tr>
        <w:tc>
          <w:tcPr>
            <w:tcW w:type="dxa" w:w="1944"/>
            <w:vAlign w:val="center"/>
            <w:shd w:fill="F5F7F9"/>
            <w:tcMar>
              <w:top w:w="100" w:type="dxa"/>
              <w:start w:w="120" w:type="dxa"/>
              <w:bottom w:w="100" w:type="dxa"/>
              <w:end w:w="120" w:type="dxa"/>
            </w:tcMar>
          </w:tcPr>
          <w:p>
            <w:pPr>
              <w:spacing w:after="0"/>
            </w:pPr>
            <w:r>
              <w:rPr>
                <w:color w:val="102130"/>
                <w:sz w:val="16"/>
              </w:rPr>
              <w:t>Business health</w:t>
            </w:r>
          </w:p>
        </w:tc>
        <w:tc>
          <w:tcPr>
            <w:tcW w:type="dxa" w:w="7416"/>
            <w:vAlign w:val="center"/>
            <w:shd w:fill="F5F7F9"/>
            <w:tcMar>
              <w:top w:w="100" w:type="dxa"/>
              <w:start w:w="120" w:type="dxa"/>
              <w:bottom w:w="100" w:type="dxa"/>
              <w:end w:w="120" w:type="dxa"/>
            </w:tcMar>
          </w:tcPr>
          <w:p>
            <w:pPr>
              <w:spacing w:after="0"/>
            </w:pPr>
            <w:r>
              <w:rPr>
                <w:color w:val="102130"/>
                <w:sz w:val="16"/>
              </w:rPr>
              <w:t>Unallocated cost value, stale integrations, forecast age and open critical reviews</w:t>
            </w:r>
          </w:p>
        </w:tc>
      </w:tr>
    </w:tbl>
    <w:p>
      <w:pPr>
        <w:spacing w:after="0"/>
      </w:pPr>
    </w:p>
    <w:p>
      <w:r>
        <w:t>Logs must not contain full bank details, wage records, access tokens, source documents or unrestricted supplier information. Operational identifiers should permit investigation without exposing the underlying sensitive content.</w:t>
      </w:r>
    </w:p>
    <w:p>
      <w:pPr>
        <w:pStyle w:val="Heading2"/>
      </w:pPr>
      <w:r>
        <w:t>12.13 Deployment and environments</w:t>
      </w:r>
    </w:p>
    <w:p>
      <w:pPr>
        <w:pStyle w:val="ListBullet"/>
      </w:pPr>
      <w:r>
        <w:t>Separate development, staging and production accounts and databases.</w:t>
      </w:r>
    </w:p>
    <w:p>
      <w:pPr>
        <w:pStyle w:val="ListBullet"/>
      </w:pPr>
      <w:r>
        <w:t>Infrastructure defined through reviewed code.</w:t>
      </w:r>
    </w:p>
    <w:p>
      <w:pPr>
        <w:pStyle w:val="ListBullet"/>
      </w:pPr>
      <w:r>
        <w:t>Private database and object-storage access; public traffic terminates at a protected application edge.</w:t>
      </w:r>
    </w:p>
    <w:p>
      <w:pPr>
        <w:pStyle w:val="ListBullet"/>
      </w:pPr>
      <w:r>
        <w:t>Secrets stored in a managed secret service and rotated.</w:t>
      </w:r>
    </w:p>
    <w:p>
      <w:pPr>
        <w:pStyle w:val="ListBullet"/>
      </w:pPr>
      <w:r>
        <w:t>Automated migrations with forward and backward compatibility during rollout.</w:t>
      </w:r>
    </w:p>
    <w:p>
      <w:pPr>
        <w:pStyle w:val="ListBullet"/>
      </w:pPr>
      <w:r>
        <w:t>Feature flags for high-risk calculation or integration changes.</w:t>
      </w:r>
    </w:p>
    <w:p>
      <w:pPr>
        <w:pStyle w:val="ListBullet"/>
      </w:pPr>
      <w:r>
        <w:t>Blue/green or rolling deployments with health checks and rapid rollback.</w:t>
      </w:r>
    </w:p>
    <w:p>
      <w:pPr>
        <w:pStyle w:val="ListBullet"/>
      </w:pPr>
      <w:r>
        <w:t>Production data is never copied into lower environments without approved anonymisation.</w:t>
      </w:r>
    </w:p>
    <w:p>
      <w:pPr>
        <w:pStyle w:val="Heading2"/>
      </w:pPr>
      <w:r>
        <w:t>12.14 Backup, recovery and retention</w:t>
      </w:r>
    </w:p>
    <w:p>
      <w:pPr>
        <w:pStyle w:val="ListBullet"/>
      </w:pPr>
      <w:r>
        <w:t>Point-in-time database recovery and encrypted cross-location backups.</w:t>
      </w:r>
    </w:p>
    <w:p>
      <w:pPr>
        <w:pStyle w:val="ListBullet"/>
      </w:pPr>
      <w:r>
        <w:t>Object-storage versioning for evidence and imports.</w:t>
      </w:r>
    </w:p>
    <w:p>
      <w:pPr>
        <w:pStyle w:val="ListBullet"/>
      </w:pPr>
      <w:r>
        <w:t>Documented recovery time and recovery point objectives.</w:t>
      </w:r>
    </w:p>
    <w:p>
      <w:pPr>
        <w:pStyle w:val="ListBullet"/>
      </w:pPr>
      <w:r>
        <w:t>Routine restore tests, not merely successful backup jobs.</w:t>
      </w:r>
    </w:p>
    <w:p>
      <w:pPr>
        <w:pStyle w:val="ListBullet"/>
      </w:pPr>
      <w:r>
        <w:t>Retention policies by raw import, evidence, cost record, report and audit event.</w:t>
      </w:r>
    </w:p>
    <w:p>
      <w:pPr>
        <w:pStyle w:val="ListBullet"/>
      </w:pPr>
      <w:r>
        <w:t>Legal hold and investigation override before automated deletion.</w:t>
      </w:r>
    </w:p>
    <w:p>
      <w:pPr>
        <w:pStyle w:val="ListBullet"/>
      </w:pPr>
      <w:r>
        <w:t>Deletion produces an auditable record without retaining prohibited content.</w:t>
      </w:r>
    </w:p>
    <w:p>
      <w:pPr>
        <w:pStyle w:val="Heading2"/>
      </w:pPr>
      <w:r>
        <w:t>12.15 Initial service-level targets</w:t>
      </w:r>
    </w:p>
    <w:tbl>
      <w:tblPr>
        <w:tblStyle w:val="TableGrid"/>
        <w:tblW w:type="dxa" w:w="9360"/>
        <w:jc w:val="left"/>
        <w:tblLayout w:type="fixed"/>
        <w:tblLook w:firstColumn="1" w:firstRow="1" w:lastColumn="0" w:lastRow="0" w:noHBand="0" w:noVBand="1" w:val="04A0"/>
        <w:tblInd w:w="120" w:type="dxa"/>
      </w:tblPr>
      <w:tblGrid>
        <w:gridCol w:w="3240"/>
        <w:gridCol w:w="6120"/>
      </w:tblGrid>
      <w:tr>
        <w:trPr>
          <w:tblHeader w:val="true"/>
        </w:trPr>
        <w:tc>
          <w:tcPr>
            <w:tcW w:type="dxa" w:w="3240"/>
            <w:shd w:fill="0B1F33"/>
            <w:vAlign w:val="center"/>
            <w:tcMar>
              <w:top w:w="100" w:type="dxa"/>
              <w:start w:w="120" w:type="dxa"/>
              <w:bottom w:w="100" w:type="dxa"/>
              <w:end w:w="120" w:type="dxa"/>
            </w:tcMar>
          </w:tcPr>
          <w:p>
            <w:pPr>
              <w:spacing w:after="0"/>
            </w:pPr>
            <w:r>
              <w:rPr>
                <w:b/>
                <w:color w:val="FFFFFF"/>
                <w:sz w:val="17"/>
              </w:rPr>
              <w:t>Measure</w:t>
            </w:r>
          </w:p>
        </w:tc>
        <w:tc>
          <w:tcPr>
            <w:tcW w:type="dxa" w:w="6120"/>
            <w:shd w:fill="0B1F33"/>
            <w:vAlign w:val="center"/>
            <w:tcMar>
              <w:top w:w="100" w:type="dxa"/>
              <w:start w:w="120" w:type="dxa"/>
              <w:bottom w:w="100" w:type="dxa"/>
              <w:end w:w="120" w:type="dxa"/>
            </w:tcMar>
          </w:tcPr>
          <w:p>
            <w:pPr>
              <w:spacing w:after="0"/>
            </w:pPr>
            <w:r>
              <w:rPr>
                <w:b/>
                <w:color w:val="FFFFFF"/>
                <w:sz w:val="17"/>
              </w:rPr>
              <w:t>Initial target</w:t>
            </w:r>
          </w:p>
        </w:tc>
      </w:tr>
      <w:tr>
        <w:tc>
          <w:tcPr>
            <w:tcW w:type="dxa" w:w="3240"/>
            <w:vAlign w:val="center"/>
            <w:tcMar>
              <w:top w:w="100" w:type="dxa"/>
              <w:start w:w="120" w:type="dxa"/>
              <w:bottom w:w="100" w:type="dxa"/>
              <w:end w:w="120" w:type="dxa"/>
            </w:tcMar>
          </w:tcPr>
          <w:p>
            <w:pPr>
              <w:spacing w:after="0"/>
            </w:pPr>
            <w:r>
              <w:rPr>
                <w:color w:val="102130"/>
                <w:sz w:val="17"/>
              </w:rPr>
              <w:t>Interactive API availability</w:t>
            </w:r>
          </w:p>
        </w:tc>
        <w:tc>
          <w:tcPr>
            <w:tcW w:type="dxa" w:w="6120"/>
            <w:vAlign w:val="center"/>
            <w:tcMar>
              <w:top w:w="100" w:type="dxa"/>
              <w:start w:w="120" w:type="dxa"/>
              <w:bottom w:w="100" w:type="dxa"/>
              <w:end w:w="120" w:type="dxa"/>
            </w:tcMar>
          </w:tcPr>
          <w:p>
            <w:pPr>
              <w:spacing w:after="0"/>
            </w:pPr>
            <w:r>
              <w:rPr>
                <w:color w:val="102130"/>
                <w:sz w:val="17"/>
              </w:rPr>
              <w:t>99.9 percent monthly, excluding announced maintenance</w:t>
            </w:r>
          </w:p>
        </w:tc>
      </w:tr>
      <w:tr>
        <w:tc>
          <w:tcPr>
            <w:tcW w:type="dxa" w:w="3240"/>
            <w:vAlign w:val="center"/>
            <w:shd w:fill="F5F7F9"/>
            <w:tcMar>
              <w:top w:w="100" w:type="dxa"/>
              <w:start w:w="120" w:type="dxa"/>
              <w:bottom w:w="100" w:type="dxa"/>
              <w:end w:w="120" w:type="dxa"/>
            </w:tcMar>
          </w:tcPr>
          <w:p>
            <w:pPr>
              <w:spacing w:after="0"/>
            </w:pPr>
            <w:r>
              <w:rPr>
                <w:color w:val="102130"/>
                <w:sz w:val="17"/>
              </w:rPr>
              <w:t>Normal read latency</w:t>
            </w:r>
          </w:p>
        </w:tc>
        <w:tc>
          <w:tcPr>
            <w:tcW w:type="dxa" w:w="6120"/>
            <w:vAlign w:val="center"/>
            <w:shd w:fill="F5F7F9"/>
            <w:tcMar>
              <w:top w:w="100" w:type="dxa"/>
              <w:start w:w="120" w:type="dxa"/>
              <w:bottom w:w="100" w:type="dxa"/>
              <w:end w:w="120" w:type="dxa"/>
            </w:tcMar>
          </w:tcPr>
          <w:p>
            <w:pPr>
              <w:spacing w:after="0"/>
            </w:pPr>
            <w:r>
              <w:rPr>
                <w:color w:val="102130"/>
                <w:sz w:val="17"/>
              </w:rPr>
              <w:t>95th percentile below 500 ms for common authenticated reads</w:t>
            </w:r>
          </w:p>
        </w:tc>
      </w:tr>
      <w:tr>
        <w:tc>
          <w:tcPr>
            <w:tcW w:type="dxa" w:w="3240"/>
            <w:vAlign w:val="center"/>
            <w:tcMar>
              <w:top w:w="100" w:type="dxa"/>
              <w:start w:w="120" w:type="dxa"/>
              <w:bottom w:w="100" w:type="dxa"/>
              <w:end w:w="120" w:type="dxa"/>
            </w:tcMar>
          </w:tcPr>
          <w:p>
            <w:pPr>
              <w:spacing w:after="0"/>
            </w:pPr>
            <w:r>
              <w:rPr>
                <w:color w:val="102130"/>
                <w:sz w:val="17"/>
              </w:rPr>
              <w:t>Cost mutation latency</w:t>
            </w:r>
          </w:p>
        </w:tc>
        <w:tc>
          <w:tcPr>
            <w:tcW w:type="dxa" w:w="6120"/>
            <w:vAlign w:val="center"/>
            <w:tcMar>
              <w:top w:w="100" w:type="dxa"/>
              <w:start w:w="120" w:type="dxa"/>
              <w:bottom w:w="100" w:type="dxa"/>
              <w:end w:w="120" w:type="dxa"/>
            </w:tcMar>
          </w:tcPr>
          <w:p>
            <w:pPr>
              <w:spacing w:after="0"/>
            </w:pPr>
            <w:r>
              <w:rPr>
                <w:color w:val="102130"/>
                <w:sz w:val="17"/>
              </w:rPr>
              <w:t>95th percentile below 1 second, excluding external provider work</w:t>
            </w:r>
          </w:p>
        </w:tc>
      </w:tr>
      <w:tr>
        <w:tc>
          <w:tcPr>
            <w:tcW w:type="dxa" w:w="3240"/>
            <w:vAlign w:val="center"/>
            <w:shd w:fill="F5F7F9"/>
            <w:tcMar>
              <w:top w:w="100" w:type="dxa"/>
              <w:start w:w="120" w:type="dxa"/>
              <w:bottom w:w="100" w:type="dxa"/>
              <w:end w:w="120" w:type="dxa"/>
            </w:tcMar>
          </w:tcPr>
          <w:p>
            <w:pPr>
              <w:spacing w:after="0"/>
            </w:pPr>
            <w:r>
              <w:rPr>
                <w:color w:val="102130"/>
                <w:sz w:val="17"/>
              </w:rPr>
              <w:t>Forecast publication</w:t>
            </w:r>
          </w:p>
        </w:tc>
        <w:tc>
          <w:tcPr>
            <w:tcW w:type="dxa" w:w="6120"/>
            <w:vAlign w:val="center"/>
            <w:shd w:fill="F5F7F9"/>
            <w:tcMar>
              <w:top w:w="100" w:type="dxa"/>
              <w:start w:w="120" w:type="dxa"/>
              <w:bottom w:w="100" w:type="dxa"/>
              <w:end w:w="120" w:type="dxa"/>
            </w:tcMar>
          </w:tcPr>
          <w:p>
            <w:pPr>
              <w:spacing w:after="0"/>
            </w:pPr>
            <w:r>
              <w:rPr>
                <w:color w:val="102130"/>
                <w:sz w:val="17"/>
              </w:rPr>
              <w:t>Within 5 minutes of a normal validated snapshot</w:t>
            </w:r>
          </w:p>
        </w:tc>
      </w:tr>
      <w:tr>
        <w:tc>
          <w:tcPr>
            <w:tcW w:type="dxa" w:w="3240"/>
            <w:vAlign w:val="center"/>
            <w:tcMar>
              <w:top w:w="100" w:type="dxa"/>
              <w:start w:w="120" w:type="dxa"/>
              <w:bottom w:w="100" w:type="dxa"/>
              <w:end w:w="120" w:type="dxa"/>
            </w:tcMar>
          </w:tcPr>
          <w:p>
            <w:pPr>
              <w:spacing w:after="0"/>
            </w:pPr>
            <w:r>
              <w:rPr>
                <w:color w:val="102130"/>
                <w:sz w:val="17"/>
              </w:rPr>
              <w:t>Import freshness</w:t>
            </w:r>
          </w:p>
        </w:tc>
        <w:tc>
          <w:tcPr>
            <w:tcW w:type="dxa" w:w="6120"/>
            <w:vAlign w:val="center"/>
            <w:tcMar>
              <w:top w:w="100" w:type="dxa"/>
              <w:start w:w="120" w:type="dxa"/>
              <w:bottom w:w="100" w:type="dxa"/>
              <w:end w:w="120" w:type="dxa"/>
            </w:tcMar>
          </w:tcPr>
          <w:p>
            <w:pPr>
              <w:spacing w:after="0"/>
            </w:pPr>
            <w:r>
              <w:rPr>
                <w:color w:val="102130"/>
                <w:sz w:val="17"/>
              </w:rPr>
              <w:t>Provider-specific; visible last-success time and defined stale threshold</w:t>
            </w:r>
          </w:p>
        </w:tc>
      </w:tr>
      <w:tr>
        <w:tc>
          <w:tcPr>
            <w:tcW w:type="dxa" w:w="3240"/>
            <w:vAlign w:val="center"/>
            <w:shd w:fill="F5F7F9"/>
            <w:tcMar>
              <w:top w:w="100" w:type="dxa"/>
              <w:start w:w="120" w:type="dxa"/>
              <w:bottom w:w="100" w:type="dxa"/>
              <w:end w:w="120" w:type="dxa"/>
            </w:tcMar>
          </w:tcPr>
          <w:p>
            <w:pPr>
              <w:spacing w:after="0"/>
            </w:pPr>
            <w:r>
              <w:rPr>
                <w:color w:val="102130"/>
                <w:sz w:val="17"/>
              </w:rPr>
              <w:t>Recovery point</w:t>
            </w:r>
          </w:p>
        </w:tc>
        <w:tc>
          <w:tcPr>
            <w:tcW w:type="dxa" w:w="6120"/>
            <w:vAlign w:val="center"/>
            <w:shd w:fill="F5F7F9"/>
            <w:tcMar>
              <w:top w:w="100" w:type="dxa"/>
              <w:start w:w="120" w:type="dxa"/>
              <w:bottom w:w="100" w:type="dxa"/>
              <w:end w:w="120" w:type="dxa"/>
            </w:tcMar>
          </w:tcPr>
          <w:p>
            <w:pPr>
              <w:spacing w:after="0"/>
            </w:pPr>
            <w:r>
              <w:rPr>
                <w:color w:val="102130"/>
                <w:sz w:val="17"/>
              </w:rPr>
              <w:t>No more than 15 minutes for primary transactional data</w:t>
            </w:r>
          </w:p>
        </w:tc>
      </w:tr>
      <w:tr>
        <w:tc>
          <w:tcPr>
            <w:tcW w:type="dxa" w:w="3240"/>
            <w:vAlign w:val="center"/>
            <w:tcMar>
              <w:top w:w="100" w:type="dxa"/>
              <w:start w:w="120" w:type="dxa"/>
              <w:bottom w:w="100" w:type="dxa"/>
              <w:end w:w="120" w:type="dxa"/>
            </w:tcMar>
          </w:tcPr>
          <w:p>
            <w:pPr>
              <w:spacing w:after="0"/>
            </w:pPr>
            <w:r>
              <w:rPr>
                <w:color w:val="102130"/>
                <w:sz w:val="17"/>
              </w:rPr>
              <w:t>Recovery time</w:t>
            </w:r>
          </w:p>
        </w:tc>
        <w:tc>
          <w:tcPr>
            <w:tcW w:type="dxa" w:w="6120"/>
            <w:vAlign w:val="center"/>
            <w:tcMar>
              <w:top w:w="100" w:type="dxa"/>
              <w:start w:w="120" w:type="dxa"/>
              <w:bottom w:w="100" w:type="dxa"/>
              <w:end w:w="120" w:type="dxa"/>
            </w:tcMar>
          </w:tcPr>
          <w:p>
            <w:pPr>
              <w:spacing w:after="0"/>
            </w:pPr>
            <w:r>
              <w:rPr>
                <w:color w:val="102130"/>
                <w:sz w:val="17"/>
              </w:rPr>
              <w:t>Restore core read access within 4 hours for an initial production service</w:t>
            </w:r>
          </w:p>
        </w:tc>
      </w:tr>
    </w:tbl>
    <w:p>
      <w:pPr>
        <w:spacing w:after="0"/>
      </w:pPr>
    </w:p>
    <w:p>
      <w:r>
        <w:t>Targets are product requirements to validate during load and recovery testing. They are not customer commitments until operating evidence supports them.</w:t>
      </w:r>
    </w:p>
    <w:p>
      <w:r>
        <w:br w:type="page"/>
      </w:r>
    </w:p>
    <w:p>
      <w:pPr>
        <w:pStyle w:val="Heading2"/>
      </w:pPr>
      <w:r>
        <w:t>12.16 Detailed architecture diagram pack</w:t>
      </w:r>
    </w:p>
    <w:p>
      <w:r>
        <w:t>The following full-page diagrams provide the implementation-level workflows requested for engineering and product review. They use explicit processing stages, decision points, labelled branches and resulting system actions.</w:t>
      </w:r>
    </w:p>
    <w:p>
      <w:pPr>
        <w:keepNext/>
        <w:spacing w:before="160" w:after="80"/>
        <w:jc w:val="center"/>
      </w:pPr>
      <w:r>
        <w:drawing>
          <wp:inline xmlns:a="http://schemas.openxmlformats.org/drawingml/2006/main" xmlns:pic="http://schemas.openxmlformats.org/drawingml/2006/picture">
            <wp:extent cx="5897880" cy="5078730"/>
            <wp:docPr id="6" name="Picture 6" descr="Historical costs, recurring commitments, purchase orders, renewal dates and manual assumptions feed the cost forecast engine. Forecasts are broken down by month, category, vehicle, cost centre and budget, consolidated into projected final cost, compared with approved budget and routed to monitoring, warning or review outcomes."/>
            <wp:cNvGraphicFramePr>
              <a:graphicFrameLocks noChangeAspect="1"/>
            </wp:cNvGraphicFramePr>
            <a:graphic>
              <a:graphicData uri="http://schemas.openxmlformats.org/drawingml/2006/picture">
                <pic:pic>
                  <pic:nvPicPr>
                    <pic:cNvPr id="0" name="architecture-forecast-detailed.png"/>
                    <pic:cNvPicPr/>
                  </pic:nvPicPr>
                  <pic:blipFill>
                    <a:blip r:embed="rId16"/>
                    <a:stretch>
                      <a:fillRect/>
                    </a:stretch>
                  </pic:blipFill>
                  <pic:spPr>
                    <a:xfrm>
                      <a:off x="0" y="0"/>
                      <a:ext cx="5897880" cy="5078730"/>
                    </a:xfrm>
                    <a:prstGeom prst="rect"/>
                  </pic:spPr>
                </pic:pic>
              </a:graphicData>
            </a:graphic>
          </wp:inline>
        </w:drawing>
      </w:r>
    </w:p>
    <w:p>
      <w:pPr>
        <w:spacing w:before="0" w:after="200"/>
        <w:jc w:val="center"/>
      </w:pPr>
      <w:r>
        <w:rPr>
          <w:i/>
          <w:color w:val="5E6B75"/>
          <w:sz w:val="18"/>
        </w:rPr>
        <w:t>Figure 6. Detailed forecast architecture from cost inputs through budget-variance outcomes.</w:t>
      </w:r>
    </w:p>
    <w:p>
      <w:r>
        <w:br w:type="page"/>
      </w:r>
    </w:p>
    <w:p>
      <w:pPr>
        <w:keepNext/>
        <w:spacing w:before="160" w:after="80"/>
        <w:jc w:val="center"/>
      </w:pPr>
      <w:r>
        <w:drawing>
          <wp:inline xmlns:a="http://schemas.openxmlformats.org/drawingml/2006/main" xmlns:pic="http://schemas.openxmlformats.org/drawingml/2006/picture">
            <wp:extent cx="5897880" cy="4095750"/>
            <wp:docPr id="7" name="Picture 7" descr="Fuel cards, supplier invoices, bank feeds, payroll summaries and manual or recurring costs enter an immutable import. Records are validated and normalised. Invalid records go to quarantine; valid records reconcile and publish to the canonical ledger, snapshot, budgets and reports."/>
            <wp:cNvGraphicFramePr>
              <a:graphicFrameLocks noChangeAspect="1"/>
            </wp:cNvGraphicFramePr>
            <a:graphic>
              <a:graphicData uri="http://schemas.openxmlformats.org/drawingml/2006/picture">
                <pic:pic>
                  <pic:nvPicPr>
                    <pic:cNvPr id="0" name="architecture-ingestion-detailed.png"/>
                    <pic:cNvPicPr/>
                  </pic:nvPicPr>
                  <pic:blipFill>
                    <a:blip r:embed="rId17"/>
                    <a:stretch>
                      <a:fillRect/>
                    </a:stretch>
                  </pic:blipFill>
                  <pic:spPr>
                    <a:xfrm>
                      <a:off x="0" y="0"/>
                      <a:ext cx="5897880" cy="4095750"/>
                    </a:xfrm>
                    <a:prstGeom prst="rect"/>
                  </pic:spPr>
                </pic:pic>
              </a:graphicData>
            </a:graphic>
          </wp:inline>
        </w:drawing>
      </w:r>
    </w:p>
    <w:p>
      <w:pPr>
        <w:spacing w:before="0" w:after="200"/>
        <w:jc w:val="center"/>
      </w:pPr>
      <w:r>
        <w:rPr>
          <w:i/>
          <w:color w:val="5E6B75"/>
          <w:sz w:val="18"/>
        </w:rPr>
        <w:t>Figure 7. Detailed cost ingestion, validation, quarantine and publication workflow.</w:t>
      </w:r>
    </w:p>
    <w:p>
      <w:r>
        <w:br w:type="page"/>
      </w:r>
    </w:p>
    <w:p>
      <w:pPr>
        <w:keepNext/>
        <w:spacing w:before="160" w:after="80"/>
        <w:jc w:val="center"/>
      </w:pPr>
      <w:r>
        <w:drawing>
          <wp:inline xmlns:a="http://schemas.openxmlformats.org/drawingml/2006/main" xmlns:pic="http://schemas.openxmlformats.org/drawingml/2006/picture">
            <wp:extent cx="5897880" cy="4095750"/>
            <wp:docPr id="8" name="Picture 8" descr="Approved baseline, actual, committed and forecast costs enter the budget calculation service. Projected remaining budget is evaluated against variance thresholds and routed to continued monitoring, a cost warning or mandatory cost review."/>
            <wp:cNvGraphicFramePr>
              <a:graphicFrameLocks noChangeAspect="1"/>
            </wp:cNvGraphicFramePr>
            <a:graphic>
              <a:graphicData uri="http://schemas.openxmlformats.org/drawingml/2006/picture">
                <pic:pic>
                  <pic:nvPicPr>
                    <pic:cNvPr id="0" name="architecture-budget-decision.png"/>
                    <pic:cNvPicPr/>
                  </pic:nvPicPr>
                  <pic:blipFill>
                    <a:blip r:embed="rId18"/>
                    <a:stretch>
                      <a:fillRect/>
                    </a:stretch>
                  </pic:blipFill>
                  <pic:spPr>
                    <a:xfrm>
                      <a:off x="0" y="0"/>
                      <a:ext cx="5897880" cy="4095750"/>
                    </a:xfrm>
                    <a:prstGeom prst="rect"/>
                  </pic:spPr>
                </pic:pic>
              </a:graphicData>
            </a:graphic>
          </wp:inline>
        </w:drawing>
      </w:r>
    </w:p>
    <w:p>
      <w:pPr>
        <w:spacing w:before="0" w:after="200"/>
        <w:jc w:val="center"/>
      </w:pPr>
      <w:r>
        <w:rPr>
          <w:i/>
          <w:color w:val="5E6B75"/>
          <w:sz w:val="18"/>
        </w:rPr>
        <w:t>Figure 8. Budget calculation and threshold decision architecture.</w:t>
      </w:r>
    </w:p>
    <w:p>
      <w:r>
        <w:br w:type="page"/>
      </w:r>
    </w:p>
    <w:p>
      <w:pPr>
        <w:keepNext/>
        <w:spacing w:before="160" w:after="80"/>
        <w:jc w:val="center"/>
      </w:pPr>
      <w:r>
        <w:drawing>
          <wp:inline xmlns:a="http://schemas.openxmlformats.org/drawingml/2006/main" xmlns:pic="http://schemas.openxmlformats.org/drawingml/2006/picture">
            <wp:extent cx="5897880" cy="4095750"/>
            <wp:docPr id="9" name="Picture 9" descr="Authenticated web requests pass through API validation, permission and idempotency controls into identity, ledger, budget, forecast and review domains. PostgreSQL, object storage and durable jobs support processing, with audit and outbox events committed alongside business changes."/>
            <wp:cNvGraphicFramePr>
              <a:graphicFrameLocks noChangeAspect="1"/>
            </wp:cNvGraphicFramePr>
            <a:graphic>
              <a:graphicData uri="http://schemas.openxmlformats.org/drawingml/2006/picture">
                <pic:pic>
                  <pic:nvPicPr>
                    <pic:cNvPr id="0" name="architecture-backend-detailed.png"/>
                    <pic:cNvPicPr/>
                  </pic:nvPicPr>
                  <pic:blipFill>
                    <a:blip r:embed="rId19"/>
                    <a:stretch>
                      <a:fillRect/>
                    </a:stretch>
                  </pic:blipFill>
                  <pic:spPr>
                    <a:xfrm>
                      <a:off x="0" y="0"/>
                      <a:ext cx="5897880" cy="4095750"/>
                    </a:xfrm>
                    <a:prstGeom prst="rect"/>
                  </pic:spPr>
                </pic:pic>
              </a:graphicData>
            </a:graphic>
          </wp:inline>
        </w:drawing>
      </w:r>
    </w:p>
    <w:p>
      <w:pPr>
        <w:spacing w:before="0" w:after="200"/>
        <w:jc w:val="center"/>
      </w:pPr>
      <w:r>
        <w:rPr>
          <w:i/>
          <w:color w:val="5E6B75"/>
          <w:sz w:val="18"/>
        </w:rPr>
        <w:t>Figure 9. Backend request, domain, persistence, queue and audit architecture.</w:t>
      </w:r>
    </w:p>
    <w:p>
      <w:r>
        <w:br w:type="page"/>
      </w:r>
    </w:p>
    <w:p>
      <w:pPr>
        <w:keepNext/>
        <w:spacing w:before="160" w:after="80"/>
        <w:jc w:val="center"/>
      </w:pPr>
      <w:r>
        <w:drawing>
          <wp:inline xmlns:a="http://schemas.openxmlformats.org/drawingml/2006/main" xmlns:pic="http://schemas.openxmlformats.org/drawingml/2006/picture">
            <wp:extent cx="5897880" cy="4095750"/>
            <wp:docPr id="10" name="Picture 10" descr="A scheduled sync calls a provider adapter, saves raw records, parses staging data, checks schema and duplicates, reconciles totals and either quarantines the batch or commits the ledger transaction and publishes an outbox event."/>
            <wp:cNvGraphicFramePr>
              <a:graphicFrameLocks noChangeAspect="1"/>
            </wp:cNvGraphicFramePr>
            <a:graphic>
              <a:graphicData uri="http://schemas.openxmlformats.org/drawingml/2006/picture">
                <pic:pic>
                  <pic:nvPicPr>
                    <pic:cNvPr id="0" name="architecture-import-sequence.png"/>
                    <pic:cNvPicPr/>
                  </pic:nvPicPr>
                  <pic:blipFill>
                    <a:blip r:embed="rId20"/>
                    <a:stretch>
                      <a:fillRect/>
                    </a:stretch>
                  </pic:blipFill>
                  <pic:spPr>
                    <a:xfrm>
                      <a:off x="0" y="0"/>
                      <a:ext cx="5897880" cy="4095750"/>
                    </a:xfrm>
                    <a:prstGeom prst="rect"/>
                  </pic:spPr>
                </pic:pic>
              </a:graphicData>
            </a:graphic>
          </wp:inline>
        </w:drawing>
      </w:r>
    </w:p>
    <w:p>
      <w:pPr>
        <w:spacing w:before="0" w:after="200"/>
        <w:jc w:val="center"/>
      </w:pPr>
      <w:r>
        <w:rPr>
          <w:i/>
          <w:color w:val="5E6B75"/>
          <w:sz w:val="18"/>
        </w:rPr>
        <w:t>Figure 10. Import worker, parsing, duplicate detection and reconciliation sequence.</w:t>
      </w:r>
    </w:p>
    <w:p>
      <w:r>
        <w:br w:type="page"/>
      </w:r>
    </w:p>
    <w:p>
      <w:pPr>
        <w:keepNext/>
        <w:spacing w:before="160" w:after="80"/>
        <w:jc w:val="center"/>
      </w:pPr>
      <w:r>
        <w:drawing>
          <wp:inline xmlns:a="http://schemas.openxmlformats.org/drawingml/2006/main" xmlns:pic="http://schemas.openxmlformats.org/drawingml/2006/picture">
            <wp:extent cx="5897880" cy="4095750"/>
            <wp:docPr id="11" name="Picture 11" descr="A detected cost issue creates a review item with evidence and impact. The reviewer can request evidence, correct or reallocate, approve an exception or reject the cost. Every outcome creates a version, recalculates affected totals and writes an audit event."/>
            <wp:cNvGraphicFramePr>
              <a:graphicFrameLocks noChangeAspect="1"/>
            </wp:cNvGraphicFramePr>
            <a:graphic>
              <a:graphicData uri="http://schemas.openxmlformats.org/drawingml/2006/picture">
                <pic:pic>
                  <pic:nvPicPr>
                    <pic:cNvPr id="0" name="architecture-review-approval.png"/>
                    <pic:cNvPicPr/>
                  </pic:nvPicPr>
                  <pic:blipFill>
                    <a:blip r:embed="rId21"/>
                    <a:stretch>
                      <a:fillRect/>
                    </a:stretch>
                  </pic:blipFill>
                  <pic:spPr>
                    <a:xfrm>
                      <a:off x="0" y="0"/>
                      <a:ext cx="5897880" cy="4095750"/>
                    </a:xfrm>
                    <a:prstGeom prst="rect"/>
                  </pic:spPr>
                </pic:pic>
              </a:graphicData>
            </a:graphic>
          </wp:inline>
        </w:drawing>
      </w:r>
    </w:p>
    <w:p>
      <w:pPr>
        <w:spacing w:before="0" w:after="200"/>
        <w:jc w:val="center"/>
      </w:pPr>
      <w:r>
        <w:rPr>
          <w:i/>
          <w:color w:val="5E6B75"/>
          <w:sz w:val="18"/>
        </w:rPr>
        <w:t>Figure 11. Cost review, approval, correction and audit workflow.</w:t>
      </w:r>
    </w:p>
    <w:p>
      <w:pPr>
        <w:pStyle w:val="Heading1"/>
      </w:pPr>
      <w:r>
        <w:t>13. Financial correctness controls</w:t>
      </w:r>
    </w:p>
    <w:tbl>
      <w:tblPr>
        <w:tblStyle w:val="TableGrid"/>
        <w:tblW w:type="dxa" w:w="9360"/>
        <w:jc w:val="left"/>
        <w:tblLayout w:type="fixed"/>
        <w:tblLook w:firstColumn="1" w:firstRow="1" w:lastColumn="0" w:lastRow="0" w:noHBand="0" w:noVBand="1" w:val="04A0"/>
        <w:tblInd w:w="120" w:type="dxa"/>
      </w:tblPr>
      <w:tblGrid>
        <w:gridCol w:w="2376"/>
        <w:gridCol w:w="6983"/>
      </w:tblGrid>
      <w:tr>
        <w:trPr>
          <w:tblHeader w:val="true"/>
        </w:trPr>
        <w:tc>
          <w:tcPr>
            <w:tcW w:type="dxa" w:w="2376"/>
            <w:shd w:fill="0B1F33"/>
            <w:vAlign w:val="center"/>
            <w:tcMar>
              <w:top w:w="100" w:type="dxa"/>
              <w:start w:w="120" w:type="dxa"/>
              <w:bottom w:w="100" w:type="dxa"/>
              <w:end w:w="120" w:type="dxa"/>
            </w:tcMar>
          </w:tcPr>
          <w:p>
            <w:pPr>
              <w:spacing w:after="0"/>
            </w:pPr>
            <w:r>
              <w:rPr>
                <w:b/>
                <w:color w:val="FFFFFF"/>
                <w:sz w:val="17"/>
              </w:rPr>
              <w:t>Control</w:t>
            </w:r>
          </w:p>
        </w:tc>
        <w:tc>
          <w:tcPr>
            <w:tcW w:type="dxa" w:w="6983"/>
            <w:shd w:fill="0B1F33"/>
            <w:vAlign w:val="center"/>
            <w:tcMar>
              <w:top w:w="100" w:type="dxa"/>
              <w:start w:w="120" w:type="dxa"/>
              <w:bottom w:w="100" w:type="dxa"/>
              <w:end w:w="120" w:type="dxa"/>
            </w:tcMar>
          </w:tcPr>
          <w:p>
            <w:pPr>
              <w:spacing w:after="0"/>
            </w:pPr>
            <w:r>
              <w:rPr>
                <w:b/>
                <w:color w:val="FFFFFF"/>
                <w:sz w:val="17"/>
              </w:rPr>
              <w:t>Requirement</w:t>
            </w:r>
          </w:p>
        </w:tc>
      </w:tr>
      <w:tr>
        <w:tc>
          <w:tcPr>
            <w:tcW w:type="dxa" w:w="2376"/>
            <w:vAlign w:val="center"/>
            <w:tcMar>
              <w:top w:w="100" w:type="dxa"/>
              <w:start w:w="120" w:type="dxa"/>
              <w:bottom w:w="100" w:type="dxa"/>
              <w:end w:w="120" w:type="dxa"/>
            </w:tcMar>
          </w:tcPr>
          <w:p>
            <w:pPr>
              <w:spacing w:after="0"/>
            </w:pPr>
            <w:r>
              <w:rPr>
                <w:color w:val="102130"/>
                <w:sz w:val="17"/>
              </w:rPr>
              <w:t>Database constraints</w:t>
            </w:r>
          </w:p>
        </w:tc>
        <w:tc>
          <w:tcPr>
            <w:tcW w:type="dxa" w:w="6983"/>
            <w:vAlign w:val="center"/>
            <w:tcMar>
              <w:top w:w="100" w:type="dxa"/>
              <w:start w:w="120" w:type="dxa"/>
              <w:bottom w:w="100" w:type="dxa"/>
              <w:end w:w="120" w:type="dxa"/>
            </w:tcMar>
          </w:tcPr>
          <w:p>
            <w:pPr>
              <w:spacing w:after="0"/>
            </w:pPr>
            <w:r>
              <w:rPr>
                <w:color w:val="102130"/>
                <w:sz w:val="17"/>
              </w:rPr>
              <w:t>Amounts, currency, status transitions and allocation totals are validated at persistence.</w:t>
            </w:r>
          </w:p>
        </w:tc>
      </w:tr>
      <w:tr>
        <w:tc>
          <w:tcPr>
            <w:tcW w:type="dxa" w:w="2376"/>
            <w:vAlign w:val="center"/>
            <w:shd w:fill="F5F7F9"/>
            <w:tcMar>
              <w:top w:w="100" w:type="dxa"/>
              <w:start w:w="120" w:type="dxa"/>
              <w:bottom w:w="100" w:type="dxa"/>
              <w:end w:w="120" w:type="dxa"/>
            </w:tcMar>
          </w:tcPr>
          <w:p>
            <w:pPr>
              <w:spacing w:after="0"/>
            </w:pPr>
            <w:r>
              <w:rPr>
                <w:color w:val="102130"/>
                <w:sz w:val="17"/>
              </w:rPr>
              <w:t>Idempotency</w:t>
            </w:r>
          </w:p>
        </w:tc>
        <w:tc>
          <w:tcPr>
            <w:tcW w:type="dxa" w:w="6983"/>
            <w:vAlign w:val="center"/>
            <w:shd w:fill="F5F7F9"/>
            <w:tcMar>
              <w:top w:w="100" w:type="dxa"/>
              <w:start w:w="120" w:type="dxa"/>
              <w:bottom w:w="100" w:type="dxa"/>
              <w:end w:w="120" w:type="dxa"/>
            </w:tcMar>
          </w:tcPr>
          <w:p>
            <w:pPr>
              <w:spacing w:after="0"/>
            </w:pPr>
            <w:r>
              <w:rPr>
                <w:color w:val="102130"/>
                <w:sz w:val="17"/>
              </w:rPr>
              <w:t>Repeated imports or provider callbacks cannot create duplicate costs.</w:t>
            </w:r>
          </w:p>
        </w:tc>
      </w:tr>
      <w:tr>
        <w:tc>
          <w:tcPr>
            <w:tcW w:type="dxa" w:w="2376"/>
            <w:vAlign w:val="center"/>
            <w:tcMar>
              <w:top w:w="100" w:type="dxa"/>
              <w:start w:w="120" w:type="dxa"/>
              <w:bottom w:w="100" w:type="dxa"/>
              <w:end w:w="120" w:type="dxa"/>
            </w:tcMar>
          </w:tcPr>
          <w:p>
            <w:pPr>
              <w:spacing w:after="0"/>
            </w:pPr>
            <w:r>
              <w:rPr>
                <w:color w:val="102130"/>
                <w:sz w:val="17"/>
              </w:rPr>
              <w:t>Reconciliation</w:t>
            </w:r>
          </w:p>
        </w:tc>
        <w:tc>
          <w:tcPr>
            <w:tcW w:type="dxa" w:w="6983"/>
            <w:vAlign w:val="center"/>
            <w:tcMar>
              <w:top w:w="100" w:type="dxa"/>
              <w:start w:w="120" w:type="dxa"/>
              <w:bottom w:w="100" w:type="dxa"/>
              <w:end w:w="120" w:type="dxa"/>
            </w:tcMar>
          </w:tcPr>
          <w:p>
            <w:pPr>
              <w:spacing w:after="0"/>
            </w:pPr>
            <w:r>
              <w:rPr>
                <w:color w:val="102130"/>
                <w:sz w:val="17"/>
              </w:rPr>
              <w:t>Source totals and imported totals must agree before publication.</w:t>
            </w:r>
          </w:p>
        </w:tc>
      </w:tr>
      <w:tr>
        <w:tc>
          <w:tcPr>
            <w:tcW w:type="dxa" w:w="2376"/>
            <w:vAlign w:val="center"/>
            <w:shd w:fill="F5F7F9"/>
            <w:tcMar>
              <w:top w:w="100" w:type="dxa"/>
              <w:start w:w="120" w:type="dxa"/>
              <w:bottom w:w="100" w:type="dxa"/>
              <w:end w:w="120" w:type="dxa"/>
            </w:tcMar>
          </w:tcPr>
          <w:p>
            <w:pPr>
              <w:spacing w:after="0"/>
            </w:pPr>
            <w:r>
              <w:rPr>
                <w:color w:val="102130"/>
                <w:sz w:val="17"/>
              </w:rPr>
              <w:t>Lineage</w:t>
            </w:r>
          </w:p>
        </w:tc>
        <w:tc>
          <w:tcPr>
            <w:tcW w:type="dxa" w:w="6983"/>
            <w:vAlign w:val="center"/>
            <w:shd w:fill="F5F7F9"/>
            <w:tcMar>
              <w:top w:w="100" w:type="dxa"/>
              <w:start w:w="120" w:type="dxa"/>
              <w:bottom w:w="100" w:type="dxa"/>
              <w:end w:w="120" w:type="dxa"/>
            </w:tcMar>
          </w:tcPr>
          <w:p>
            <w:pPr>
              <w:spacing w:after="0"/>
            </w:pPr>
            <w:r>
              <w:rPr>
                <w:color w:val="102130"/>
                <w:sz w:val="17"/>
              </w:rPr>
              <w:t>Every displayed amount links to source records and transformations.</w:t>
            </w:r>
          </w:p>
        </w:tc>
      </w:tr>
      <w:tr>
        <w:tc>
          <w:tcPr>
            <w:tcW w:type="dxa" w:w="2376"/>
            <w:vAlign w:val="center"/>
            <w:tcMar>
              <w:top w:w="100" w:type="dxa"/>
              <w:start w:w="120" w:type="dxa"/>
              <w:bottom w:w="100" w:type="dxa"/>
              <w:end w:w="120" w:type="dxa"/>
            </w:tcMar>
          </w:tcPr>
          <w:p>
            <w:pPr>
              <w:spacing w:after="0"/>
            </w:pPr>
            <w:r>
              <w:rPr>
                <w:color w:val="102130"/>
                <w:sz w:val="17"/>
              </w:rPr>
              <w:t>Versioning</w:t>
            </w:r>
          </w:p>
        </w:tc>
        <w:tc>
          <w:tcPr>
            <w:tcW w:type="dxa" w:w="6983"/>
            <w:vAlign w:val="center"/>
            <w:tcMar>
              <w:top w:w="100" w:type="dxa"/>
              <w:start w:w="120" w:type="dxa"/>
              <w:bottom w:w="100" w:type="dxa"/>
              <w:end w:w="120" w:type="dxa"/>
            </w:tcMar>
          </w:tcPr>
          <w:p>
            <w:pPr>
              <w:spacing w:after="0"/>
            </w:pPr>
            <w:r>
              <w:rPr>
                <w:color w:val="102130"/>
                <w:sz w:val="17"/>
              </w:rPr>
              <w:t>Costs, budgets, assumptions, forecasts and formulas preserve history.</w:t>
            </w:r>
          </w:p>
        </w:tc>
      </w:tr>
      <w:tr>
        <w:tc>
          <w:tcPr>
            <w:tcW w:type="dxa" w:w="2376"/>
            <w:vAlign w:val="center"/>
            <w:shd w:fill="F5F7F9"/>
            <w:tcMar>
              <w:top w:w="100" w:type="dxa"/>
              <w:start w:w="120" w:type="dxa"/>
              <w:bottom w:w="100" w:type="dxa"/>
              <w:end w:w="120" w:type="dxa"/>
            </w:tcMar>
          </w:tcPr>
          <w:p>
            <w:pPr>
              <w:spacing w:after="0"/>
            </w:pPr>
            <w:r>
              <w:rPr>
                <w:color w:val="102130"/>
                <w:sz w:val="17"/>
              </w:rPr>
              <w:t>Double-count prevention</w:t>
            </w:r>
          </w:p>
        </w:tc>
        <w:tc>
          <w:tcPr>
            <w:tcW w:type="dxa" w:w="6983"/>
            <w:vAlign w:val="center"/>
            <w:shd w:fill="F5F7F9"/>
            <w:tcMar>
              <w:top w:w="100" w:type="dxa"/>
              <w:start w:w="120" w:type="dxa"/>
              <w:bottom w:w="100" w:type="dxa"/>
              <w:end w:w="120" w:type="dxa"/>
            </w:tcMar>
          </w:tcPr>
          <w:p>
            <w:pPr>
              <w:spacing w:after="0"/>
            </w:pPr>
            <w:r>
              <w:rPr>
                <w:color w:val="102130"/>
                <w:sz w:val="17"/>
              </w:rPr>
              <w:t>Commitment-to-actual links enforce one economic cost.</w:t>
            </w:r>
          </w:p>
        </w:tc>
      </w:tr>
      <w:tr>
        <w:tc>
          <w:tcPr>
            <w:tcW w:type="dxa" w:w="2376"/>
            <w:vAlign w:val="center"/>
            <w:tcMar>
              <w:top w:w="100" w:type="dxa"/>
              <w:start w:w="120" w:type="dxa"/>
              <w:bottom w:w="100" w:type="dxa"/>
              <w:end w:w="120" w:type="dxa"/>
            </w:tcMar>
          </w:tcPr>
          <w:p>
            <w:pPr>
              <w:spacing w:after="0"/>
            </w:pPr>
            <w:r>
              <w:rPr>
                <w:color w:val="102130"/>
                <w:sz w:val="17"/>
              </w:rPr>
              <w:t>Balanced allocation</w:t>
            </w:r>
          </w:p>
        </w:tc>
        <w:tc>
          <w:tcPr>
            <w:tcW w:type="dxa" w:w="6983"/>
            <w:vAlign w:val="center"/>
            <w:tcMar>
              <w:top w:w="100" w:type="dxa"/>
              <w:start w:w="120" w:type="dxa"/>
              <w:bottom w:w="100" w:type="dxa"/>
              <w:end w:w="120" w:type="dxa"/>
            </w:tcMar>
          </w:tcPr>
          <w:p>
            <w:pPr>
              <w:spacing w:after="0"/>
            </w:pPr>
            <w:r>
              <w:rPr>
                <w:color w:val="102130"/>
                <w:sz w:val="17"/>
              </w:rPr>
              <w:t>Split allocations must equal the complete amount.</w:t>
            </w:r>
          </w:p>
        </w:tc>
      </w:tr>
      <w:tr>
        <w:tc>
          <w:tcPr>
            <w:tcW w:type="dxa" w:w="2376"/>
            <w:vAlign w:val="center"/>
            <w:shd w:fill="F5F7F9"/>
            <w:tcMar>
              <w:top w:w="100" w:type="dxa"/>
              <w:start w:w="120" w:type="dxa"/>
              <w:bottom w:w="100" w:type="dxa"/>
              <w:end w:w="120" w:type="dxa"/>
            </w:tcMar>
          </w:tcPr>
          <w:p>
            <w:pPr>
              <w:spacing w:after="0"/>
            </w:pPr>
            <w:r>
              <w:rPr>
                <w:color w:val="102130"/>
                <w:sz w:val="17"/>
              </w:rPr>
              <w:t>Last valid snapshot</w:t>
            </w:r>
          </w:p>
        </w:tc>
        <w:tc>
          <w:tcPr>
            <w:tcW w:type="dxa" w:w="6983"/>
            <w:vAlign w:val="center"/>
            <w:shd w:fill="F5F7F9"/>
            <w:tcMar>
              <w:top w:w="100" w:type="dxa"/>
              <w:start w:w="120" w:type="dxa"/>
              <w:bottom w:w="100" w:type="dxa"/>
              <w:end w:w="120" w:type="dxa"/>
            </w:tcMar>
          </w:tcPr>
          <w:p>
            <w:pPr>
              <w:spacing w:after="0"/>
            </w:pPr>
            <w:r>
              <w:rPr>
                <w:color w:val="102130"/>
                <w:sz w:val="17"/>
              </w:rPr>
              <w:t>Failed calculations do not replace trusted results.</w:t>
            </w:r>
          </w:p>
        </w:tc>
      </w:tr>
      <w:tr>
        <w:tc>
          <w:tcPr>
            <w:tcW w:type="dxa" w:w="2376"/>
            <w:vAlign w:val="center"/>
            <w:tcMar>
              <w:top w:w="100" w:type="dxa"/>
              <w:start w:w="120" w:type="dxa"/>
              <w:bottom w:w="100" w:type="dxa"/>
              <w:end w:w="120" w:type="dxa"/>
            </w:tcMar>
          </w:tcPr>
          <w:p>
            <w:pPr>
              <w:spacing w:after="0"/>
            </w:pPr>
            <w:r>
              <w:rPr>
                <w:color w:val="102130"/>
                <w:sz w:val="17"/>
              </w:rPr>
              <w:t>Independent recalculation</w:t>
            </w:r>
          </w:p>
        </w:tc>
        <w:tc>
          <w:tcPr>
            <w:tcW w:type="dxa" w:w="6983"/>
            <w:vAlign w:val="center"/>
            <w:tcMar>
              <w:top w:w="100" w:type="dxa"/>
              <w:start w:w="120" w:type="dxa"/>
              <w:bottom w:w="100" w:type="dxa"/>
              <w:end w:w="120" w:type="dxa"/>
            </w:tcMar>
          </w:tcPr>
          <w:p>
            <w:pPr>
              <w:spacing w:after="0"/>
            </w:pPr>
            <w:r>
              <w:rPr>
                <w:color w:val="102130"/>
                <w:sz w:val="17"/>
              </w:rPr>
              <w:t>Critical totals can be reproduced from the stored snapshot.</w:t>
            </w:r>
          </w:p>
        </w:tc>
      </w:tr>
      <w:tr>
        <w:tc>
          <w:tcPr>
            <w:tcW w:type="dxa" w:w="2376"/>
            <w:vAlign w:val="center"/>
            <w:shd w:fill="F5F7F9"/>
            <w:tcMar>
              <w:top w:w="100" w:type="dxa"/>
              <w:start w:w="120" w:type="dxa"/>
              <w:bottom w:w="100" w:type="dxa"/>
              <w:end w:w="120" w:type="dxa"/>
            </w:tcMar>
          </w:tcPr>
          <w:p>
            <w:pPr>
              <w:spacing w:after="0"/>
            </w:pPr>
            <w:r>
              <w:rPr>
                <w:color w:val="102130"/>
                <w:sz w:val="17"/>
              </w:rPr>
              <w:t>Immutable audit</w:t>
            </w:r>
          </w:p>
        </w:tc>
        <w:tc>
          <w:tcPr>
            <w:tcW w:type="dxa" w:w="6983"/>
            <w:vAlign w:val="center"/>
            <w:shd w:fill="F5F7F9"/>
            <w:tcMar>
              <w:top w:w="100" w:type="dxa"/>
              <w:start w:w="120" w:type="dxa"/>
              <w:bottom w:w="100" w:type="dxa"/>
              <w:end w:w="120" w:type="dxa"/>
            </w:tcMar>
          </w:tcPr>
          <w:p>
            <w:pPr>
              <w:spacing w:after="0"/>
            </w:pPr>
            <w:r>
              <w:rPr>
                <w:color w:val="102130"/>
                <w:sz w:val="17"/>
              </w:rPr>
              <w:t>Material actions record actor, authority, time, reason and result.</w:t>
            </w:r>
          </w:p>
        </w:tc>
      </w:tr>
    </w:tbl>
    <w:p>
      <w:pPr>
        <w:spacing w:after="0"/>
      </w:pPr>
    </w:p>
    <w:p>
      <w:pPr>
        <w:pStyle w:val="Heading2"/>
      </w:pPr>
      <w:r>
        <w:t>Calculation identity</w:t>
      </w:r>
    </w:p>
    <w:p>
      <w:r>
        <w:t>Every authoritative amount should carry an internal calculation ID linking the result to its input snapshot, formula version, calculation time and consistency-check outcome. Support and audit teams must be able to reproduce the result exactly.</w:t>
      </w:r>
    </w:p>
    <w:p>
      <w:r>
        <w:br w:type="page"/>
      </w:r>
    </w:p>
    <w:p>
      <w:pPr>
        <w:pStyle w:val="Heading1"/>
      </w:pPr>
      <w:r>
        <w:t>14. AI architecture and safeguards</w:t>
      </w:r>
    </w:p>
    <w:p>
      <w:r>
        <w:t>The AI assistant is a controlled explanation and workflow-preparation layer. It does not own the cost ledger, calculate authoritative totals independently or write directly to financial records.</w:t>
      </w:r>
    </w:p>
    <w:p>
      <w:pPr>
        <w:spacing w:after="80" w:line="264" w:lineRule="auto"/>
        <w:ind w:left="720" w:hanging="360"/>
        <w:numPr>
          <w:ilvl w:val="0"/>
          <w:numId w:val="18"/>
        </w:numPr>
      </w:pPr>
      <w:r>
        <w:t>Authenticate the user and organisation.</w:t>
      </w:r>
    </w:p>
    <w:p>
      <w:pPr>
        <w:spacing w:after="80" w:line="264" w:lineRule="auto"/>
        <w:ind w:left="720" w:hanging="360"/>
        <w:numPr>
          <w:ilvl w:val="0"/>
          <w:numId w:val="18"/>
        </w:numPr>
      </w:pPr>
      <w:r>
        <w:t>Classify the request and check permission.</w:t>
      </w:r>
    </w:p>
    <w:p>
      <w:pPr>
        <w:spacing w:after="80" w:line="264" w:lineRule="auto"/>
        <w:ind w:left="720" w:hanging="360"/>
        <w:numPr>
          <w:ilvl w:val="0"/>
          <w:numId w:val="18"/>
        </w:numPr>
      </w:pPr>
      <w:r>
        <w:t>Retrieve only authorised validated data.</w:t>
      </w:r>
    </w:p>
    <w:p>
      <w:pPr>
        <w:spacing w:after="80" w:line="264" w:lineRule="auto"/>
        <w:ind w:left="720" w:hanging="360"/>
        <w:numPr>
          <w:ilvl w:val="0"/>
          <w:numId w:val="18"/>
        </w:numPr>
      </w:pPr>
      <w:r>
        <w:t>Call deterministic budget, cost or forecast tools.</w:t>
      </w:r>
    </w:p>
    <w:p>
      <w:pPr>
        <w:spacing w:after="80" w:line="264" w:lineRule="auto"/>
        <w:ind w:left="720" w:hanging="360"/>
        <w:numPr>
          <w:ilvl w:val="0"/>
          <w:numId w:val="18"/>
        </w:numPr>
      </w:pPr>
      <w:r>
        <w:t>Generate a plain-language explanation.</w:t>
      </w:r>
    </w:p>
    <w:p>
      <w:pPr>
        <w:spacing w:after="80" w:line="264" w:lineRule="auto"/>
        <w:ind w:left="720" w:hanging="360"/>
        <w:numPr>
          <w:ilvl w:val="0"/>
          <w:numId w:val="18"/>
        </w:numPr>
      </w:pPr>
      <w:r>
        <w:t>Validate every stated amount against tool output.</w:t>
      </w:r>
    </w:p>
    <w:p>
      <w:pPr>
        <w:spacing w:after="80" w:line="264" w:lineRule="auto"/>
        <w:ind w:left="720" w:hanging="360"/>
        <w:numPr>
          <w:ilvl w:val="0"/>
          <w:numId w:val="18"/>
        </w:numPr>
      </w:pPr>
      <w:r>
        <w:t>Attach sources, assumptions and confidence.</w:t>
      </w:r>
    </w:p>
    <w:p>
      <w:pPr>
        <w:spacing w:after="80" w:line="264" w:lineRule="auto"/>
        <w:ind w:left="720" w:hanging="360"/>
        <w:numPr>
          <w:ilvl w:val="0"/>
          <w:numId w:val="18"/>
        </w:numPr>
      </w:pPr>
      <w:r>
        <w:t>Return a draft cost review or change request for approval when appropriate.</w:t>
      </w:r>
    </w:p>
    <w:p>
      <w:pPr>
        <w:pStyle w:val="ListBullet"/>
      </w:pPr>
      <w:r>
        <w:t>Prompt and model versioning</w:t>
      </w:r>
    </w:p>
    <w:p>
      <w:pPr>
        <w:pStyle w:val="ListBullet"/>
      </w:pPr>
      <w:r>
        <w:t>Structured tool outputs</w:t>
      </w:r>
    </w:p>
    <w:p>
      <w:pPr>
        <w:pStyle w:val="ListBullet"/>
      </w:pPr>
      <w:r>
        <w:t>Financial-amount validation</w:t>
      </w:r>
    </w:p>
    <w:p>
      <w:pPr>
        <w:pStyle w:val="ListBullet"/>
      </w:pPr>
      <w:r>
        <w:t>Prompt-injection protection for imported documents</w:t>
      </w:r>
    </w:p>
    <w:p>
      <w:pPr>
        <w:pStyle w:val="ListBullet"/>
      </w:pPr>
      <w:r>
        <w:t>Evaluation datasets with known cost answers</w:t>
      </w:r>
    </w:p>
    <w:p>
      <w:pPr>
        <w:pStyle w:val="ListBullet"/>
      </w:pPr>
      <w:r>
        <w:t>Cost and latency controls</w:t>
      </w:r>
    </w:p>
    <w:p>
      <w:pPr>
        <w:pStyle w:val="ListBullet"/>
      </w:pPr>
      <w:r>
        <w:t>Safe failure when data is incomplete</w:t>
      </w:r>
    </w:p>
    <w:p>
      <w:pPr>
        <w:pStyle w:val="ListBullet"/>
      </w:pPr>
      <w:r>
        <w:t>No autonomous purchasing, payment or budget change</w:t>
      </w:r>
    </w:p>
    <w:p>
      <w:pPr>
        <w:pStyle w:val="Heading1"/>
      </w:pPr>
      <w:r>
        <w:t>15. Security, privacy and auditability</w:t>
      </w:r>
    </w:p>
    <w:p>
      <w:pPr>
        <w:pStyle w:val="ListBullet"/>
      </w:pPr>
      <w:r>
        <w:t>Encryption in transit and at rest</w:t>
      </w:r>
    </w:p>
    <w:p>
      <w:pPr>
        <w:pStyle w:val="ListBullet"/>
      </w:pPr>
      <w:r>
        <w:t>Strong tenant isolation</w:t>
      </w:r>
    </w:p>
    <w:p>
      <w:pPr>
        <w:pStyle w:val="ListBullet"/>
      </w:pPr>
      <w:r>
        <w:t>Role-based and attribute-based access where necessary</w:t>
      </w:r>
    </w:p>
    <w:p>
      <w:pPr>
        <w:pStyle w:val="ListBullet"/>
      </w:pPr>
      <w:r>
        <w:t>Multi-factor authentication for privileged users</w:t>
      </w:r>
    </w:p>
    <w:p>
      <w:pPr>
        <w:pStyle w:val="ListBullet"/>
      </w:pPr>
      <w:r>
        <w:t>Secret and integration-token management</w:t>
      </w:r>
    </w:p>
    <w:p>
      <w:pPr>
        <w:pStyle w:val="ListBullet"/>
      </w:pPr>
      <w:r>
        <w:t>Immutable audit trails</w:t>
      </w:r>
    </w:p>
    <w:p>
      <w:pPr>
        <w:pStyle w:val="ListBullet"/>
      </w:pPr>
      <w:r>
        <w:t>Data minimisation and defined retention</w:t>
      </w:r>
    </w:p>
    <w:p>
      <w:pPr>
        <w:pStyle w:val="ListBullet"/>
      </w:pPr>
      <w:r>
        <w:t>Backup, restoration and incident-response testing</w:t>
      </w:r>
    </w:p>
    <w:p>
      <w:pPr>
        <w:pStyle w:val="ListBullet"/>
      </w:pPr>
      <w:r>
        <w:t>Restricted access to wage and supplier-sensitive data</w:t>
      </w:r>
    </w:p>
    <w:p>
      <w:pPr>
        <w:pStyle w:val="ListBullet"/>
      </w:pPr>
      <w:r>
        <w:t>Secure evidence downloads and expiring export links</w:t>
      </w:r>
    </w:p>
    <w:p>
      <w:pPr>
        <w:pStyle w:val="ListBullet"/>
      </w:pPr>
      <w:r>
        <w:t>UK GDPR-aligned data subject and deletion workflows</w:t>
      </w:r>
    </w:p>
    <w:p>
      <w:pPr>
        <w:pStyle w:val="ListBullet"/>
      </w:pPr>
      <w:r>
        <w:t>Professional security review and penetration testing before production launch</w:t>
      </w:r>
    </w:p>
    <w:p>
      <w:r>
        <w:t>If Open Banking data is introduced, Veyvio should use an authorised partner initially and obtain specialist legal advice on the regulatory perimeter. Payment initiation is outside the cost-control MVP.</w:t>
      </w:r>
    </w:p>
    <w:p>
      <w:pPr>
        <w:pStyle w:val="Heading1"/>
      </w:pPr>
      <w:r>
        <w:t>16. UI/UX and visual design system</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EXPERIENCE PRINCIPLE</w:t>
            </w:r>
          </w:p>
          <w:p>
            <w:pPr>
              <w:spacing w:after="0"/>
            </w:pPr>
            <w:r>
              <w:rPr>
                <w:b/>
                <w:color w:val="0B1F33"/>
                <w:sz w:val="23"/>
              </w:rPr>
              <w:t>Calm financial confidence: serious, precise and transparent, without looking like a traditional bank or a trading platform.</w:t>
            </w:r>
          </w:p>
        </w:tc>
      </w:tr>
    </w:tbl>
    <w:p>
      <w:pPr>
        <w:spacing w:after="0"/>
      </w:pPr>
    </w:p>
    <w:p>
      <w:pPr>
        <w:pStyle w:val="Heading2"/>
      </w:pPr>
      <w:r>
        <w:t>Brand palette</w:t>
      </w:r>
    </w:p>
    <w:tbl>
      <w:tblPr>
        <w:tblStyle w:val="TableGrid"/>
        <w:tblW w:type="dxa" w:w="9360"/>
        <w:jc w:val="left"/>
        <w:tblLayout w:type="fixed"/>
        <w:tblLook w:firstColumn="1" w:firstRow="1" w:lastColumn="0" w:lastRow="0" w:noHBand="0" w:noVBand="1" w:val="04A0"/>
        <w:tblInd w:w="120" w:type="dxa"/>
      </w:tblPr>
      <w:tblGrid>
        <w:gridCol w:w="2088"/>
        <w:gridCol w:w="1440"/>
        <w:gridCol w:w="5832"/>
      </w:tblGrid>
      <w:tr>
        <w:trPr>
          <w:tblHeader w:val="true"/>
        </w:trPr>
        <w:tc>
          <w:tcPr>
            <w:tcW w:type="dxa" w:w="2088"/>
            <w:shd w:fill="0B1F33"/>
            <w:vAlign w:val="center"/>
            <w:tcMar>
              <w:top w:w="100" w:type="dxa"/>
              <w:start w:w="120" w:type="dxa"/>
              <w:bottom w:w="100" w:type="dxa"/>
              <w:end w:w="120" w:type="dxa"/>
            </w:tcMar>
          </w:tcPr>
          <w:p>
            <w:pPr>
              <w:spacing w:after="0"/>
            </w:pPr>
            <w:r>
              <w:rPr>
                <w:b/>
                <w:color w:val="FFFFFF"/>
                <w:sz w:val="17"/>
              </w:rPr>
              <w:t>Token</w:t>
            </w:r>
          </w:p>
        </w:tc>
        <w:tc>
          <w:tcPr>
            <w:tcW w:type="dxa" w:w="1440"/>
            <w:shd w:fill="0B1F33"/>
            <w:vAlign w:val="center"/>
            <w:tcMar>
              <w:top w:w="100" w:type="dxa"/>
              <w:start w:w="120" w:type="dxa"/>
              <w:bottom w:w="100" w:type="dxa"/>
              <w:end w:w="120" w:type="dxa"/>
            </w:tcMar>
          </w:tcPr>
          <w:p>
            <w:pPr>
              <w:spacing w:after="0"/>
            </w:pPr>
            <w:r>
              <w:rPr>
                <w:b/>
                <w:color w:val="FFFFFF"/>
                <w:sz w:val="17"/>
              </w:rPr>
              <w:t>Hex</w:t>
            </w:r>
          </w:p>
        </w:tc>
        <w:tc>
          <w:tcPr>
            <w:tcW w:type="dxa" w:w="5832"/>
            <w:shd w:fill="0B1F33"/>
            <w:vAlign w:val="center"/>
            <w:tcMar>
              <w:top w:w="100" w:type="dxa"/>
              <w:start w:w="120" w:type="dxa"/>
              <w:bottom w:w="100" w:type="dxa"/>
              <w:end w:w="120" w:type="dxa"/>
            </w:tcMar>
          </w:tcPr>
          <w:p>
            <w:pPr>
              <w:spacing w:after="0"/>
            </w:pPr>
            <w:r>
              <w:rPr>
                <w:b/>
                <w:color w:val="FFFFFF"/>
                <w:sz w:val="17"/>
              </w:rPr>
              <w:t>Use</w:t>
            </w:r>
          </w:p>
        </w:tc>
      </w:tr>
      <w:tr>
        <w:tc>
          <w:tcPr>
            <w:tcW w:type="dxa" w:w="2088"/>
            <w:vAlign w:val="center"/>
            <w:tcMar>
              <w:top w:w="100" w:type="dxa"/>
              <w:start w:w="120" w:type="dxa"/>
              <w:bottom w:w="100" w:type="dxa"/>
              <w:end w:w="120" w:type="dxa"/>
            </w:tcMar>
          </w:tcPr>
          <w:p>
            <w:pPr>
              <w:spacing w:after="0"/>
            </w:pPr>
            <w:r>
              <w:rPr>
                <w:color w:val="102130"/>
                <w:sz w:val="17"/>
              </w:rPr>
              <w:t>Veyvio Midnight</w:t>
            </w:r>
          </w:p>
        </w:tc>
        <w:tc>
          <w:tcPr>
            <w:tcW w:type="dxa" w:w="1440"/>
            <w:vAlign w:val="center"/>
            <w:tcMar>
              <w:top w:w="100" w:type="dxa"/>
              <w:start w:w="120" w:type="dxa"/>
              <w:bottom w:w="100" w:type="dxa"/>
              <w:end w:w="120" w:type="dxa"/>
            </w:tcMar>
          </w:tcPr>
          <w:p>
            <w:pPr>
              <w:spacing w:after="0"/>
            </w:pPr>
            <w:r>
              <w:rPr>
                <w:color w:val="102130"/>
                <w:sz w:val="17"/>
              </w:rPr>
              <w:t>#0B1F33</w:t>
            </w:r>
          </w:p>
        </w:tc>
        <w:tc>
          <w:tcPr>
            <w:tcW w:type="dxa" w:w="5832"/>
            <w:vAlign w:val="center"/>
            <w:tcMar>
              <w:top w:w="100" w:type="dxa"/>
              <w:start w:w="120" w:type="dxa"/>
              <w:bottom w:w="100" w:type="dxa"/>
              <w:end w:w="120" w:type="dxa"/>
            </w:tcMar>
          </w:tcPr>
          <w:p>
            <w:pPr>
              <w:spacing w:after="0"/>
            </w:pPr>
            <w:r>
              <w:rPr>
                <w:color w:val="102130"/>
                <w:sz w:val="17"/>
              </w:rPr>
              <w:t>Navigation, brand and primary text</w:t>
            </w:r>
          </w:p>
        </w:tc>
      </w:tr>
      <w:tr>
        <w:tc>
          <w:tcPr>
            <w:tcW w:type="dxa" w:w="2088"/>
            <w:vAlign w:val="center"/>
            <w:shd w:fill="F5F7F9"/>
            <w:tcMar>
              <w:top w:w="100" w:type="dxa"/>
              <w:start w:w="120" w:type="dxa"/>
              <w:bottom w:w="100" w:type="dxa"/>
              <w:end w:w="120" w:type="dxa"/>
            </w:tcMar>
          </w:tcPr>
          <w:p>
            <w:pPr>
              <w:spacing w:after="0"/>
            </w:pPr>
            <w:r>
              <w:rPr>
                <w:color w:val="102130"/>
                <w:sz w:val="17"/>
              </w:rPr>
              <w:t>Veyvio Teal</w:t>
            </w:r>
          </w:p>
        </w:tc>
        <w:tc>
          <w:tcPr>
            <w:tcW w:type="dxa" w:w="1440"/>
            <w:vAlign w:val="center"/>
            <w:shd w:fill="F5F7F9"/>
            <w:tcMar>
              <w:top w:w="100" w:type="dxa"/>
              <w:start w:w="120" w:type="dxa"/>
              <w:bottom w:w="100" w:type="dxa"/>
              <w:end w:w="120" w:type="dxa"/>
            </w:tcMar>
          </w:tcPr>
          <w:p>
            <w:pPr>
              <w:spacing w:after="0"/>
            </w:pPr>
            <w:r>
              <w:rPr>
                <w:color w:val="102130"/>
                <w:sz w:val="17"/>
              </w:rPr>
              <w:t>#0F766E</w:t>
            </w:r>
          </w:p>
        </w:tc>
        <w:tc>
          <w:tcPr>
            <w:tcW w:type="dxa" w:w="5832"/>
            <w:vAlign w:val="center"/>
            <w:shd w:fill="F5F7F9"/>
            <w:tcMar>
              <w:top w:w="100" w:type="dxa"/>
              <w:start w:w="120" w:type="dxa"/>
              <w:bottom w:w="100" w:type="dxa"/>
              <w:end w:w="120" w:type="dxa"/>
            </w:tcMar>
          </w:tcPr>
          <w:p>
            <w:pPr>
              <w:spacing w:after="0"/>
            </w:pPr>
            <w:r>
              <w:rPr>
                <w:color w:val="102130"/>
                <w:sz w:val="17"/>
              </w:rPr>
              <w:t>Primary actions and interactive emphasis</w:t>
            </w:r>
          </w:p>
        </w:tc>
      </w:tr>
      <w:tr>
        <w:tc>
          <w:tcPr>
            <w:tcW w:type="dxa" w:w="2088"/>
            <w:vAlign w:val="center"/>
            <w:tcMar>
              <w:top w:w="100" w:type="dxa"/>
              <w:start w:w="120" w:type="dxa"/>
              <w:bottom w:w="100" w:type="dxa"/>
              <w:end w:w="120" w:type="dxa"/>
            </w:tcMar>
          </w:tcPr>
          <w:p>
            <w:pPr>
              <w:spacing w:after="0"/>
            </w:pPr>
            <w:r>
              <w:rPr>
                <w:color w:val="102130"/>
                <w:sz w:val="17"/>
              </w:rPr>
              <w:t>Veyvio Mint</w:t>
            </w:r>
          </w:p>
        </w:tc>
        <w:tc>
          <w:tcPr>
            <w:tcW w:type="dxa" w:w="1440"/>
            <w:vAlign w:val="center"/>
            <w:tcMar>
              <w:top w:w="100" w:type="dxa"/>
              <w:start w:w="120" w:type="dxa"/>
              <w:bottom w:w="100" w:type="dxa"/>
              <w:end w:w="120" w:type="dxa"/>
            </w:tcMar>
          </w:tcPr>
          <w:p>
            <w:pPr>
              <w:spacing w:after="0"/>
            </w:pPr>
            <w:r>
              <w:rPr>
                <w:color w:val="102130"/>
                <w:sz w:val="17"/>
              </w:rPr>
              <w:t>#2DD4BF</w:t>
            </w:r>
          </w:p>
        </w:tc>
        <w:tc>
          <w:tcPr>
            <w:tcW w:type="dxa" w:w="5832"/>
            <w:vAlign w:val="center"/>
            <w:tcMar>
              <w:top w:w="100" w:type="dxa"/>
              <w:start w:w="120" w:type="dxa"/>
              <w:bottom w:w="100" w:type="dxa"/>
              <w:end w:w="120" w:type="dxa"/>
            </w:tcMar>
          </w:tcPr>
          <w:p>
            <w:pPr>
              <w:spacing w:after="0"/>
            </w:pPr>
            <w:r>
              <w:rPr>
                <w:color w:val="102130"/>
                <w:sz w:val="17"/>
              </w:rPr>
              <w:t>Focus, highlights and selected chart points</w:t>
            </w:r>
          </w:p>
        </w:tc>
      </w:tr>
      <w:tr>
        <w:tc>
          <w:tcPr>
            <w:tcW w:type="dxa" w:w="2088"/>
            <w:vAlign w:val="center"/>
            <w:shd w:fill="F5F7F9"/>
            <w:tcMar>
              <w:top w:w="100" w:type="dxa"/>
              <w:start w:w="120" w:type="dxa"/>
              <w:bottom w:w="100" w:type="dxa"/>
              <w:end w:w="120" w:type="dxa"/>
            </w:tcMar>
          </w:tcPr>
          <w:p>
            <w:pPr>
              <w:spacing w:after="0"/>
            </w:pPr>
            <w:r>
              <w:rPr>
                <w:color w:val="102130"/>
                <w:sz w:val="17"/>
              </w:rPr>
              <w:t>Cloud</w:t>
            </w:r>
          </w:p>
        </w:tc>
        <w:tc>
          <w:tcPr>
            <w:tcW w:type="dxa" w:w="1440"/>
            <w:vAlign w:val="center"/>
            <w:shd w:fill="F5F7F9"/>
            <w:tcMar>
              <w:top w:w="100" w:type="dxa"/>
              <w:start w:w="120" w:type="dxa"/>
              <w:bottom w:w="100" w:type="dxa"/>
              <w:end w:w="120" w:type="dxa"/>
            </w:tcMar>
          </w:tcPr>
          <w:p>
            <w:pPr>
              <w:spacing w:after="0"/>
            </w:pPr>
            <w:r>
              <w:rPr>
                <w:color w:val="102130"/>
                <w:sz w:val="17"/>
              </w:rPr>
              <w:t>#F5F7F9</w:t>
            </w:r>
          </w:p>
        </w:tc>
        <w:tc>
          <w:tcPr>
            <w:tcW w:type="dxa" w:w="5832"/>
            <w:vAlign w:val="center"/>
            <w:shd w:fill="F5F7F9"/>
            <w:tcMar>
              <w:top w:w="100" w:type="dxa"/>
              <w:start w:w="120" w:type="dxa"/>
              <w:bottom w:w="100" w:type="dxa"/>
              <w:end w:w="120" w:type="dxa"/>
            </w:tcMar>
          </w:tcPr>
          <w:p>
            <w:pPr>
              <w:spacing w:after="0"/>
            </w:pPr>
            <w:r>
              <w:rPr>
                <w:color w:val="102130"/>
                <w:sz w:val="17"/>
              </w:rPr>
              <w:t>Application background</w:t>
            </w:r>
          </w:p>
        </w:tc>
      </w:tr>
      <w:tr>
        <w:tc>
          <w:tcPr>
            <w:tcW w:type="dxa" w:w="2088"/>
            <w:vAlign w:val="center"/>
            <w:tcMar>
              <w:top w:w="100" w:type="dxa"/>
              <w:start w:w="120" w:type="dxa"/>
              <w:bottom w:w="100" w:type="dxa"/>
              <w:end w:w="120" w:type="dxa"/>
            </w:tcMar>
          </w:tcPr>
          <w:p>
            <w:pPr>
              <w:spacing w:after="0"/>
            </w:pPr>
            <w:r>
              <w:rPr>
                <w:color w:val="102130"/>
                <w:sz w:val="17"/>
              </w:rPr>
              <w:t>White</w:t>
            </w:r>
          </w:p>
        </w:tc>
        <w:tc>
          <w:tcPr>
            <w:tcW w:type="dxa" w:w="1440"/>
            <w:vAlign w:val="center"/>
            <w:tcMar>
              <w:top w:w="100" w:type="dxa"/>
              <w:start w:w="120" w:type="dxa"/>
              <w:bottom w:w="100" w:type="dxa"/>
              <w:end w:w="120" w:type="dxa"/>
            </w:tcMar>
          </w:tcPr>
          <w:p>
            <w:pPr>
              <w:spacing w:after="0"/>
            </w:pPr>
            <w:r>
              <w:rPr>
                <w:color w:val="102130"/>
                <w:sz w:val="17"/>
              </w:rPr>
              <w:t>#FFFFFF</w:t>
            </w:r>
          </w:p>
        </w:tc>
        <w:tc>
          <w:tcPr>
            <w:tcW w:type="dxa" w:w="5832"/>
            <w:vAlign w:val="center"/>
            <w:tcMar>
              <w:top w:w="100" w:type="dxa"/>
              <w:start w:w="120" w:type="dxa"/>
              <w:bottom w:w="100" w:type="dxa"/>
              <w:end w:w="120" w:type="dxa"/>
            </w:tcMar>
          </w:tcPr>
          <w:p>
            <w:pPr>
              <w:spacing w:after="0"/>
            </w:pPr>
            <w:r>
              <w:rPr>
                <w:color w:val="102130"/>
                <w:sz w:val="17"/>
              </w:rPr>
              <w:t>Primary surfaces</w:t>
            </w:r>
          </w:p>
        </w:tc>
      </w:tr>
      <w:tr>
        <w:tc>
          <w:tcPr>
            <w:tcW w:type="dxa" w:w="2088"/>
            <w:vAlign w:val="center"/>
            <w:shd w:fill="F5F7F9"/>
            <w:tcMar>
              <w:top w:w="100" w:type="dxa"/>
              <w:start w:w="120" w:type="dxa"/>
              <w:bottom w:w="100" w:type="dxa"/>
              <w:end w:w="120" w:type="dxa"/>
            </w:tcMar>
          </w:tcPr>
          <w:p>
            <w:pPr>
              <w:spacing w:after="0"/>
            </w:pPr>
            <w:r>
              <w:rPr>
                <w:color w:val="102130"/>
                <w:sz w:val="17"/>
              </w:rPr>
              <w:t>Ink</w:t>
            </w:r>
          </w:p>
        </w:tc>
        <w:tc>
          <w:tcPr>
            <w:tcW w:type="dxa" w:w="1440"/>
            <w:vAlign w:val="center"/>
            <w:shd w:fill="F5F7F9"/>
            <w:tcMar>
              <w:top w:w="100" w:type="dxa"/>
              <w:start w:w="120" w:type="dxa"/>
              <w:bottom w:w="100" w:type="dxa"/>
              <w:end w:w="120" w:type="dxa"/>
            </w:tcMar>
          </w:tcPr>
          <w:p>
            <w:pPr>
              <w:spacing w:after="0"/>
            </w:pPr>
            <w:r>
              <w:rPr>
                <w:color w:val="102130"/>
                <w:sz w:val="17"/>
              </w:rPr>
              <w:t>#102130</w:t>
            </w:r>
          </w:p>
        </w:tc>
        <w:tc>
          <w:tcPr>
            <w:tcW w:type="dxa" w:w="5832"/>
            <w:vAlign w:val="center"/>
            <w:shd w:fill="F5F7F9"/>
            <w:tcMar>
              <w:top w:w="100" w:type="dxa"/>
              <w:start w:w="120" w:type="dxa"/>
              <w:bottom w:w="100" w:type="dxa"/>
              <w:end w:w="120" w:type="dxa"/>
            </w:tcMar>
          </w:tcPr>
          <w:p>
            <w:pPr>
              <w:spacing w:after="0"/>
            </w:pPr>
            <w:r>
              <w:rPr>
                <w:color w:val="102130"/>
                <w:sz w:val="17"/>
              </w:rPr>
              <w:t>Main content text</w:t>
            </w:r>
          </w:p>
        </w:tc>
      </w:tr>
      <w:tr>
        <w:tc>
          <w:tcPr>
            <w:tcW w:type="dxa" w:w="2088"/>
            <w:vAlign w:val="center"/>
            <w:tcMar>
              <w:top w:w="100" w:type="dxa"/>
              <w:start w:w="120" w:type="dxa"/>
              <w:bottom w:w="100" w:type="dxa"/>
              <w:end w:w="120" w:type="dxa"/>
            </w:tcMar>
          </w:tcPr>
          <w:p>
            <w:pPr>
              <w:spacing w:after="0"/>
            </w:pPr>
            <w:r>
              <w:rPr>
                <w:color w:val="102130"/>
                <w:sz w:val="17"/>
              </w:rPr>
              <w:t>Slate</w:t>
            </w:r>
          </w:p>
        </w:tc>
        <w:tc>
          <w:tcPr>
            <w:tcW w:type="dxa" w:w="1440"/>
            <w:vAlign w:val="center"/>
            <w:tcMar>
              <w:top w:w="100" w:type="dxa"/>
              <w:start w:w="120" w:type="dxa"/>
              <w:bottom w:w="100" w:type="dxa"/>
              <w:end w:w="120" w:type="dxa"/>
            </w:tcMar>
          </w:tcPr>
          <w:p>
            <w:pPr>
              <w:spacing w:after="0"/>
            </w:pPr>
            <w:r>
              <w:rPr>
                <w:color w:val="102130"/>
                <w:sz w:val="17"/>
              </w:rPr>
              <w:t>#5E6B75</w:t>
            </w:r>
          </w:p>
        </w:tc>
        <w:tc>
          <w:tcPr>
            <w:tcW w:type="dxa" w:w="5832"/>
            <w:vAlign w:val="center"/>
            <w:tcMar>
              <w:top w:w="100" w:type="dxa"/>
              <w:start w:w="120" w:type="dxa"/>
              <w:bottom w:w="100" w:type="dxa"/>
              <w:end w:w="120" w:type="dxa"/>
            </w:tcMar>
          </w:tcPr>
          <w:p>
            <w:pPr>
              <w:spacing w:after="0"/>
            </w:pPr>
            <w:r>
              <w:rPr>
                <w:color w:val="102130"/>
                <w:sz w:val="17"/>
              </w:rPr>
              <w:t>Secondary text</w:t>
            </w:r>
          </w:p>
        </w:tc>
      </w:tr>
      <w:tr>
        <w:tc>
          <w:tcPr>
            <w:tcW w:type="dxa" w:w="2088"/>
            <w:vAlign w:val="center"/>
            <w:shd w:fill="F5F7F9"/>
            <w:tcMar>
              <w:top w:w="100" w:type="dxa"/>
              <w:start w:w="120" w:type="dxa"/>
              <w:bottom w:w="100" w:type="dxa"/>
              <w:end w:w="120" w:type="dxa"/>
            </w:tcMar>
          </w:tcPr>
          <w:p>
            <w:pPr>
              <w:spacing w:after="0"/>
            </w:pPr>
            <w:r>
              <w:rPr>
                <w:color w:val="102130"/>
                <w:sz w:val="17"/>
              </w:rPr>
              <w:t>Mist</w:t>
            </w:r>
          </w:p>
        </w:tc>
        <w:tc>
          <w:tcPr>
            <w:tcW w:type="dxa" w:w="1440"/>
            <w:vAlign w:val="center"/>
            <w:shd w:fill="F5F7F9"/>
            <w:tcMar>
              <w:top w:w="100" w:type="dxa"/>
              <w:start w:w="120" w:type="dxa"/>
              <w:bottom w:w="100" w:type="dxa"/>
              <w:end w:w="120" w:type="dxa"/>
            </w:tcMar>
          </w:tcPr>
          <w:p>
            <w:pPr>
              <w:spacing w:after="0"/>
            </w:pPr>
            <w:r>
              <w:rPr>
                <w:color w:val="102130"/>
                <w:sz w:val="17"/>
              </w:rPr>
              <w:t>#D8E0E5</w:t>
            </w:r>
          </w:p>
        </w:tc>
        <w:tc>
          <w:tcPr>
            <w:tcW w:type="dxa" w:w="5832"/>
            <w:vAlign w:val="center"/>
            <w:shd w:fill="F5F7F9"/>
            <w:tcMar>
              <w:top w:w="100" w:type="dxa"/>
              <w:start w:w="120" w:type="dxa"/>
              <w:bottom w:w="100" w:type="dxa"/>
              <w:end w:w="120" w:type="dxa"/>
            </w:tcMar>
          </w:tcPr>
          <w:p>
            <w:pPr>
              <w:spacing w:after="0"/>
            </w:pPr>
            <w:r>
              <w:rPr>
                <w:color w:val="102130"/>
                <w:sz w:val="17"/>
              </w:rPr>
              <w:t>Borders and separators</w:t>
            </w:r>
          </w:p>
        </w:tc>
      </w:tr>
      <w:tr>
        <w:tc>
          <w:tcPr>
            <w:tcW w:type="dxa" w:w="2088"/>
            <w:vAlign w:val="center"/>
            <w:tcMar>
              <w:top w:w="100" w:type="dxa"/>
              <w:start w:w="120" w:type="dxa"/>
              <w:bottom w:w="100" w:type="dxa"/>
              <w:end w:w="120" w:type="dxa"/>
            </w:tcMar>
          </w:tcPr>
          <w:p>
            <w:pPr>
              <w:spacing w:after="0"/>
            </w:pPr>
            <w:r>
              <w:rPr>
                <w:color w:val="102130"/>
                <w:sz w:val="17"/>
              </w:rPr>
              <w:t>Healthy</w:t>
            </w:r>
          </w:p>
        </w:tc>
        <w:tc>
          <w:tcPr>
            <w:tcW w:type="dxa" w:w="1440"/>
            <w:vAlign w:val="center"/>
            <w:tcMar>
              <w:top w:w="100" w:type="dxa"/>
              <w:start w:w="120" w:type="dxa"/>
              <w:bottom w:w="100" w:type="dxa"/>
              <w:end w:w="120" w:type="dxa"/>
            </w:tcMar>
          </w:tcPr>
          <w:p>
            <w:pPr>
              <w:spacing w:after="0"/>
            </w:pPr>
            <w:r>
              <w:rPr>
                <w:color w:val="102130"/>
                <w:sz w:val="17"/>
              </w:rPr>
              <w:t>#16794B</w:t>
            </w:r>
          </w:p>
        </w:tc>
        <w:tc>
          <w:tcPr>
            <w:tcW w:type="dxa" w:w="5832"/>
            <w:vAlign w:val="center"/>
            <w:tcMar>
              <w:top w:w="100" w:type="dxa"/>
              <w:start w:w="120" w:type="dxa"/>
              <w:bottom w:w="100" w:type="dxa"/>
              <w:end w:w="120" w:type="dxa"/>
            </w:tcMar>
          </w:tcPr>
          <w:p>
            <w:pPr>
              <w:spacing w:after="0"/>
            </w:pPr>
            <w:r>
              <w:rPr>
                <w:color w:val="102130"/>
                <w:sz w:val="17"/>
              </w:rPr>
              <w:t>Confirmed and reconciled status</w:t>
            </w:r>
          </w:p>
        </w:tc>
      </w:tr>
      <w:tr>
        <w:tc>
          <w:tcPr>
            <w:tcW w:type="dxa" w:w="2088"/>
            <w:vAlign w:val="center"/>
            <w:shd w:fill="F5F7F9"/>
            <w:tcMar>
              <w:top w:w="100" w:type="dxa"/>
              <w:start w:w="120" w:type="dxa"/>
              <w:bottom w:w="100" w:type="dxa"/>
              <w:end w:w="120" w:type="dxa"/>
            </w:tcMar>
          </w:tcPr>
          <w:p>
            <w:pPr>
              <w:spacing w:after="0"/>
            </w:pPr>
            <w:r>
              <w:rPr>
                <w:color w:val="102130"/>
                <w:sz w:val="17"/>
              </w:rPr>
              <w:t>Attention</w:t>
            </w:r>
          </w:p>
        </w:tc>
        <w:tc>
          <w:tcPr>
            <w:tcW w:type="dxa" w:w="1440"/>
            <w:vAlign w:val="center"/>
            <w:shd w:fill="F5F7F9"/>
            <w:tcMar>
              <w:top w:w="100" w:type="dxa"/>
              <w:start w:w="120" w:type="dxa"/>
              <w:bottom w:w="100" w:type="dxa"/>
              <w:end w:w="120" w:type="dxa"/>
            </w:tcMar>
          </w:tcPr>
          <w:p>
            <w:pPr>
              <w:spacing w:after="0"/>
            </w:pPr>
            <w:r>
              <w:rPr>
                <w:color w:val="102130"/>
                <w:sz w:val="17"/>
              </w:rPr>
              <w:t>#A15C00</w:t>
            </w:r>
          </w:p>
        </w:tc>
        <w:tc>
          <w:tcPr>
            <w:tcW w:type="dxa" w:w="5832"/>
            <w:vAlign w:val="center"/>
            <w:shd w:fill="F5F7F9"/>
            <w:tcMar>
              <w:top w:w="100" w:type="dxa"/>
              <w:start w:w="120" w:type="dxa"/>
              <w:bottom w:w="100" w:type="dxa"/>
              <w:end w:w="120" w:type="dxa"/>
            </w:tcMar>
          </w:tcPr>
          <w:p>
            <w:pPr>
              <w:spacing w:after="0"/>
            </w:pPr>
            <w:r>
              <w:rPr>
                <w:color w:val="102130"/>
                <w:sz w:val="17"/>
              </w:rPr>
              <w:t>Cost requiring review</w:t>
            </w:r>
          </w:p>
        </w:tc>
      </w:tr>
      <w:tr>
        <w:tc>
          <w:tcPr>
            <w:tcW w:type="dxa" w:w="2088"/>
            <w:vAlign w:val="center"/>
            <w:tcMar>
              <w:top w:w="100" w:type="dxa"/>
              <w:start w:w="120" w:type="dxa"/>
              <w:bottom w:w="100" w:type="dxa"/>
              <w:end w:w="120" w:type="dxa"/>
            </w:tcMar>
          </w:tcPr>
          <w:p>
            <w:pPr>
              <w:spacing w:after="0"/>
            </w:pPr>
            <w:r>
              <w:rPr>
                <w:color w:val="102130"/>
                <w:sz w:val="17"/>
              </w:rPr>
              <w:t>Critical</w:t>
            </w:r>
          </w:p>
        </w:tc>
        <w:tc>
          <w:tcPr>
            <w:tcW w:type="dxa" w:w="1440"/>
            <w:vAlign w:val="center"/>
            <w:tcMar>
              <w:top w:w="100" w:type="dxa"/>
              <w:start w:w="120" w:type="dxa"/>
              <w:bottom w:w="100" w:type="dxa"/>
              <w:end w:w="120" w:type="dxa"/>
            </w:tcMar>
          </w:tcPr>
          <w:p>
            <w:pPr>
              <w:spacing w:after="0"/>
            </w:pPr>
            <w:r>
              <w:rPr>
                <w:color w:val="102130"/>
                <w:sz w:val="17"/>
              </w:rPr>
              <w:t>#B42318</w:t>
            </w:r>
          </w:p>
        </w:tc>
        <w:tc>
          <w:tcPr>
            <w:tcW w:type="dxa" w:w="5832"/>
            <w:vAlign w:val="center"/>
            <w:tcMar>
              <w:top w:w="100" w:type="dxa"/>
              <w:start w:w="120" w:type="dxa"/>
              <w:bottom w:w="100" w:type="dxa"/>
              <w:end w:w="120" w:type="dxa"/>
            </w:tcMar>
          </w:tcPr>
          <w:p>
            <w:pPr>
              <w:spacing w:after="0"/>
            </w:pPr>
            <w:r>
              <w:rPr>
                <w:color w:val="102130"/>
                <w:sz w:val="17"/>
              </w:rPr>
              <w:t>Blocking error or material overspend</w:t>
            </w:r>
          </w:p>
        </w:tc>
      </w:tr>
      <w:tr>
        <w:tc>
          <w:tcPr>
            <w:tcW w:type="dxa" w:w="2088"/>
            <w:vAlign w:val="center"/>
            <w:shd w:fill="F5F7F9"/>
            <w:tcMar>
              <w:top w:w="100" w:type="dxa"/>
              <w:start w:w="120" w:type="dxa"/>
              <w:bottom w:w="100" w:type="dxa"/>
              <w:end w:w="120" w:type="dxa"/>
            </w:tcMar>
          </w:tcPr>
          <w:p>
            <w:pPr>
              <w:spacing w:after="0"/>
            </w:pPr>
            <w:r>
              <w:rPr>
                <w:color w:val="102130"/>
                <w:sz w:val="17"/>
              </w:rPr>
              <w:t>Information</w:t>
            </w:r>
          </w:p>
        </w:tc>
        <w:tc>
          <w:tcPr>
            <w:tcW w:type="dxa" w:w="1440"/>
            <w:vAlign w:val="center"/>
            <w:shd w:fill="F5F7F9"/>
            <w:tcMar>
              <w:top w:w="100" w:type="dxa"/>
              <w:start w:w="120" w:type="dxa"/>
              <w:bottom w:w="100" w:type="dxa"/>
              <w:end w:w="120" w:type="dxa"/>
            </w:tcMar>
          </w:tcPr>
          <w:p>
            <w:pPr>
              <w:spacing w:after="0"/>
            </w:pPr>
            <w:r>
              <w:rPr>
                <w:color w:val="102130"/>
                <w:sz w:val="17"/>
              </w:rPr>
              <w:t>#1D4ED8</w:t>
            </w:r>
          </w:p>
        </w:tc>
        <w:tc>
          <w:tcPr>
            <w:tcW w:type="dxa" w:w="5832"/>
            <w:vAlign w:val="center"/>
            <w:shd w:fill="F5F7F9"/>
            <w:tcMar>
              <w:top w:w="100" w:type="dxa"/>
              <w:start w:w="120" w:type="dxa"/>
              <w:bottom w:w="100" w:type="dxa"/>
              <w:end w:w="120" w:type="dxa"/>
            </w:tcMar>
          </w:tcPr>
          <w:p>
            <w:pPr>
              <w:spacing w:after="0"/>
            </w:pPr>
            <w:r>
              <w:rPr>
                <w:color w:val="102130"/>
                <w:sz w:val="17"/>
              </w:rPr>
              <w:t>Neutral explanation</w:t>
            </w:r>
          </w:p>
        </w:tc>
      </w:tr>
    </w:tbl>
    <w:p>
      <w:pPr>
        <w:spacing w:after="0"/>
      </w:pPr>
    </w:p>
    <w:p>
      <w:pPr>
        <w:pStyle w:val="Heading2"/>
      </w:pPr>
      <w:r>
        <w:t>Colour rules</w:t>
      </w:r>
    </w:p>
    <w:p>
      <w:pPr>
        <w:pStyle w:val="ListBullet"/>
      </w:pPr>
      <w:r>
        <w:t>Colour communicates status, not simply positive or negative arithmetic.</w:t>
      </w:r>
    </w:p>
    <w:p>
      <w:pPr>
        <w:pStyle w:val="ListBullet"/>
      </w:pPr>
      <w:r>
        <w:t>Every status also uses text and an icon or line style.</w:t>
      </w:r>
    </w:p>
    <w:p>
      <w:pPr>
        <w:pStyle w:val="ListBullet"/>
      </w:pPr>
      <w:r>
        <w:t>Forecast values use a distinct line or label from actual values.</w:t>
      </w:r>
    </w:p>
    <w:p>
      <w:pPr>
        <w:pStyle w:val="ListBullet"/>
      </w:pPr>
      <w:r>
        <w:t>Mint is paired with dark Midnight text rather than white.</w:t>
      </w:r>
    </w:p>
    <w:p>
      <w:pPr>
        <w:pStyle w:val="ListBullet"/>
      </w:pPr>
      <w:r>
        <w:t>Critical red is reserved for errors, blocking conditions and material cost risk.</w:t>
      </w:r>
    </w:p>
    <w:p>
      <w:pPr>
        <w:pStyle w:val="Heading2"/>
      </w:pPr>
      <w:r>
        <w:t>Typography and numbers</w:t>
      </w:r>
    </w:p>
    <w:p>
      <w:pPr>
        <w:pStyle w:val="ListBullet"/>
      </w:pPr>
      <w:r>
        <w:t>Use Inter in the application, with regular and medium weights.</w:t>
      </w:r>
    </w:p>
    <w:p>
      <w:pPr>
        <w:pStyle w:val="ListBullet"/>
      </w:pPr>
      <w:r>
        <w:t>Use tabular numerals for monetary values.</w:t>
      </w:r>
    </w:p>
    <w:p>
      <w:pPr>
        <w:pStyle w:val="ListBullet"/>
      </w:pPr>
      <w:r>
        <w:t>Right-align numerical table columns.</w:t>
      </w:r>
    </w:p>
    <w:p>
      <w:pPr>
        <w:pStyle w:val="ListBullet"/>
      </w:pPr>
      <w:r>
        <w:t>Show exact values where a decision depends on the amount.</w:t>
      </w:r>
    </w:p>
    <w:p>
      <w:pPr>
        <w:pStyle w:val="ListBullet"/>
      </w:pPr>
      <w:r>
        <w:t>Use an unambiguous date such as 28 Jul 2026.</w:t>
      </w:r>
    </w:p>
    <w:p>
      <w:pPr>
        <w:pStyle w:val="ListBullet"/>
      </w:pPr>
      <w:r>
        <w:t>Always show currency and label actual, committed, forecast and estimated values.</w:t>
      </w:r>
    </w:p>
    <w:p>
      <w:pPr>
        <w:pStyle w:val="Heading2"/>
      </w:pPr>
      <w:r>
        <w:t>Application navigation</w:t>
      </w:r>
    </w:p>
    <w:p>
      <w:pPr>
        <w:pStyle w:val="ListBullet"/>
      </w:pPr>
      <w:r>
        <w:t>Home</w:t>
      </w:r>
    </w:p>
    <w:p>
      <w:pPr>
        <w:pStyle w:val="ListBullet"/>
      </w:pPr>
      <w:r>
        <w:t>Costs: All costs, Fuel, Vehicles, Maintenance, Wage costs and Operating costs</w:t>
      </w:r>
    </w:p>
    <w:p>
      <w:pPr>
        <w:pStyle w:val="ListBullet"/>
      </w:pPr>
      <w:r>
        <w:t>Budgets: CEC budget, Other budgets and Budget changes</w:t>
      </w:r>
    </w:p>
    <w:p>
      <w:pPr>
        <w:pStyle w:val="ListBullet"/>
      </w:pPr>
      <w:r>
        <w:t>Forecast</w:t>
      </w:r>
    </w:p>
    <w:p>
      <w:pPr>
        <w:pStyle w:val="ListBullet"/>
      </w:pPr>
      <w:r>
        <w:t>Commitments</w:t>
      </w:r>
    </w:p>
    <w:p>
      <w:pPr>
        <w:pStyle w:val="ListBullet"/>
      </w:pPr>
      <w:r>
        <w:t>Suppliers</w:t>
      </w:r>
    </w:p>
    <w:p>
      <w:pPr>
        <w:pStyle w:val="ListBullet"/>
      </w:pPr>
      <w:r>
        <w:t>Cost reviews</w:t>
      </w:r>
    </w:p>
    <w:p>
      <w:pPr>
        <w:pStyle w:val="ListBullet"/>
      </w:pPr>
      <w:r>
        <w:t>Reports</w:t>
      </w:r>
    </w:p>
    <w:p>
      <w:pPr>
        <w:pStyle w:val="ListBullet"/>
      </w:pPr>
      <w:r>
        <w:t>Imports</w:t>
      </w:r>
    </w:p>
    <w:p>
      <w:pPr>
        <w:pStyle w:val="ListBullet"/>
      </w:pPr>
      <w:r>
        <w:t>Settings</w:t>
      </w:r>
    </w:p>
    <w:p>
      <w:pPr>
        <w:pStyle w:val="Heading2"/>
      </w:pPr>
      <w:r>
        <w:t>Interaction rules</w:t>
      </w:r>
    </w:p>
    <w:p>
      <w:pPr>
        <w:pStyle w:val="ListBullet"/>
      </w:pPr>
      <w:r>
        <w:t>One dominant decision per page.</w:t>
      </w:r>
    </w:p>
    <w:p>
      <w:pPr>
        <w:pStyle w:val="ListBullet"/>
      </w:pPr>
      <w:r>
        <w:t>Sources and calculations are inspectable without losing context.</w:t>
      </w:r>
    </w:p>
    <w:p>
      <w:pPr>
        <w:pStyle w:val="ListBullet"/>
      </w:pPr>
      <w:r>
        <w:t>Large changes receive a preview and explicit confirmation.</w:t>
      </w:r>
    </w:p>
    <w:p>
      <w:pPr>
        <w:pStyle w:val="ListBullet"/>
      </w:pPr>
      <w:r>
        <w:t>A blocking data issue identifies what is unavailable and how to resolve it.</w:t>
      </w:r>
    </w:p>
    <w:p>
      <w:pPr>
        <w:pStyle w:val="ListBullet"/>
      </w:pPr>
      <w:r>
        <w:t>Tables become labelled rows on narrow screens.</w:t>
      </w:r>
    </w:p>
    <w:p>
      <w:pPr>
        <w:pStyle w:val="ListBullet"/>
      </w:pPr>
      <w:r>
        <w:t>Desktop is optimised for analysis; mobile is optimised for review and approval.</w:t>
      </w:r>
    </w:p>
    <w:p>
      <w:pPr>
        <w:pStyle w:val="ListBullet"/>
      </w:pPr>
      <w:r>
        <w:t>Target WCAG 2.2 AA and never rely on colour alone.</w:t>
      </w:r>
    </w:p>
    <w:p>
      <w:r>
        <w:br w:type="page"/>
      </w:r>
    </w:p>
    <w:p>
      <w:pPr>
        <w:pStyle w:val="Heading1"/>
      </w:pPr>
      <w:r>
        <w:t>17. Reports and management information</w:t>
      </w:r>
    </w:p>
    <w:tbl>
      <w:tblPr>
        <w:tblStyle w:val="TableGrid"/>
        <w:tblW w:type="dxa" w:w="9360"/>
        <w:jc w:val="left"/>
        <w:tblLayout w:type="fixed"/>
        <w:tblLook w:firstColumn="1" w:firstRow="1" w:lastColumn="0" w:lastRow="0" w:noHBand="0" w:noVBand="1" w:val="04A0"/>
        <w:tblInd w:w="120" w:type="dxa"/>
      </w:tblPr>
      <w:tblGrid>
        <w:gridCol w:w="2448"/>
        <w:gridCol w:w="6912"/>
      </w:tblGrid>
      <w:tr>
        <w:trPr>
          <w:tblHeader w:val="true"/>
        </w:trPr>
        <w:tc>
          <w:tcPr>
            <w:tcW w:type="dxa" w:w="2448"/>
            <w:shd w:fill="0B1F33"/>
            <w:vAlign w:val="center"/>
            <w:tcMar>
              <w:top w:w="100" w:type="dxa"/>
              <w:start w:w="120" w:type="dxa"/>
              <w:bottom w:w="100" w:type="dxa"/>
              <w:end w:w="120" w:type="dxa"/>
            </w:tcMar>
          </w:tcPr>
          <w:p>
            <w:pPr>
              <w:spacing w:after="0"/>
            </w:pPr>
            <w:r>
              <w:rPr>
                <w:b/>
                <w:color w:val="FFFFFF"/>
                <w:sz w:val="17"/>
              </w:rPr>
              <w:t>Report</w:t>
            </w:r>
          </w:p>
        </w:tc>
        <w:tc>
          <w:tcPr>
            <w:tcW w:type="dxa" w:w="6912"/>
            <w:shd w:fill="0B1F33"/>
            <w:vAlign w:val="center"/>
            <w:tcMar>
              <w:top w:w="100" w:type="dxa"/>
              <w:start w:w="120" w:type="dxa"/>
              <w:bottom w:w="100" w:type="dxa"/>
              <w:end w:w="120" w:type="dxa"/>
            </w:tcMar>
          </w:tcPr>
          <w:p>
            <w:pPr>
              <w:spacing w:after="0"/>
            </w:pPr>
            <w:r>
              <w:rPr>
                <w:b/>
                <w:color w:val="FFFFFF"/>
                <w:sz w:val="17"/>
              </w:rPr>
              <w:t>Core contents</w:t>
            </w:r>
          </w:p>
        </w:tc>
      </w:tr>
      <w:tr>
        <w:tc>
          <w:tcPr>
            <w:tcW w:type="dxa" w:w="2448"/>
            <w:vAlign w:val="center"/>
            <w:tcMar>
              <w:top w:w="100" w:type="dxa"/>
              <w:start w:w="120" w:type="dxa"/>
              <w:bottom w:w="100" w:type="dxa"/>
              <w:end w:w="120" w:type="dxa"/>
            </w:tcMar>
          </w:tcPr>
          <w:p>
            <w:pPr>
              <w:spacing w:after="0"/>
            </w:pPr>
            <w:r>
              <w:rPr>
                <w:color w:val="102130"/>
                <w:sz w:val="17"/>
              </w:rPr>
              <w:t>CEC budget</w:t>
            </w:r>
          </w:p>
        </w:tc>
        <w:tc>
          <w:tcPr>
            <w:tcW w:type="dxa" w:w="6912"/>
            <w:vAlign w:val="center"/>
            <w:tcMar>
              <w:top w:w="100" w:type="dxa"/>
              <w:start w:w="120" w:type="dxa"/>
              <w:bottom w:w="100" w:type="dxa"/>
              <w:end w:w="120" w:type="dxa"/>
            </w:tcMar>
          </w:tcPr>
          <w:p>
            <w:pPr>
              <w:spacing w:after="0"/>
            </w:pPr>
            <w:r>
              <w:rPr>
                <w:color w:val="102130"/>
                <w:sz w:val="17"/>
              </w:rPr>
              <w:t>Approved, revised, actual, committed, forecast, projected final and remaining amounts</w:t>
            </w:r>
          </w:p>
        </w:tc>
      </w:tr>
      <w:tr>
        <w:tc>
          <w:tcPr>
            <w:tcW w:type="dxa" w:w="2448"/>
            <w:vAlign w:val="center"/>
            <w:shd w:fill="F5F7F9"/>
            <w:tcMar>
              <w:top w:w="100" w:type="dxa"/>
              <w:start w:w="120" w:type="dxa"/>
              <w:bottom w:w="100" w:type="dxa"/>
              <w:end w:w="120" w:type="dxa"/>
            </w:tcMar>
          </w:tcPr>
          <w:p>
            <w:pPr>
              <w:spacing w:after="0"/>
            </w:pPr>
            <w:r>
              <w:rPr>
                <w:color w:val="102130"/>
                <w:sz w:val="17"/>
              </w:rPr>
              <w:t>Budget variance</w:t>
            </w:r>
          </w:p>
        </w:tc>
        <w:tc>
          <w:tcPr>
            <w:tcW w:type="dxa" w:w="6912"/>
            <w:vAlign w:val="center"/>
            <w:shd w:fill="F5F7F9"/>
            <w:tcMar>
              <w:top w:w="100" w:type="dxa"/>
              <w:start w:w="120" w:type="dxa"/>
              <w:bottom w:w="100" w:type="dxa"/>
              <w:end w:w="120" w:type="dxa"/>
            </w:tcMar>
          </w:tcPr>
          <w:p>
            <w:pPr>
              <w:spacing w:after="0"/>
            </w:pPr>
            <w:r>
              <w:rPr>
                <w:color w:val="102130"/>
                <w:sz w:val="17"/>
              </w:rPr>
              <w:t>Variance by period, category, cost centre, vehicle and owner</w:t>
            </w:r>
          </w:p>
        </w:tc>
      </w:tr>
      <w:tr>
        <w:tc>
          <w:tcPr>
            <w:tcW w:type="dxa" w:w="2448"/>
            <w:vAlign w:val="center"/>
            <w:tcMar>
              <w:top w:w="100" w:type="dxa"/>
              <w:start w:w="120" w:type="dxa"/>
              <w:bottom w:w="100" w:type="dxa"/>
              <w:end w:w="120" w:type="dxa"/>
            </w:tcMar>
          </w:tcPr>
          <w:p>
            <w:pPr>
              <w:spacing w:after="0"/>
            </w:pPr>
            <w:r>
              <w:rPr>
                <w:color w:val="102130"/>
                <w:sz w:val="17"/>
              </w:rPr>
              <w:t>Monthly costs</w:t>
            </w:r>
          </w:p>
        </w:tc>
        <w:tc>
          <w:tcPr>
            <w:tcW w:type="dxa" w:w="6912"/>
            <w:vAlign w:val="center"/>
            <w:tcMar>
              <w:top w:w="100" w:type="dxa"/>
              <w:start w:w="120" w:type="dxa"/>
              <w:bottom w:w="100" w:type="dxa"/>
              <w:end w:w="120" w:type="dxa"/>
            </w:tcMar>
          </w:tcPr>
          <w:p>
            <w:pPr>
              <w:spacing w:after="0"/>
            </w:pPr>
            <w:r>
              <w:rPr>
                <w:color w:val="102130"/>
                <w:sz w:val="17"/>
              </w:rPr>
              <w:t>Period totals, changes, exceptions and forecast</w:t>
            </w:r>
          </w:p>
        </w:tc>
      </w:tr>
      <w:tr>
        <w:tc>
          <w:tcPr>
            <w:tcW w:type="dxa" w:w="2448"/>
            <w:vAlign w:val="center"/>
            <w:shd w:fill="F5F7F9"/>
            <w:tcMar>
              <w:top w:w="100" w:type="dxa"/>
              <w:start w:w="120" w:type="dxa"/>
              <w:bottom w:w="100" w:type="dxa"/>
              <w:end w:w="120" w:type="dxa"/>
            </w:tcMar>
          </w:tcPr>
          <w:p>
            <w:pPr>
              <w:spacing w:after="0"/>
            </w:pPr>
            <w:r>
              <w:rPr>
                <w:color w:val="102130"/>
                <w:sz w:val="17"/>
              </w:rPr>
              <w:t>Fuel costs</w:t>
            </w:r>
          </w:p>
        </w:tc>
        <w:tc>
          <w:tcPr>
            <w:tcW w:type="dxa" w:w="6912"/>
            <w:vAlign w:val="center"/>
            <w:shd w:fill="F5F7F9"/>
            <w:tcMar>
              <w:top w:w="100" w:type="dxa"/>
              <w:start w:w="120" w:type="dxa"/>
              <w:bottom w:w="100" w:type="dxa"/>
              <w:end w:w="120" w:type="dxa"/>
            </w:tcMar>
          </w:tcPr>
          <w:p>
            <w:pPr>
              <w:spacing w:after="0"/>
            </w:pPr>
            <w:r>
              <w:rPr>
                <w:color w:val="102130"/>
                <w:sz w:val="17"/>
              </w:rPr>
              <w:t>Spend, litres, price per litre, cost per mile, allocation and anomalies</w:t>
            </w:r>
          </w:p>
        </w:tc>
      </w:tr>
      <w:tr>
        <w:tc>
          <w:tcPr>
            <w:tcW w:type="dxa" w:w="2448"/>
            <w:vAlign w:val="center"/>
            <w:tcMar>
              <w:top w:w="100" w:type="dxa"/>
              <w:start w:w="120" w:type="dxa"/>
              <w:bottom w:w="100" w:type="dxa"/>
              <w:end w:w="120" w:type="dxa"/>
            </w:tcMar>
          </w:tcPr>
          <w:p>
            <w:pPr>
              <w:spacing w:after="0"/>
            </w:pPr>
            <w:r>
              <w:rPr>
                <w:color w:val="102130"/>
                <w:sz w:val="17"/>
              </w:rPr>
              <w:t>Vehicle costs</w:t>
            </w:r>
          </w:p>
        </w:tc>
        <w:tc>
          <w:tcPr>
            <w:tcW w:type="dxa" w:w="6912"/>
            <w:vAlign w:val="center"/>
            <w:tcMar>
              <w:top w:w="100" w:type="dxa"/>
              <w:start w:w="120" w:type="dxa"/>
              <w:bottom w:w="100" w:type="dxa"/>
              <w:end w:w="120" w:type="dxa"/>
            </w:tcMar>
          </w:tcPr>
          <w:p>
            <w:pPr>
              <w:spacing w:after="0"/>
            </w:pPr>
            <w:r>
              <w:rPr>
                <w:color w:val="102130"/>
                <w:sz w:val="17"/>
              </w:rPr>
              <w:t>Finance, fuel, maintenance, insurance, tax and total cost</w:t>
            </w:r>
          </w:p>
        </w:tc>
      </w:tr>
      <w:tr>
        <w:tc>
          <w:tcPr>
            <w:tcW w:type="dxa" w:w="2448"/>
            <w:vAlign w:val="center"/>
            <w:shd w:fill="F5F7F9"/>
            <w:tcMar>
              <w:top w:w="100" w:type="dxa"/>
              <w:start w:w="120" w:type="dxa"/>
              <w:bottom w:w="100" w:type="dxa"/>
              <w:end w:w="120" w:type="dxa"/>
            </w:tcMar>
          </w:tcPr>
          <w:p>
            <w:pPr>
              <w:spacing w:after="0"/>
            </w:pPr>
            <w:r>
              <w:rPr>
                <w:color w:val="102130"/>
                <w:sz w:val="17"/>
              </w:rPr>
              <w:t>Maintenance costs</w:t>
            </w:r>
          </w:p>
        </w:tc>
        <w:tc>
          <w:tcPr>
            <w:tcW w:type="dxa" w:w="6912"/>
            <w:vAlign w:val="center"/>
            <w:shd w:fill="F5F7F9"/>
            <w:tcMar>
              <w:top w:w="100" w:type="dxa"/>
              <w:start w:w="120" w:type="dxa"/>
              <w:bottom w:w="100" w:type="dxa"/>
              <w:end w:w="120" w:type="dxa"/>
            </w:tcMar>
          </w:tcPr>
          <w:p>
            <w:pPr>
              <w:spacing w:after="0"/>
            </w:pPr>
            <w:r>
              <w:rPr>
                <w:color w:val="102130"/>
                <w:sz w:val="17"/>
              </w:rPr>
              <w:t>MOT, service, repair, inspection, tyres, parts and unplanned cost</w:t>
            </w:r>
          </w:p>
        </w:tc>
      </w:tr>
      <w:tr>
        <w:tc>
          <w:tcPr>
            <w:tcW w:type="dxa" w:w="2448"/>
            <w:vAlign w:val="center"/>
            <w:tcMar>
              <w:top w:w="100" w:type="dxa"/>
              <w:start w:w="120" w:type="dxa"/>
              <w:bottom w:w="100" w:type="dxa"/>
              <w:end w:w="120" w:type="dxa"/>
            </w:tcMar>
          </w:tcPr>
          <w:p>
            <w:pPr>
              <w:spacing w:after="0"/>
            </w:pPr>
            <w:r>
              <w:rPr>
                <w:color w:val="102130"/>
                <w:sz w:val="17"/>
              </w:rPr>
              <w:t>Wage costs</w:t>
            </w:r>
          </w:p>
        </w:tc>
        <w:tc>
          <w:tcPr>
            <w:tcW w:type="dxa" w:w="6912"/>
            <w:vAlign w:val="center"/>
            <w:tcMar>
              <w:top w:w="100" w:type="dxa"/>
              <w:start w:w="120" w:type="dxa"/>
              <w:bottom w:w="100" w:type="dxa"/>
              <w:end w:w="120" w:type="dxa"/>
            </w:tcMar>
          </w:tcPr>
          <w:p>
            <w:pPr>
              <w:spacing w:after="0"/>
            </w:pPr>
            <w:r>
              <w:rPr>
                <w:color w:val="102130"/>
                <w:sz w:val="17"/>
              </w:rPr>
              <w:t>Approved wage totals, overtime, employer cost and budget variance</w:t>
            </w:r>
          </w:p>
        </w:tc>
      </w:tr>
      <w:tr>
        <w:tc>
          <w:tcPr>
            <w:tcW w:type="dxa" w:w="2448"/>
            <w:vAlign w:val="center"/>
            <w:shd w:fill="F5F7F9"/>
            <w:tcMar>
              <w:top w:w="100" w:type="dxa"/>
              <w:start w:w="120" w:type="dxa"/>
              <w:bottom w:w="100" w:type="dxa"/>
              <w:end w:w="120" w:type="dxa"/>
            </w:tcMar>
          </w:tcPr>
          <w:p>
            <w:pPr>
              <w:spacing w:after="0"/>
            </w:pPr>
            <w:r>
              <w:rPr>
                <w:color w:val="102130"/>
                <w:sz w:val="17"/>
              </w:rPr>
              <w:t>Supplier spend</w:t>
            </w:r>
          </w:p>
        </w:tc>
        <w:tc>
          <w:tcPr>
            <w:tcW w:type="dxa" w:w="6912"/>
            <w:vAlign w:val="center"/>
            <w:shd w:fill="F5F7F9"/>
            <w:tcMar>
              <w:top w:w="100" w:type="dxa"/>
              <w:start w:w="120" w:type="dxa"/>
              <w:bottom w:w="100" w:type="dxa"/>
              <w:end w:w="120" w:type="dxa"/>
            </w:tcMar>
          </w:tcPr>
          <w:p>
            <w:pPr>
              <w:spacing w:after="0"/>
            </w:pPr>
            <w:r>
              <w:rPr>
                <w:color w:val="102130"/>
                <w:sz w:val="17"/>
              </w:rPr>
              <w:t>Supplier total, recurring cost, price change and evidence completeness</w:t>
            </w:r>
          </w:p>
        </w:tc>
      </w:tr>
      <w:tr>
        <w:tc>
          <w:tcPr>
            <w:tcW w:type="dxa" w:w="2448"/>
            <w:vAlign w:val="center"/>
            <w:tcMar>
              <w:top w:w="100" w:type="dxa"/>
              <w:start w:w="120" w:type="dxa"/>
              <w:bottom w:w="100" w:type="dxa"/>
              <w:end w:w="120" w:type="dxa"/>
            </w:tcMar>
          </w:tcPr>
          <w:p>
            <w:pPr>
              <w:spacing w:after="0"/>
            </w:pPr>
            <w:r>
              <w:rPr>
                <w:color w:val="102130"/>
                <w:sz w:val="17"/>
              </w:rPr>
              <w:t>Exceptional costs</w:t>
            </w:r>
          </w:p>
        </w:tc>
        <w:tc>
          <w:tcPr>
            <w:tcW w:type="dxa" w:w="6912"/>
            <w:vAlign w:val="center"/>
            <w:tcMar>
              <w:top w:w="100" w:type="dxa"/>
              <w:start w:w="120" w:type="dxa"/>
              <w:bottom w:w="100" w:type="dxa"/>
              <w:end w:w="120" w:type="dxa"/>
            </w:tcMar>
          </w:tcPr>
          <w:p>
            <w:pPr>
              <w:spacing w:after="0"/>
            </w:pPr>
            <w:r>
              <w:rPr>
                <w:color w:val="102130"/>
                <w:sz w:val="17"/>
              </w:rPr>
              <w:t>Material one-time or unusual costs</w:t>
            </w:r>
          </w:p>
        </w:tc>
      </w:tr>
      <w:tr>
        <w:tc>
          <w:tcPr>
            <w:tcW w:type="dxa" w:w="2448"/>
            <w:vAlign w:val="center"/>
            <w:shd w:fill="F5F7F9"/>
            <w:tcMar>
              <w:top w:w="100" w:type="dxa"/>
              <w:start w:w="120" w:type="dxa"/>
              <w:bottom w:w="100" w:type="dxa"/>
              <w:end w:w="120" w:type="dxa"/>
            </w:tcMar>
          </w:tcPr>
          <w:p>
            <w:pPr>
              <w:spacing w:after="0"/>
            </w:pPr>
            <w:r>
              <w:rPr>
                <w:color w:val="102130"/>
                <w:sz w:val="17"/>
              </w:rPr>
              <w:t>Forecast final cost</w:t>
            </w:r>
          </w:p>
        </w:tc>
        <w:tc>
          <w:tcPr>
            <w:tcW w:type="dxa" w:w="6912"/>
            <w:vAlign w:val="center"/>
            <w:shd w:fill="F5F7F9"/>
            <w:tcMar>
              <w:top w:w="100" w:type="dxa"/>
              <w:start w:w="120" w:type="dxa"/>
              <w:bottom w:w="100" w:type="dxa"/>
              <w:end w:w="120" w:type="dxa"/>
            </w:tcMar>
          </w:tcPr>
          <w:p>
            <w:pPr>
              <w:spacing w:after="0"/>
            </w:pPr>
            <w:r>
              <w:rPr>
                <w:color w:val="102130"/>
                <w:sz w:val="17"/>
              </w:rPr>
              <w:t>Projected cost, remaining budget, range and assumptions</w:t>
            </w:r>
          </w:p>
        </w:tc>
      </w:tr>
      <w:tr>
        <w:tc>
          <w:tcPr>
            <w:tcW w:type="dxa" w:w="2448"/>
            <w:vAlign w:val="center"/>
            <w:tcMar>
              <w:top w:w="100" w:type="dxa"/>
              <w:start w:w="120" w:type="dxa"/>
              <w:bottom w:w="100" w:type="dxa"/>
              <w:end w:w="120" w:type="dxa"/>
            </w:tcMar>
          </w:tcPr>
          <w:p>
            <w:pPr>
              <w:spacing w:after="0"/>
            </w:pPr>
            <w:r>
              <w:rPr>
                <w:color w:val="102130"/>
                <w:sz w:val="17"/>
              </w:rPr>
              <w:t>Missing evidence</w:t>
            </w:r>
          </w:p>
        </w:tc>
        <w:tc>
          <w:tcPr>
            <w:tcW w:type="dxa" w:w="6912"/>
            <w:vAlign w:val="center"/>
            <w:tcMar>
              <w:top w:w="100" w:type="dxa"/>
              <w:start w:w="120" w:type="dxa"/>
              <w:bottom w:w="100" w:type="dxa"/>
              <w:end w:w="120" w:type="dxa"/>
            </w:tcMar>
          </w:tcPr>
          <w:p>
            <w:pPr>
              <w:spacing w:after="0"/>
            </w:pPr>
            <w:r>
              <w:rPr>
                <w:color w:val="102130"/>
                <w:sz w:val="17"/>
              </w:rPr>
              <w:t>Costs lacking required source documents or approval</w:t>
            </w:r>
          </w:p>
        </w:tc>
      </w:tr>
      <w:tr>
        <w:tc>
          <w:tcPr>
            <w:tcW w:type="dxa" w:w="2448"/>
            <w:vAlign w:val="center"/>
            <w:shd w:fill="F5F7F9"/>
            <w:tcMar>
              <w:top w:w="100" w:type="dxa"/>
              <w:start w:w="120" w:type="dxa"/>
              <w:bottom w:w="100" w:type="dxa"/>
              <w:end w:w="120" w:type="dxa"/>
            </w:tcMar>
          </w:tcPr>
          <w:p>
            <w:pPr>
              <w:spacing w:after="0"/>
            </w:pPr>
            <w:r>
              <w:rPr>
                <w:color w:val="102130"/>
                <w:sz w:val="17"/>
              </w:rPr>
              <w:t>Corrections and audit</w:t>
            </w:r>
          </w:p>
        </w:tc>
        <w:tc>
          <w:tcPr>
            <w:tcW w:type="dxa" w:w="6912"/>
            <w:vAlign w:val="center"/>
            <w:shd w:fill="F5F7F9"/>
            <w:tcMar>
              <w:top w:w="100" w:type="dxa"/>
              <w:start w:w="120" w:type="dxa"/>
              <w:bottom w:w="100" w:type="dxa"/>
              <w:end w:w="120" w:type="dxa"/>
            </w:tcMar>
          </w:tcPr>
          <w:p>
            <w:pPr>
              <w:spacing w:after="0"/>
            </w:pPr>
            <w:r>
              <w:rPr>
                <w:color w:val="102130"/>
                <w:sz w:val="17"/>
              </w:rPr>
              <w:t>Record versions, reasons, actors, approvals and calculation effects</w:t>
            </w:r>
          </w:p>
        </w:tc>
      </w:tr>
    </w:tbl>
    <w:p>
      <w:pPr>
        <w:spacing w:after="0"/>
      </w:pPr>
    </w:p>
    <w:p>
      <w:r>
        <w:t>Every export must state organisation, reporting period, currency, data-through time, financial snapshot, budget version, forecast version and whether amounts are actual, committed, forecast or estimated.</w:t>
      </w:r>
    </w:p>
    <w:p>
      <w:pPr>
        <w:pStyle w:val="Heading1"/>
      </w:pPr>
      <w:r>
        <w:t>18. Testing and acceptance strategy</w:t>
      </w:r>
    </w:p>
    <w:p>
      <w:pPr>
        <w:pStyle w:val="Heading2"/>
      </w:pPr>
      <w:r>
        <w:t>Test layers</w:t>
      </w:r>
    </w:p>
    <w:p>
      <w:pPr>
        <w:pStyle w:val="ListBullet"/>
      </w:pPr>
      <w:r>
        <w:t>Unit tests for formulas, status transitions and allocation rules</w:t>
      </w:r>
    </w:p>
    <w:p>
      <w:pPr>
        <w:pStyle w:val="ListBullet"/>
      </w:pPr>
      <w:r>
        <w:t>Property-based tests for rounding, splitting and lifecycle conversions</w:t>
      </w:r>
    </w:p>
    <w:p>
      <w:pPr>
        <w:pStyle w:val="ListBullet"/>
      </w:pPr>
      <w:r>
        <w:t>Golden financial datasets verified by a qualified finance professional</w:t>
      </w:r>
    </w:p>
    <w:p>
      <w:pPr>
        <w:pStyle w:val="ListBullet"/>
      </w:pPr>
      <w:r>
        <w:t>Integration contract tests for Xero, fuel-card and bank sources</w:t>
      </w:r>
    </w:p>
    <w:p>
      <w:pPr>
        <w:pStyle w:val="ListBullet"/>
      </w:pPr>
      <w:r>
        <w:t>Reconciliation tests against source totals</w:t>
      </w:r>
    </w:p>
    <w:p>
      <w:pPr>
        <w:pStyle w:val="ListBullet"/>
      </w:pPr>
      <w:r>
        <w:t>End-to-end tests for every critical workflow</w:t>
      </w:r>
    </w:p>
    <w:p>
      <w:pPr>
        <w:pStyle w:val="ListBullet"/>
      </w:pPr>
      <w:r>
        <w:t>Tenant-isolation and permission tests</w:t>
      </w:r>
    </w:p>
    <w:p>
      <w:pPr>
        <w:pStyle w:val="ListBullet"/>
      </w:pPr>
      <w:r>
        <w:t>Forecast backtesting</w:t>
      </w:r>
    </w:p>
    <w:p>
      <w:pPr>
        <w:pStyle w:val="ListBullet"/>
      </w:pPr>
      <w:r>
        <w:t>AI evaluation against known tool outputs</w:t>
      </w:r>
    </w:p>
    <w:p>
      <w:pPr>
        <w:pStyle w:val="ListBullet"/>
      </w:pPr>
      <w:r>
        <w:t>Accessibility, performance, security and recovery testing</w:t>
      </w:r>
    </w:p>
    <w:p>
      <w:pPr>
        <w:pStyle w:val="Heading2"/>
      </w:pPr>
      <w:r>
        <w:t>Critical acceptance scenarios</w:t>
      </w:r>
    </w:p>
    <w:p>
      <w:pPr>
        <w:spacing w:after="80" w:line="264" w:lineRule="auto"/>
        <w:ind w:left="720" w:hanging="360"/>
        <w:numPr>
          <w:ilvl w:val="0"/>
          <w:numId w:val="19"/>
        </w:numPr>
      </w:pPr>
      <w:r>
        <w:t>The same source record imported repeatedly produces one cost.</w:t>
      </w:r>
    </w:p>
    <w:p>
      <w:pPr>
        <w:spacing w:after="80" w:line="264" w:lineRule="auto"/>
        <w:ind w:left="720" w:hanging="360"/>
        <w:numPr>
          <w:ilvl w:val="0"/>
          <w:numId w:val="19"/>
        </w:numPr>
      </w:pPr>
      <w:r>
        <w:t>A commitment converted to actual does not increase projected final cost twice.</w:t>
      </w:r>
    </w:p>
    <w:p>
      <w:pPr>
        <w:spacing w:after="80" w:line="264" w:lineRule="auto"/>
        <w:ind w:left="720" w:hanging="360"/>
        <w:numPr>
          <w:ilvl w:val="0"/>
          <w:numId w:val="19"/>
        </w:numPr>
      </w:pPr>
      <w:r>
        <w:t>A split allocation cannot save unless its parts equal the complete amount.</w:t>
      </w:r>
    </w:p>
    <w:p>
      <w:pPr>
        <w:spacing w:after="80" w:line="264" w:lineRule="auto"/>
        <w:ind w:left="720" w:hanging="360"/>
        <w:numPr>
          <w:ilvl w:val="0"/>
          <w:numId w:val="19"/>
        </w:numPr>
      </w:pPr>
      <w:r>
        <w:t>An invalid import cannot replace the last valid snapshot.</w:t>
      </w:r>
    </w:p>
    <w:p>
      <w:pPr>
        <w:spacing w:after="80" w:line="264" w:lineRule="auto"/>
        <w:ind w:left="720" w:hanging="360"/>
        <w:numPr>
          <w:ilvl w:val="0"/>
          <w:numId w:val="19"/>
        </w:numPr>
      </w:pPr>
      <w:r>
        <w:t>A correction preserves the original value and complete history.</w:t>
      </w:r>
    </w:p>
    <w:p>
      <w:pPr>
        <w:spacing w:after="80" w:line="264" w:lineRule="auto"/>
        <w:ind w:left="720" w:hanging="360"/>
        <w:numPr>
          <w:ilvl w:val="0"/>
          <w:numId w:val="19"/>
        </w:numPr>
      </w:pPr>
      <w:r>
        <w:t>All pages and exports show the same amount for the same snapshot and version.</w:t>
      </w:r>
    </w:p>
    <w:p>
      <w:pPr>
        <w:spacing w:after="80" w:line="264" w:lineRule="auto"/>
        <w:ind w:left="720" w:hanging="360"/>
        <w:numPr>
          <w:ilvl w:val="0"/>
          <w:numId w:val="19"/>
        </w:numPr>
      </w:pPr>
      <w:r>
        <w:t>A user without permission cannot change a cost by calling the API directly.</w:t>
      </w:r>
    </w:p>
    <w:p>
      <w:pPr>
        <w:spacing w:after="80" w:line="264" w:lineRule="auto"/>
        <w:ind w:left="720" w:hanging="360"/>
        <w:numPr>
          <w:ilvl w:val="0"/>
          <w:numId w:val="19"/>
        </w:numPr>
      </w:pPr>
      <w:r>
        <w:t>AI cannot display an amount that differs from the deterministic tool result.</w:t>
      </w:r>
    </w:p>
    <w:p>
      <w:pPr>
        <w:spacing w:after="80" w:line="264" w:lineRule="auto"/>
        <w:ind w:left="720" w:hanging="360"/>
        <w:numPr>
          <w:ilvl w:val="0"/>
          <w:numId w:val="19"/>
        </w:numPr>
      </w:pPr>
      <w:r>
        <w:t>A budget revision preserves the original approved baseline.</w:t>
      </w:r>
    </w:p>
    <w:p>
      <w:pPr>
        <w:spacing w:after="80" w:line="264" w:lineRule="auto"/>
        <w:ind w:left="720" w:hanging="360"/>
        <w:numPr>
          <w:ilvl w:val="0"/>
          <w:numId w:val="19"/>
        </w:numPr>
      </w:pPr>
      <w:r>
        <w:t>Currency, VAT and rounding rules produce reproducible totals.</w:t>
      </w:r>
    </w:p>
    <w:p>
      <w:r>
        <w:br w:type="page"/>
      </w:r>
    </w:p>
    <w:p>
      <w:pPr>
        <w:pStyle w:val="Heading1"/>
      </w:pPr>
      <w:r>
        <w:t>19. Delivery roadmap</w:t>
      </w:r>
    </w:p>
    <w:tbl>
      <w:tblPr>
        <w:tblStyle w:val="TableGrid"/>
        <w:tblW w:type="dxa" w:w="9360"/>
        <w:jc w:val="left"/>
        <w:tblLayout w:type="fixed"/>
        <w:tblLook w:firstColumn="1" w:firstRow="1" w:lastColumn="0" w:lastRow="0" w:noHBand="0" w:noVBand="1" w:val="04A0"/>
        <w:tblInd w:w="120" w:type="dxa"/>
      </w:tblPr>
      <w:tblGrid>
        <w:gridCol w:w="1512"/>
        <w:gridCol w:w="2448"/>
        <w:gridCol w:w="5400"/>
      </w:tblGrid>
      <w:tr>
        <w:trPr>
          <w:tblHeader w:val="true"/>
        </w:trPr>
        <w:tc>
          <w:tcPr>
            <w:tcW w:type="dxa" w:w="1512"/>
            <w:shd w:fill="0B1F33"/>
            <w:vAlign w:val="center"/>
            <w:tcMar>
              <w:top w:w="100" w:type="dxa"/>
              <w:start w:w="120" w:type="dxa"/>
              <w:bottom w:w="100" w:type="dxa"/>
              <w:end w:w="120" w:type="dxa"/>
            </w:tcMar>
          </w:tcPr>
          <w:p>
            <w:pPr>
              <w:spacing w:after="0"/>
            </w:pPr>
            <w:r>
              <w:rPr>
                <w:b/>
                <w:color w:val="FFFFFF"/>
                <w:sz w:val="16"/>
              </w:rPr>
              <w:t>Phase</w:t>
            </w:r>
          </w:p>
        </w:tc>
        <w:tc>
          <w:tcPr>
            <w:tcW w:type="dxa" w:w="2448"/>
            <w:shd w:fill="0B1F33"/>
            <w:vAlign w:val="center"/>
            <w:tcMar>
              <w:top w:w="100" w:type="dxa"/>
              <w:start w:w="120" w:type="dxa"/>
              <w:bottom w:w="100" w:type="dxa"/>
              <w:end w:w="120" w:type="dxa"/>
            </w:tcMar>
          </w:tcPr>
          <w:p>
            <w:pPr>
              <w:spacing w:after="0"/>
            </w:pPr>
            <w:r>
              <w:rPr>
                <w:b/>
                <w:color w:val="FFFFFF"/>
                <w:sz w:val="16"/>
              </w:rPr>
              <w:t>Outcome</w:t>
            </w:r>
          </w:p>
        </w:tc>
        <w:tc>
          <w:tcPr>
            <w:tcW w:type="dxa" w:w="5400"/>
            <w:shd w:fill="0B1F33"/>
            <w:vAlign w:val="center"/>
            <w:tcMar>
              <w:top w:w="100" w:type="dxa"/>
              <w:start w:w="120" w:type="dxa"/>
              <w:bottom w:w="100" w:type="dxa"/>
              <w:end w:w="120" w:type="dxa"/>
            </w:tcMar>
          </w:tcPr>
          <w:p>
            <w:pPr>
              <w:spacing w:after="0"/>
            </w:pPr>
            <w:r>
              <w:rPr>
                <w:b/>
                <w:color w:val="FFFFFF"/>
                <w:sz w:val="16"/>
              </w:rPr>
              <w:t>Included capabilities</w:t>
            </w:r>
          </w:p>
        </w:tc>
      </w:tr>
      <w:tr>
        <w:tc>
          <w:tcPr>
            <w:tcW w:type="dxa" w:w="1512"/>
            <w:vAlign w:val="center"/>
            <w:tcMar>
              <w:top w:w="100" w:type="dxa"/>
              <w:start w:w="120" w:type="dxa"/>
              <w:bottom w:w="100" w:type="dxa"/>
              <w:end w:w="120" w:type="dxa"/>
            </w:tcMar>
          </w:tcPr>
          <w:p>
            <w:pPr>
              <w:spacing w:after="0"/>
            </w:pPr>
            <w:r>
              <w:rPr>
                <w:color w:val="102130"/>
                <w:sz w:val="16"/>
              </w:rPr>
              <w:t>0. Definition</w:t>
            </w:r>
          </w:p>
        </w:tc>
        <w:tc>
          <w:tcPr>
            <w:tcW w:type="dxa" w:w="2448"/>
            <w:vAlign w:val="center"/>
            <w:tcMar>
              <w:top w:w="100" w:type="dxa"/>
              <w:start w:w="120" w:type="dxa"/>
              <w:bottom w:w="100" w:type="dxa"/>
              <w:end w:w="120" w:type="dxa"/>
            </w:tcMar>
          </w:tcPr>
          <w:p>
            <w:pPr>
              <w:spacing w:after="0"/>
            </w:pPr>
            <w:r>
              <w:rPr>
                <w:color w:val="102130"/>
                <w:sz w:val="16"/>
              </w:rPr>
              <w:t>Financial model and scope validated</w:t>
            </w:r>
          </w:p>
        </w:tc>
        <w:tc>
          <w:tcPr>
            <w:tcW w:type="dxa" w:w="5400"/>
            <w:vAlign w:val="center"/>
            <w:tcMar>
              <w:top w:w="100" w:type="dxa"/>
              <w:start w:w="120" w:type="dxa"/>
              <w:bottom w:w="100" w:type="dxa"/>
              <w:end w:w="120" w:type="dxa"/>
            </w:tcMar>
          </w:tcPr>
          <w:p>
            <w:pPr>
              <w:spacing w:after="0"/>
            </w:pPr>
            <w:r>
              <w:rPr>
                <w:color w:val="102130"/>
                <w:sz w:val="16"/>
              </w:rPr>
              <w:t>CEC definition, category taxonomy, worked examples, user interviews and clickable prototype</w:t>
            </w:r>
          </w:p>
        </w:tc>
      </w:tr>
      <w:tr>
        <w:tc>
          <w:tcPr>
            <w:tcW w:type="dxa" w:w="1512"/>
            <w:vAlign w:val="center"/>
            <w:shd w:fill="F5F7F9"/>
            <w:tcMar>
              <w:top w:w="100" w:type="dxa"/>
              <w:start w:w="120" w:type="dxa"/>
              <w:bottom w:w="100" w:type="dxa"/>
              <w:end w:w="120" w:type="dxa"/>
            </w:tcMar>
          </w:tcPr>
          <w:p>
            <w:pPr>
              <w:spacing w:after="0"/>
            </w:pPr>
            <w:r>
              <w:rPr>
                <w:color w:val="102130"/>
                <w:sz w:val="16"/>
              </w:rPr>
              <w:t>1. Foundation</w:t>
            </w:r>
          </w:p>
        </w:tc>
        <w:tc>
          <w:tcPr>
            <w:tcW w:type="dxa" w:w="2448"/>
            <w:vAlign w:val="center"/>
            <w:shd w:fill="F5F7F9"/>
            <w:tcMar>
              <w:top w:w="100" w:type="dxa"/>
              <w:start w:w="120" w:type="dxa"/>
              <w:bottom w:w="100" w:type="dxa"/>
              <w:end w:w="120" w:type="dxa"/>
            </w:tcMar>
          </w:tcPr>
          <w:p>
            <w:pPr>
              <w:spacing w:after="0"/>
            </w:pPr>
            <w:r>
              <w:rPr>
                <w:color w:val="102130"/>
                <w:sz w:val="16"/>
              </w:rPr>
              <w:t>Trusted cost ledger</w:t>
            </w:r>
          </w:p>
        </w:tc>
        <w:tc>
          <w:tcPr>
            <w:tcW w:type="dxa" w:w="5400"/>
            <w:vAlign w:val="center"/>
            <w:shd w:fill="F5F7F9"/>
            <w:tcMar>
              <w:top w:w="100" w:type="dxa"/>
              <w:start w:w="120" w:type="dxa"/>
              <w:bottom w:w="100" w:type="dxa"/>
              <w:end w:w="120" w:type="dxa"/>
            </w:tcMar>
          </w:tcPr>
          <w:p>
            <w:pPr>
              <w:spacing w:after="0"/>
            </w:pPr>
            <w:r>
              <w:rPr>
                <w:color w:val="102130"/>
                <w:sz w:val="16"/>
              </w:rPr>
              <w:t>Identity, organisation, CSV import, canonical cost model, validation, categories, allocations and audit</w:t>
            </w:r>
          </w:p>
        </w:tc>
      </w:tr>
      <w:tr>
        <w:tc>
          <w:tcPr>
            <w:tcW w:type="dxa" w:w="1512"/>
            <w:vAlign w:val="center"/>
            <w:tcMar>
              <w:top w:w="100" w:type="dxa"/>
              <w:start w:w="120" w:type="dxa"/>
              <w:bottom w:w="100" w:type="dxa"/>
              <w:end w:w="120" w:type="dxa"/>
            </w:tcMar>
          </w:tcPr>
          <w:p>
            <w:pPr>
              <w:spacing w:after="0"/>
            </w:pPr>
            <w:r>
              <w:rPr>
                <w:color w:val="102130"/>
                <w:sz w:val="16"/>
              </w:rPr>
              <w:t>2. Budget control</w:t>
            </w:r>
          </w:p>
        </w:tc>
        <w:tc>
          <w:tcPr>
            <w:tcW w:type="dxa" w:w="2448"/>
            <w:vAlign w:val="center"/>
            <w:tcMar>
              <w:top w:w="100" w:type="dxa"/>
              <w:start w:w="120" w:type="dxa"/>
              <w:bottom w:w="100" w:type="dxa"/>
              <w:end w:w="120" w:type="dxa"/>
            </w:tcMar>
          </w:tcPr>
          <w:p>
            <w:pPr>
              <w:spacing w:after="0"/>
            </w:pPr>
            <w:r>
              <w:rPr>
                <w:color w:val="102130"/>
                <w:sz w:val="16"/>
              </w:rPr>
              <w:t>CEC budget position visible</w:t>
            </w:r>
          </w:p>
        </w:tc>
        <w:tc>
          <w:tcPr>
            <w:tcW w:type="dxa" w:w="5400"/>
            <w:vAlign w:val="center"/>
            <w:tcMar>
              <w:top w:w="100" w:type="dxa"/>
              <w:start w:w="120" w:type="dxa"/>
              <w:bottom w:w="100" w:type="dxa"/>
              <w:end w:w="120" w:type="dxa"/>
            </w:tcMar>
          </w:tcPr>
          <w:p>
            <w:pPr>
              <w:spacing w:after="0"/>
            </w:pPr>
            <w:r>
              <w:rPr>
                <w:color w:val="102130"/>
                <w:sz w:val="16"/>
              </w:rPr>
              <w:t>Budget hierarchy, actual and committed costs, variance, Home and core reports</w:t>
            </w:r>
          </w:p>
        </w:tc>
      </w:tr>
      <w:tr>
        <w:tc>
          <w:tcPr>
            <w:tcW w:type="dxa" w:w="1512"/>
            <w:vAlign w:val="center"/>
            <w:shd w:fill="F5F7F9"/>
            <w:tcMar>
              <w:top w:w="100" w:type="dxa"/>
              <w:start w:w="120" w:type="dxa"/>
              <w:bottom w:w="100" w:type="dxa"/>
              <w:end w:w="120" w:type="dxa"/>
            </w:tcMar>
          </w:tcPr>
          <w:p>
            <w:pPr>
              <w:spacing w:after="0"/>
            </w:pPr>
            <w:r>
              <w:rPr>
                <w:color w:val="102130"/>
                <w:sz w:val="16"/>
              </w:rPr>
              <w:t>3. Cost intelligence</w:t>
            </w:r>
          </w:p>
        </w:tc>
        <w:tc>
          <w:tcPr>
            <w:tcW w:type="dxa" w:w="2448"/>
            <w:vAlign w:val="center"/>
            <w:shd w:fill="F5F7F9"/>
            <w:tcMar>
              <w:top w:w="100" w:type="dxa"/>
              <w:start w:w="120" w:type="dxa"/>
              <w:bottom w:w="100" w:type="dxa"/>
              <w:end w:w="120" w:type="dxa"/>
            </w:tcMar>
          </w:tcPr>
          <w:p>
            <w:pPr>
              <w:spacing w:after="0"/>
            </w:pPr>
            <w:r>
              <w:rPr>
                <w:color w:val="102130"/>
                <w:sz w:val="16"/>
              </w:rPr>
              <w:t>Future cost and exceptions visible</w:t>
            </w:r>
          </w:p>
        </w:tc>
        <w:tc>
          <w:tcPr>
            <w:tcW w:type="dxa" w:w="5400"/>
            <w:vAlign w:val="center"/>
            <w:shd w:fill="F5F7F9"/>
            <w:tcMar>
              <w:top w:w="100" w:type="dxa"/>
              <w:start w:w="120" w:type="dxa"/>
              <w:bottom w:w="100" w:type="dxa"/>
              <w:end w:w="120" w:type="dxa"/>
            </w:tcMar>
          </w:tcPr>
          <w:p>
            <w:pPr>
              <w:spacing w:after="0"/>
            </w:pPr>
            <w:r>
              <w:rPr>
                <w:color w:val="102130"/>
                <w:sz w:val="16"/>
              </w:rPr>
              <w:t>Forecasting, recurring costs, duplicate detection, cost review and evidence</w:t>
            </w:r>
          </w:p>
        </w:tc>
      </w:tr>
      <w:tr>
        <w:tc>
          <w:tcPr>
            <w:tcW w:type="dxa" w:w="1512"/>
            <w:vAlign w:val="center"/>
            <w:tcMar>
              <w:top w:w="100" w:type="dxa"/>
              <w:start w:w="120" w:type="dxa"/>
              <w:bottom w:w="100" w:type="dxa"/>
              <w:end w:w="120" w:type="dxa"/>
            </w:tcMar>
          </w:tcPr>
          <w:p>
            <w:pPr>
              <w:spacing w:after="0"/>
            </w:pPr>
            <w:r>
              <w:rPr>
                <w:color w:val="102130"/>
                <w:sz w:val="16"/>
              </w:rPr>
              <w:t>4. Integrations</w:t>
            </w:r>
          </w:p>
        </w:tc>
        <w:tc>
          <w:tcPr>
            <w:tcW w:type="dxa" w:w="2448"/>
            <w:vAlign w:val="center"/>
            <w:tcMar>
              <w:top w:w="100" w:type="dxa"/>
              <w:start w:w="120" w:type="dxa"/>
              <w:bottom w:w="100" w:type="dxa"/>
              <w:end w:w="120" w:type="dxa"/>
            </w:tcMar>
          </w:tcPr>
          <w:p>
            <w:pPr>
              <w:spacing w:after="0"/>
            </w:pPr>
            <w:r>
              <w:rPr>
                <w:color w:val="102130"/>
                <w:sz w:val="16"/>
              </w:rPr>
              <w:t>Reduced manual handling</w:t>
            </w:r>
          </w:p>
        </w:tc>
        <w:tc>
          <w:tcPr>
            <w:tcW w:type="dxa" w:w="5400"/>
            <w:vAlign w:val="center"/>
            <w:tcMar>
              <w:top w:w="100" w:type="dxa"/>
              <w:start w:w="120" w:type="dxa"/>
              <w:bottom w:w="100" w:type="dxa"/>
              <w:end w:w="120" w:type="dxa"/>
            </w:tcMar>
          </w:tcPr>
          <w:p>
            <w:pPr>
              <w:spacing w:after="0"/>
            </w:pPr>
            <w:r>
              <w:rPr>
                <w:color w:val="102130"/>
                <w:sz w:val="16"/>
              </w:rPr>
              <w:t>Xero, fuel-card provider, bank reconciliation partner and payroll summaries</w:t>
            </w:r>
          </w:p>
        </w:tc>
      </w:tr>
      <w:tr>
        <w:tc>
          <w:tcPr>
            <w:tcW w:type="dxa" w:w="1512"/>
            <w:vAlign w:val="center"/>
            <w:shd w:fill="F5F7F9"/>
            <w:tcMar>
              <w:top w:w="100" w:type="dxa"/>
              <w:start w:w="120" w:type="dxa"/>
              <w:bottom w:w="100" w:type="dxa"/>
              <w:end w:w="120" w:type="dxa"/>
            </w:tcMar>
          </w:tcPr>
          <w:p>
            <w:pPr>
              <w:spacing w:after="0"/>
            </w:pPr>
            <w:r>
              <w:rPr>
                <w:color w:val="102130"/>
                <w:sz w:val="16"/>
              </w:rPr>
              <w:t>5. Decision support</w:t>
            </w:r>
          </w:p>
        </w:tc>
        <w:tc>
          <w:tcPr>
            <w:tcW w:type="dxa" w:w="2448"/>
            <w:vAlign w:val="center"/>
            <w:shd w:fill="F5F7F9"/>
            <w:tcMar>
              <w:top w:w="100" w:type="dxa"/>
              <w:start w:w="120" w:type="dxa"/>
              <w:bottom w:w="100" w:type="dxa"/>
              <w:end w:w="120" w:type="dxa"/>
            </w:tcMar>
          </w:tcPr>
          <w:p>
            <w:pPr>
              <w:spacing w:after="0"/>
            </w:pPr>
            <w:r>
              <w:rPr>
                <w:color w:val="102130"/>
                <w:sz w:val="16"/>
              </w:rPr>
              <w:t>Management can act earlier</w:t>
            </w:r>
          </w:p>
        </w:tc>
        <w:tc>
          <w:tcPr>
            <w:tcW w:type="dxa" w:w="5400"/>
            <w:vAlign w:val="center"/>
            <w:shd w:fill="F5F7F9"/>
            <w:tcMar>
              <w:top w:w="100" w:type="dxa"/>
              <w:start w:w="120" w:type="dxa"/>
              <w:bottom w:w="100" w:type="dxa"/>
              <w:end w:w="120" w:type="dxa"/>
            </w:tcMar>
          </w:tcPr>
          <w:p>
            <w:pPr>
              <w:spacing w:after="0"/>
            </w:pPr>
            <w:r>
              <w:rPr>
                <w:color w:val="102130"/>
                <w:sz w:val="16"/>
              </w:rPr>
              <w:t>Cost scenarios, recommendations, approval workflows and AI explanations</w:t>
            </w:r>
          </w:p>
        </w:tc>
      </w:tr>
      <w:tr>
        <w:tc>
          <w:tcPr>
            <w:tcW w:type="dxa" w:w="1512"/>
            <w:vAlign w:val="center"/>
            <w:tcMar>
              <w:top w:w="100" w:type="dxa"/>
              <w:start w:w="120" w:type="dxa"/>
              <w:bottom w:w="100" w:type="dxa"/>
              <w:end w:w="120" w:type="dxa"/>
            </w:tcMar>
          </w:tcPr>
          <w:p>
            <w:pPr>
              <w:spacing w:after="0"/>
            </w:pPr>
            <w:r>
              <w:rPr>
                <w:color w:val="102130"/>
                <w:sz w:val="16"/>
              </w:rPr>
              <w:t>6. Scale</w:t>
            </w:r>
          </w:p>
        </w:tc>
        <w:tc>
          <w:tcPr>
            <w:tcW w:type="dxa" w:w="2448"/>
            <w:vAlign w:val="center"/>
            <w:tcMar>
              <w:top w:w="100" w:type="dxa"/>
              <w:start w:w="120" w:type="dxa"/>
              <w:bottom w:w="100" w:type="dxa"/>
              <w:end w:w="120" w:type="dxa"/>
            </w:tcMar>
          </w:tcPr>
          <w:p>
            <w:pPr>
              <w:spacing w:after="0"/>
            </w:pPr>
            <w:r>
              <w:rPr>
                <w:color w:val="102130"/>
                <w:sz w:val="16"/>
              </w:rPr>
              <w:t>Portfolio-grade product</w:t>
            </w:r>
          </w:p>
        </w:tc>
        <w:tc>
          <w:tcPr>
            <w:tcW w:type="dxa" w:w="5400"/>
            <w:vAlign w:val="center"/>
            <w:tcMar>
              <w:top w:w="100" w:type="dxa"/>
              <w:start w:w="120" w:type="dxa"/>
              <w:bottom w:w="100" w:type="dxa"/>
              <w:end w:w="120" w:type="dxa"/>
            </w:tcMar>
          </w:tcPr>
          <w:p>
            <w:pPr>
              <w:spacing w:after="0"/>
            </w:pPr>
            <w:r>
              <w:rPr>
                <w:color w:val="102130"/>
                <w:sz w:val="16"/>
              </w:rPr>
              <w:t>Multiple entities, advanced permissions, accountant/auditor experience and operational hardening</w:t>
            </w:r>
          </w:p>
        </w:tc>
      </w:tr>
    </w:tbl>
    <w:p>
      <w:pPr>
        <w:spacing w:after="0"/>
      </w:pPr>
    </w:p>
    <w:p>
      <w:pPr>
        <w:pStyle w:val="Heading2"/>
      </w:pPr>
      <w:r>
        <w:t>MVP definition</w:t>
      </w:r>
    </w:p>
    <w:p>
      <w:pPr>
        <w:pStyle w:val="ListBullet"/>
      </w:pPr>
      <w:r>
        <w:t>Organisation and role management</w:t>
      </w:r>
    </w:p>
    <w:p>
      <w:pPr>
        <w:pStyle w:val="ListBullet"/>
      </w:pPr>
      <w:r>
        <w:t>CSV cost imports</w:t>
      </w:r>
    </w:p>
    <w:p>
      <w:pPr>
        <w:pStyle w:val="ListBullet"/>
      </w:pPr>
      <w:r>
        <w:t>Canonical cost ledger</w:t>
      </w:r>
    </w:p>
    <w:p>
      <w:pPr>
        <w:pStyle w:val="ListBullet"/>
      </w:pPr>
      <w:r>
        <w:t>Cost categories and allocation</w:t>
      </w:r>
    </w:p>
    <w:p>
      <w:pPr>
        <w:pStyle w:val="ListBullet"/>
      </w:pPr>
      <w:r>
        <w:t>Fuel, vehicle, maintenance, wage-summary and operating-cost views</w:t>
      </w:r>
    </w:p>
    <w:p>
      <w:pPr>
        <w:pStyle w:val="ListBullet"/>
      </w:pPr>
      <w:r>
        <w:t>CEC budget</w:t>
      </w:r>
    </w:p>
    <w:p>
      <w:pPr>
        <w:pStyle w:val="ListBullet"/>
      </w:pPr>
      <w:r>
        <w:t>Actual, committed and forecast statuses</w:t>
      </w:r>
    </w:p>
    <w:p>
      <w:pPr>
        <w:pStyle w:val="ListBullet"/>
      </w:pPr>
      <w:r>
        <w:t>Basic recurring-cost forecast</w:t>
      </w:r>
    </w:p>
    <w:p>
      <w:pPr>
        <w:pStyle w:val="ListBullet"/>
      </w:pPr>
      <w:r>
        <w:t>Cost review queue</w:t>
      </w:r>
    </w:p>
    <w:p>
      <w:pPr>
        <w:pStyle w:val="ListBullet"/>
      </w:pPr>
      <w:r>
        <w:t>Budget versus actual report</w:t>
      </w:r>
    </w:p>
    <w:p>
      <w:pPr>
        <w:pStyle w:val="ListBullet"/>
      </w:pPr>
      <w:r>
        <w:t>Immutable audit trail</w:t>
      </w:r>
    </w:p>
    <w:p>
      <w:pPr>
        <w:pStyle w:val="Heading2"/>
      </w:pPr>
      <w:r>
        <w:t>Explicitly deferred</w:t>
      </w:r>
    </w:p>
    <w:p>
      <w:pPr>
        <w:pStyle w:val="ListBullet"/>
      </w:pPr>
      <w:r>
        <w:t>Payment initiation</w:t>
      </w:r>
    </w:p>
    <w:p>
      <w:pPr>
        <w:pStyle w:val="ListBullet"/>
      </w:pPr>
      <w:r>
        <w:t>Direct payroll processing</w:t>
      </w:r>
    </w:p>
    <w:p>
      <w:pPr>
        <w:pStyle w:val="ListBullet"/>
      </w:pPr>
      <w:r>
        <w:t>Native mobile applications</w:t>
      </w:r>
    </w:p>
    <w:p>
      <w:pPr>
        <w:pStyle w:val="ListBullet"/>
      </w:pPr>
      <w:r>
        <w:t>Complex multi-currency consolidation</w:t>
      </w:r>
    </w:p>
    <w:p>
      <w:pPr>
        <w:pStyle w:val="ListBullet"/>
      </w:pPr>
      <w:r>
        <w:t>Autonomous supplier or purchasing actions</w:t>
      </w:r>
    </w:p>
    <w:p>
      <w:pPr>
        <w:pStyle w:val="ListBullet"/>
      </w:pPr>
      <w:r>
        <w:t>Direct regulatory registration for Open Banking</w:t>
      </w:r>
    </w:p>
    <w:p>
      <w:pPr>
        <w:pStyle w:val="ListBullet"/>
      </w:pPr>
      <w:r>
        <w:t>Any booking, dispatch, income, sales or operational management capability</w:t>
      </w:r>
    </w:p>
    <w:p>
      <w:pPr>
        <w:pStyle w:val="Heading1"/>
      </w:pPr>
      <w:r>
        <w:t>20. Risks, decisions and open definitions</w:t>
      </w:r>
    </w:p>
    <w:tbl>
      <w:tblPr>
        <w:tblStyle w:val="TableGrid"/>
        <w:tblW w:type="dxa" w:w="9360"/>
        <w:jc w:val="left"/>
        <w:tblLayout w:type="fixed"/>
        <w:tblLook w:firstColumn="1" w:firstRow="1" w:lastColumn="0" w:lastRow="0" w:noHBand="0" w:noVBand="1" w:val="04A0"/>
        <w:tblInd w:w="120" w:type="dxa"/>
      </w:tblPr>
      <w:tblGrid>
        <w:gridCol w:w="2448"/>
        <w:gridCol w:w="6912"/>
      </w:tblGrid>
      <w:tr>
        <w:trPr>
          <w:tblHeader w:val="true"/>
        </w:trPr>
        <w:tc>
          <w:tcPr>
            <w:tcW w:type="dxa" w:w="2448"/>
            <w:shd w:fill="0B1F33"/>
            <w:vAlign w:val="center"/>
            <w:tcMar>
              <w:top w:w="100" w:type="dxa"/>
              <w:start w:w="120" w:type="dxa"/>
              <w:bottom w:w="100" w:type="dxa"/>
              <w:end w:w="120" w:type="dxa"/>
            </w:tcMar>
          </w:tcPr>
          <w:p>
            <w:pPr>
              <w:spacing w:after="0"/>
            </w:pPr>
            <w:r>
              <w:rPr>
                <w:b/>
                <w:color w:val="FFFFFF"/>
                <w:sz w:val="17"/>
              </w:rPr>
              <w:t>Risk</w:t>
            </w:r>
          </w:p>
        </w:tc>
        <w:tc>
          <w:tcPr>
            <w:tcW w:type="dxa" w:w="6912"/>
            <w:shd w:fill="0B1F33"/>
            <w:vAlign w:val="center"/>
            <w:tcMar>
              <w:top w:w="100" w:type="dxa"/>
              <w:start w:w="120" w:type="dxa"/>
              <w:bottom w:w="100" w:type="dxa"/>
              <w:end w:w="120" w:type="dxa"/>
            </w:tcMar>
          </w:tcPr>
          <w:p>
            <w:pPr>
              <w:spacing w:after="0"/>
            </w:pPr>
            <w:r>
              <w:rPr>
                <w:b/>
                <w:color w:val="FFFFFF"/>
                <w:sz w:val="17"/>
              </w:rPr>
              <w:t>Mitigation</w:t>
            </w:r>
          </w:p>
        </w:tc>
      </w:tr>
      <w:tr>
        <w:tc>
          <w:tcPr>
            <w:tcW w:type="dxa" w:w="2448"/>
            <w:vAlign w:val="center"/>
            <w:tcMar>
              <w:top w:w="100" w:type="dxa"/>
              <w:start w:w="120" w:type="dxa"/>
              <w:bottom w:w="100" w:type="dxa"/>
              <w:end w:w="120" w:type="dxa"/>
            </w:tcMar>
          </w:tcPr>
          <w:p>
            <w:pPr>
              <w:spacing w:after="0"/>
            </w:pPr>
            <w:r>
              <w:rPr>
                <w:color w:val="102130"/>
                <w:sz w:val="17"/>
              </w:rPr>
              <w:t>Poor source data</w:t>
            </w:r>
          </w:p>
        </w:tc>
        <w:tc>
          <w:tcPr>
            <w:tcW w:type="dxa" w:w="6912"/>
            <w:vAlign w:val="center"/>
            <w:tcMar>
              <w:top w:w="100" w:type="dxa"/>
              <w:start w:w="120" w:type="dxa"/>
              <w:bottom w:w="100" w:type="dxa"/>
              <w:end w:w="120" w:type="dxa"/>
            </w:tcMar>
          </w:tcPr>
          <w:p>
            <w:pPr>
              <w:spacing w:after="0"/>
            </w:pPr>
            <w:r>
              <w:rPr>
                <w:color w:val="102130"/>
                <w:sz w:val="17"/>
              </w:rPr>
              <w:t>Staging, quarantine, reconciliation, data-health indicators and correction workflow</w:t>
            </w:r>
          </w:p>
        </w:tc>
      </w:tr>
      <w:tr>
        <w:tc>
          <w:tcPr>
            <w:tcW w:type="dxa" w:w="2448"/>
            <w:vAlign w:val="center"/>
            <w:shd w:fill="F5F7F9"/>
            <w:tcMar>
              <w:top w:w="100" w:type="dxa"/>
              <w:start w:w="120" w:type="dxa"/>
              <w:bottom w:w="100" w:type="dxa"/>
              <w:end w:w="120" w:type="dxa"/>
            </w:tcMar>
          </w:tcPr>
          <w:p>
            <w:pPr>
              <w:spacing w:after="0"/>
            </w:pPr>
            <w:r>
              <w:rPr>
                <w:color w:val="102130"/>
                <w:sz w:val="17"/>
              </w:rPr>
              <w:t>Double counting</w:t>
            </w:r>
          </w:p>
        </w:tc>
        <w:tc>
          <w:tcPr>
            <w:tcW w:type="dxa" w:w="6912"/>
            <w:vAlign w:val="center"/>
            <w:shd w:fill="F5F7F9"/>
            <w:tcMar>
              <w:top w:w="100" w:type="dxa"/>
              <w:start w:w="120" w:type="dxa"/>
              <w:bottom w:w="100" w:type="dxa"/>
              <w:end w:w="120" w:type="dxa"/>
            </w:tcMar>
          </w:tcPr>
          <w:p>
            <w:pPr>
              <w:spacing w:after="0"/>
            </w:pPr>
            <w:r>
              <w:rPr>
                <w:color w:val="102130"/>
                <w:sz w:val="17"/>
              </w:rPr>
              <w:t>Enforced lifecycle links between commitments and actual costs</w:t>
            </w:r>
          </w:p>
        </w:tc>
      </w:tr>
      <w:tr>
        <w:tc>
          <w:tcPr>
            <w:tcW w:type="dxa" w:w="2448"/>
            <w:vAlign w:val="center"/>
            <w:tcMar>
              <w:top w:w="100" w:type="dxa"/>
              <w:start w:w="120" w:type="dxa"/>
              <w:bottom w:w="100" w:type="dxa"/>
              <w:end w:w="120" w:type="dxa"/>
            </w:tcMar>
          </w:tcPr>
          <w:p>
            <w:pPr>
              <w:spacing w:after="0"/>
            </w:pPr>
            <w:r>
              <w:rPr>
                <w:color w:val="102130"/>
                <w:sz w:val="17"/>
              </w:rPr>
              <w:t>Conflicting totals</w:t>
            </w:r>
          </w:p>
        </w:tc>
        <w:tc>
          <w:tcPr>
            <w:tcW w:type="dxa" w:w="6912"/>
            <w:vAlign w:val="center"/>
            <w:tcMar>
              <w:top w:w="100" w:type="dxa"/>
              <w:start w:w="120" w:type="dxa"/>
              <w:bottom w:w="100" w:type="dxa"/>
              <w:end w:w="120" w:type="dxa"/>
            </w:tcMar>
          </w:tcPr>
          <w:p>
            <w:pPr>
              <w:spacing w:after="0"/>
            </w:pPr>
            <w:r>
              <w:rPr>
                <w:color w:val="102130"/>
                <w:sz w:val="17"/>
              </w:rPr>
              <w:t>Shared stored snapshots and central calculation services</w:t>
            </w:r>
          </w:p>
        </w:tc>
      </w:tr>
      <w:tr>
        <w:tc>
          <w:tcPr>
            <w:tcW w:type="dxa" w:w="2448"/>
            <w:vAlign w:val="center"/>
            <w:shd w:fill="F5F7F9"/>
            <w:tcMar>
              <w:top w:w="100" w:type="dxa"/>
              <w:start w:w="120" w:type="dxa"/>
              <w:bottom w:w="100" w:type="dxa"/>
              <w:end w:w="120" w:type="dxa"/>
            </w:tcMar>
          </w:tcPr>
          <w:p>
            <w:pPr>
              <w:spacing w:after="0"/>
            </w:pPr>
            <w:r>
              <w:rPr>
                <w:color w:val="102130"/>
                <w:sz w:val="17"/>
              </w:rPr>
              <w:t>Forecast mistrust</w:t>
            </w:r>
          </w:p>
        </w:tc>
        <w:tc>
          <w:tcPr>
            <w:tcW w:type="dxa" w:w="6912"/>
            <w:vAlign w:val="center"/>
            <w:shd w:fill="F5F7F9"/>
            <w:tcMar>
              <w:top w:w="100" w:type="dxa"/>
              <w:start w:w="120" w:type="dxa"/>
              <w:bottom w:w="100" w:type="dxa"/>
              <w:end w:w="120" w:type="dxa"/>
            </w:tcMar>
          </w:tcPr>
          <w:p>
            <w:pPr>
              <w:spacing w:after="0"/>
            </w:pPr>
            <w:r>
              <w:rPr>
                <w:color w:val="102130"/>
                <w:sz w:val="17"/>
              </w:rPr>
              <w:t>Versioned assumptions, ranges, backtesting and explainability</w:t>
            </w:r>
          </w:p>
        </w:tc>
      </w:tr>
      <w:tr>
        <w:tc>
          <w:tcPr>
            <w:tcW w:type="dxa" w:w="2448"/>
            <w:vAlign w:val="center"/>
            <w:tcMar>
              <w:top w:w="100" w:type="dxa"/>
              <w:start w:w="120" w:type="dxa"/>
              <w:bottom w:w="100" w:type="dxa"/>
              <w:end w:w="120" w:type="dxa"/>
            </w:tcMar>
          </w:tcPr>
          <w:p>
            <w:pPr>
              <w:spacing w:after="0"/>
            </w:pPr>
            <w:r>
              <w:rPr>
                <w:color w:val="102130"/>
                <w:sz w:val="17"/>
              </w:rPr>
              <w:t>Scope expansion</w:t>
            </w:r>
          </w:p>
        </w:tc>
        <w:tc>
          <w:tcPr>
            <w:tcW w:type="dxa" w:w="6912"/>
            <w:vAlign w:val="center"/>
            <w:tcMar>
              <w:top w:w="100" w:type="dxa"/>
              <w:start w:w="120" w:type="dxa"/>
              <w:bottom w:w="100" w:type="dxa"/>
              <w:end w:w="120" w:type="dxa"/>
            </w:tcMar>
          </w:tcPr>
          <w:p>
            <w:pPr>
              <w:spacing w:after="0"/>
            </w:pPr>
            <w:r>
              <w:rPr>
                <w:color w:val="102130"/>
                <w:sz w:val="17"/>
              </w:rPr>
              <w:t>Apply the cost relevance test to every proposed capability</w:t>
            </w:r>
          </w:p>
        </w:tc>
      </w:tr>
      <w:tr>
        <w:tc>
          <w:tcPr>
            <w:tcW w:type="dxa" w:w="2448"/>
            <w:vAlign w:val="center"/>
            <w:shd w:fill="F5F7F9"/>
            <w:tcMar>
              <w:top w:w="100" w:type="dxa"/>
              <w:start w:w="120" w:type="dxa"/>
              <w:bottom w:w="100" w:type="dxa"/>
              <w:end w:w="120" w:type="dxa"/>
            </w:tcMar>
          </w:tcPr>
          <w:p>
            <w:pPr>
              <w:spacing w:after="0"/>
            </w:pPr>
            <w:r>
              <w:rPr>
                <w:color w:val="102130"/>
                <w:sz w:val="17"/>
              </w:rPr>
              <w:t>AI error</w:t>
            </w:r>
          </w:p>
        </w:tc>
        <w:tc>
          <w:tcPr>
            <w:tcW w:type="dxa" w:w="6912"/>
            <w:vAlign w:val="center"/>
            <w:shd w:fill="F5F7F9"/>
            <w:tcMar>
              <w:top w:w="100" w:type="dxa"/>
              <w:start w:w="120" w:type="dxa"/>
              <w:bottom w:w="100" w:type="dxa"/>
              <w:end w:w="120" w:type="dxa"/>
            </w:tcMar>
          </w:tcPr>
          <w:p>
            <w:pPr>
              <w:spacing w:after="0"/>
            </w:pPr>
            <w:r>
              <w:rPr>
                <w:color w:val="102130"/>
                <w:sz w:val="17"/>
              </w:rPr>
              <w:t>Deterministic tools, amount validation and no direct ledger writes</w:t>
            </w:r>
          </w:p>
        </w:tc>
      </w:tr>
      <w:tr>
        <w:tc>
          <w:tcPr>
            <w:tcW w:type="dxa" w:w="2448"/>
            <w:vAlign w:val="center"/>
            <w:tcMar>
              <w:top w:w="100" w:type="dxa"/>
              <w:start w:w="120" w:type="dxa"/>
              <w:bottom w:w="100" w:type="dxa"/>
              <w:end w:w="120" w:type="dxa"/>
            </w:tcMar>
          </w:tcPr>
          <w:p>
            <w:pPr>
              <w:spacing w:after="0"/>
            </w:pPr>
            <w:r>
              <w:rPr>
                <w:color w:val="102130"/>
                <w:sz w:val="17"/>
              </w:rPr>
              <w:t>Sensitive wage data</w:t>
            </w:r>
          </w:p>
        </w:tc>
        <w:tc>
          <w:tcPr>
            <w:tcW w:type="dxa" w:w="6912"/>
            <w:vAlign w:val="center"/>
            <w:tcMar>
              <w:top w:w="100" w:type="dxa"/>
              <w:start w:w="120" w:type="dxa"/>
              <w:bottom w:w="100" w:type="dxa"/>
              <w:end w:w="120" w:type="dxa"/>
            </w:tcMar>
          </w:tcPr>
          <w:p>
            <w:pPr>
              <w:spacing w:after="0"/>
            </w:pPr>
            <w:r>
              <w:rPr>
                <w:color w:val="102130"/>
                <w:sz w:val="17"/>
              </w:rPr>
              <w:t>Restricted roles, minimised data and full audit</w:t>
            </w:r>
          </w:p>
        </w:tc>
      </w:tr>
      <w:tr>
        <w:tc>
          <w:tcPr>
            <w:tcW w:type="dxa" w:w="2448"/>
            <w:vAlign w:val="center"/>
            <w:shd w:fill="F5F7F9"/>
            <w:tcMar>
              <w:top w:w="100" w:type="dxa"/>
              <w:start w:w="120" w:type="dxa"/>
              <w:bottom w:w="100" w:type="dxa"/>
              <w:end w:w="120" w:type="dxa"/>
            </w:tcMar>
          </w:tcPr>
          <w:p>
            <w:pPr>
              <w:spacing w:after="0"/>
            </w:pPr>
            <w:r>
              <w:rPr>
                <w:color w:val="102130"/>
                <w:sz w:val="17"/>
              </w:rPr>
              <w:t>Integration instability</w:t>
            </w:r>
          </w:p>
        </w:tc>
        <w:tc>
          <w:tcPr>
            <w:tcW w:type="dxa" w:w="6912"/>
            <w:vAlign w:val="center"/>
            <w:shd w:fill="F5F7F9"/>
            <w:tcMar>
              <w:top w:w="100" w:type="dxa"/>
              <w:start w:w="120" w:type="dxa"/>
              <w:bottom w:w="100" w:type="dxa"/>
              <w:end w:w="120" w:type="dxa"/>
            </w:tcMar>
          </w:tcPr>
          <w:p>
            <w:pPr>
              <w:spacing w:after="0"/>
            </w:pPr>
            <w:r>
              <w:rPr>
                <w:color w:val="102130"/>
                <w:sz w:val="17"/>
              </w:rPr>
              <w:t>Idempotency, retries, quarantine and last-valid-state protection</w:t>
            </w:r>
          </w:p>
        </w:tc>
      </w:tr>
      <w:tr>
        <w:tc>
          <w:tcPr>
            <w:tcW w:type="dxa" w:w="2448"/>
            <w:vAlign w:val="center"/>
            <w:tcMar>
              <w:top w:w="100" w:type="dxa"/>
              <w:start w:w="120" w:type="dxa"/>
              <w:bottom w:w="100" w:type="dxa"/>
              <w:end w:w="120" w:type="dxa"/>
            </w:tcMar>
          </w:tcPr>
          <w:p>
            <w:pPr>
              <w:spacing w:after="0"/>
            </w:pPr>
            <w:r>
              <w:rPr>
                <w:color w:val="102130"/>
                <w:sz w:val="17"/>
              </w:rPr>
              <w:t>Regulatory exposure</w:t>
            </w:r>
          </w:p>
        </w:tc>
        <w:tc>
          <w:tcPr>
            <w:tcW w:type="dxa" w:w="6912"/>
            <w:vAlign w:val="center"/>
            <w:tcMar>
              <w:top w:w="100" w:type="dxa"/>
              <w:start w:w="120" w:type="dxa"/>
              <w:bottom w:w="100" w:type="dxa"/>
              <w:end w:w="120" w:type="dxa"/>
            </w:tcMar>
          </w:tcPr>
          <w:p>
            <w:pPr>
              <w:spacing w:after="0"/>
            </w:pPr>
            <w:r>
              <w:rPr>
                <w:color w:val="102130"/>
                <w:sz w:val="17"/>
              </w:rPr>
              <w:t>Avoid payment initiation in MVP and use authorised partners</w:t>
            </w:r>
          </w:p>
        </w:tc>
      </w:tr>
      <w:tr>
        <w:tc>
          <w:tcPr>
            <w:tcW w:type="dxa" w:w="2448"/>
            <w:vAlign w:val="center"/>
            <w:shd w:fill="F5F7F9"/>
            <w:tcMar>
              <w:top w:w="100" w:type="dxa"/>
              <w:start w:w="120" w:type="dxa"/>
              <w:bottom w:w="100" w:type="dxa"/>
              <w:end w:w="120" w:type="dxa"/>
            </w:tcMar>
          </w:tcPr>
          <w:p>
            <w:pPr>
              <w:spacing w:after="0"/>
            </w:pPr>
            <w:r>
              <w:rPr>
                <w:color w:val="102130"/>
                <w:sz w:val="17"/>
              </w:rPr>
              <w:t>Overbuilding</w:t>
            </w:r>
          </w:p>
        </w:tc>
        <w:tc>
          <w:tcPr>
            <w:tcW w:type="dxa" w:w="6912"/>
            <w:vAlign w:val="center"/>
            <w:shd w:fill="F5F7F9"/>
            <w:tcMar>
              <w:top w:w="100" w:type="dxa"/>
              <w:start w:w="120" w:type="dxa"/>
              <w:bottom w:w="100" w:type="dxa"/>
              <w:end w:w="120" w:type="dxa"/>
            </w:tcMar>
          </w:tcPr>
          <w:p>
            <w:pPr>
              <w:spacing w:after="0"/>
            </w:pPr>
            <w:r>
              <w:rPr>
                <w:color w:val="102130"/>
                <w:sz w:val="17"/>
              </w:rPr>
              <w:t>Validate CSV-led MVP and CEC reporting before advanced integrations</w:t>
            </w:r>
          </w:p>
        </w:tc>
      </w:tr>
    </w:tbl>
    <w:p>
      <w:pPr>
        <w:spacing w:after="0"/>
      </w:pPr>
    </w:p>
    <w:p>
      <w:pPr>
        <w:pStyle w:val="Heading2"/>
      </w:pPr>
      <w:r>
        <w:t>Decisions locked by this document</w:t>
      </w:r>
    </w:p>
    <w:p>
      <w:pPr>
        <w:pStyle w:val="ListBullet"/>
      </w:pPr>
      <w:r>
        <w:t>Veyvio is cost-only.</w:t>
      </w:r>
    </w:p>
    <w:p>
      <w:pPr>
        <w:pStyle w:val="ListBullet"/>
      </w:pPr>
      <w:r>
        <w:t>CEC and other budget control is the centre of the product.</w:t>
      </w:r>
    </w:p>
    <w:p>
      <w:pPr>
        <w:pStyle w:val="ListBullet"/>
      </w:pPr>
      <w:r>
        <w:t>Income and profitability are excluded.</w:t>
      </w:r>
    </w:p>
    <w:p>
      <w:pPr>
        <w:pStyle w:val="ListBullet"/>
      </w:pPr>
      <w:r>
        <w:t>Booking, scheduling, dispatch and routes are excluded.</w:t>
      </w:r>
    </w:p>
    <w:p>
      <w:pPr>
        <w:pStyle w:val="ListBullet"/>
      </w:pPr>
      <w:r>
        <w:t>Payroll processing is excluded; approved wage-cost summaries are included.</w:t>
      </w:r>
    </w:p>
    <w:p>
      <w:pPr>
        <w:pStyle w:val="ListBullet"/>
      </w:pPr>
      <w:r>
        <w:t>MOT, service and inspection information is included only to capture or forecast cost.</w:t>
      </w:r>
    </w:p>
    <w:p>
      <w:pPr>
        <w:pStyle w:val="ListBullet"/>
      </w:pPr>
      <w:r>
        <w:t>The MVP uses a modular monolith and a canonical cost ledger.</w:t>
      </w:r>
    </w:p>
    <w:p>
      <w:pPr>
        <w:pStyle w:val="ListBullet"/>
      </w:pPr>
      <w:r>
        <w:t>AI explains and prepares; deterministic services calculate.</w:t>
      </w:r>
    </w:p>
    <w:p>
      <w:pPr>
        <w:pStyle w:val="ListBullet"/>
      </w:pPr>
      <w:r>
        <w:t>No external consequential action occurs without authorised approval.</w:t>
      </w:r>
    </w:p>
    <w:p>
      <w:pPr>
        <w:pStyle w:val="Heading2"/>
      </w:pPr>
      <w:r>
        <w:t>Open definitions to confirm</w:t>
      </w:r>
    </w:p>
    <w:p>
      <w:pPr>
        <w:pStyle w:val="ListBullet"/>
      </w:pPr>
      <w:r>
        <w:t>The full meaning, ownership and formal structure of the CEC budget.</w:t>
      </w:r>
    </w:p>
    <w:p>
      <w:pPr>
        <w:pStyle w:val="ListBullet"/>
      </w:pPr>
      <w:r>
        <w:t>The required CEC cost codes and reporting periods.</w:t>
      </w:r>
    </w:p>
    <w:p>
      <w:pPr>
        <w:pStyle w:val="ListBullet"/>
      </w:pPr>
      <w:r>
        <w:t>The initial organisations, vehicles and cost centres in scope.</w:t>
      </w:r>
    </w:p>
    <w:p>
      <w:pPr>
        <w:pStyle w:val="ListBullet"/>
      </w:pPr>
      <w:r>
        <w:t>The exact fuel-card and accounting providers.</w:t>
      </w:r>
    </w:p>
    <w:p>
      <w:pPr>
        <w:pStyle w:val="ListBullet"/>
      </w:pPr>
      <w:r>
        <w:t>Whether wage costs may be stored individually or only in approved aggregates.</w:t>
      </w:r>
    </w:p>
    <w:p>
      <w:pPr>
        <w:pStyle w:val="ListBullet"/>
      </w:pPr>
      <w:r>
        <w:t>VAT, currency and financial-year requirements.</w:t>
      </w:r>
    </w:p>
    <w:p>
      <w:pPr>
        <w:pStyle w:val="ListBullet"/>
      </w:pPr>
      <w:r>
        <w:t>Approval thresholds and segregation-of-duties rules.</w:t>
      </w:r>
    </w:p>
    <w:p>
      <w:pPr>
        <w:pStyle w:val="ListBullet"/>
      </w:pPr>
      <w:r>
        <w:t>Required report formats and external recipients.</w:t>
      </w:r>
    </w:p>
    <w:p>
      <w:pPr>
        <w:pStyle w:val="Heading1"/>
      </w:pPr>
      <w:r>
        <w:t>Final product statement</w:t>
      </w:r>
    </w:p>
    <w:p>
      <w:r>
        <w:t>The strength of Veyvio will come from focus. It should not attempt to operate the business. It should provide one accurate, explainable and auditable view of cost so the business can control expenditure with confidence.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shd w:fill="F5F7F9"/>
          </w:tcPr>
          <w:p>
            <w:pPr>
              <w:spacing w:after="40"/>
            </w:pPr>
            <w:r>
              <w:rPr>
                <w:b/>
                <w:color w:val="0F766E"/>
                <w:sz w:val="17"/>
              </w:rPr>
              <w:t>VEYVIO</w:t>
            </w:r>
          </w:p>
          <w:p>
            <w:pPr>
              <w:spacing w:after="0"/>
            </w:pPr>
            <w:r>
              <w:rPr>
                <w:b/>
                <w:color w:val="0B1F33"/>
                <w:sz w:val="23"/>
              </w:rPr>
              <w:t>A trusted cost-control platform that captures every cost, validates and allocates it, compares it with the CEC budget, forecasts the final position and shows where authorised action is needed.</w:t>
            </w:r>
          </w:p>
        </w:tc>
      </w:tr>
    </w:tbl>
    <w:sectPr w:rsidR="00FC693F" w:rsidRPr="0006063C" w:rsidSect="00034616">
      <w:headerReference w:type="default" r:id="rId9"/>
      <w:footerReference w:type="default" r:id="rId10"/>
      <w:pgSz w:w="12240" w:h="15840"/>
      <w:pgMar w:top="1152" w:right="1224" w:bottom="1080" w:left="1224"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75"/>
        <w:sz w:val="17"/>
      </w:rPr>
      <w:t xml:space="preserve">Veyvio Blueprint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E6B75"/>
        <w:sz w:val="17"/>
      </w:rPr>
      <w:t>VEYVIO  /  COST CONTROL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abstractNum w:abstractNumId="13">
    <w:multiLevelType w:val="singleLevel"/>
    <w:lvl w:ilvl="0">
      <w:start w:val="1"/>
      <w:numFmt w:val="decimal"/>
      <w:lvlText w:val="%1."/>
      <w:suff w:val="tab"/>
      <w:pPr>
        <w:tabs>
          <w:tab w:val="num" w:pos="720"/>
        </w:tabs>
        <w:ind w:left="720" w:hanging="360"/>
      </w:pPr>
    </w:lvl>
  </w:abstractNum>
  <w:num w:numId="14">
    <w:abstractNumId w:val="13"/>
  </w:num>
  <w:abstractNum w:abstractNumId="14">
    <w:multiLevelType w:val="singleLevel"/>
    <w:lvl w:ilvl="0">
      <w:start w:val="1"/>
      <w:numFmt w:val="decimal"/>
      <w:lvlText w:val="%1."/>
      <w:suff w:val="tab"/>
      <w:pPr>
        <w:tabs>
          <w:tab w:val="num" w:pos="720"/>
        </w:tabs>
        <w:ind w:left="720" w:hanging="360"/>
      </w:pPr>
    </w:lvl>
  </w:abstractNum>
  <w:num w:numId="15">
    <w:abstractNumId w:val="14"/>
  </w:num>
  <w:abstractNum w:abstractNumId="15">
    <w:multiLevelType w:val="singleLevel"/>
    <w:lvl w:ilvl="0">
      <w:start w:val="1"/>
      <w:numFmt w:val="decimal"/>
      <w:lvlText w:val="%1."/>
      <w:suff w:val="tab"/>
      <w:pPr>
        <w:tabs>
          <w:tab w:val="num" w:pos="720"/>
        </w:tabs>
        <w:ind w:left="720" w:hanging="360"/>
      </w:pPr>
    </w:lvl>
  </w:abstractNum>
  <w:num w:numId="16">
    <w:abstractNumId w:val="15"/>
  </w:num>
  <w:abstractNum w:abstractNumId="16">
    <w:multiLevelType w:val="singleLevel"/>
    <w:lvl w:ilvl="0">
      <w:start w:val="1"/>
      <w:numFmt w:val="decimal"/>
      <w:lvlText w:val="%1."/>
      <w:suff w:val="tab"/>
      <w:pPr>
        <w:tabs>
          <w:tab w:val="num" w:pos="720"/>
        </w:tabs>
        <w:ind w:left="720" w:hanging="360"/>
      </w:pPr>
    </w:lvl>
  </w:abstractNum>
  <w:num w:numId="17">
    <w:abstractNumId w:val="16"/>
  </w:num>
  <w:abstractNum w:abstractNumId="17">
    <w:multiLevelType w:val="singleLevel"/>
    <w:lvl w:ilvl="0">
      <w:start w:val="1"/>
      <w:numFmt w:val="decimal"/>
      <w:lvlText w:val="%1."/>
      <w:suff w:val="tab"/>
      <w:pPr>
        <w:tabs>
          <w:tab w:val="num" w:pos="720"/>
        </w:tabs>
        <w:ind w:left="720" w:hanging="360"/>
      </w:pPr>
    </w:lvl>
  </w:abstractNum>
  <w:num w:numId="18">
    <w:abstractNumId w:val="17"/>
  </w:num>
  <w:abstractNum w:abstractNumId="18">
    <w:multiLevelType w:val="singleLevel"/>
    <w:lvl w:ilvl="0">
      <w:start w:val="1"/>
      <w:numFmt w:val="decimal"/>
      <w:lvlText w:val="%1."/>
      <w:suff w:val="tab"/>
      <w:pPr>
        <w:tabs>
          <w:tab w:val="num" w:pos="720"/>
        </w:tabs>
        <w:ind w:left="720" w:hanging="360"/>
      </w:pPr>
    </w:lvl>
  </w:abstract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021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1F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spacing w:before="160" w:after="200"/>
      <w:ind w:left="259"/>
    </w:pPr>
    <w:rPr>
      <w:rFonts w:ascii="Calibri" w:hAnsi="Calibri"/>
      <w:b/>
      <w:color w:val="0B1F3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Veyvio Cost Control Master Blueprint</dc:title>
  <dc:subject>Cost-only product, UX, data and engineering blueprint</dc:subject>
  <dc:creator>Veyvio</dc:creator>
  <cp:keywords>Veyvio, cost control, CEC budget, product blueprint</cp:keywords>
  <dc:description>Authoritative scope: cost only.</dc:description>
  <cp:lastModifiedBy/>
  <cp:revision>1</cp:revision>
  <dcterms:created xsi:type="dcterms:W3CDTF">2013-12-23T23:15:00Z</dcterms:created>
  <dcterms:modified xsi:type="dcterms:W3CDTF">2013-12-23T23:15:00Z</dcterms:modified>
  <cp:category/>
</cp:coreProperties>
</file>