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2: Data Exploration and Pre-processing</w:t>
      </w:r>
    </w:p>
    <w:p>
      <w:pPr>
        <w:pStyle w:val="Heading1"/>
      </w:pPr>
      <w:r>
        <w:t>1. Project Title and Team Members</w:t>
      </w:r>
    </w:p>
    <w:p>
      <w:r>
        <w:t>Project Title: Machine Learning-Driven Risk Stratification for Stroke Using Clinical and Lifestyle Factors</w:t>
      </w:r>
    </w:p>
    <w:p>
      <w:r>
        <w:t>Team Members: Larkou Kostantinos, Rodosthenous Ioannis, Tamboutsiaris Petros</w:t>
      </w:r>
    </w:p>
    <w:p>
      <w:pPr>
        <w:pStyle w:val="Heading1"/>
      </w:pPr>
      <w:r>
        <w:t>2. Data Understanding</w:t>
      </w:r>
    </w:p>
    <w:p>
      <w:r>
        <w:t>The Stroke Prediction dataset (Kaggle, fedesoriano) contains 5,110 rows and 12 columns. The target variable is stroke (0: no stroke, 1: stroke).</w:t>
      </w:r>
    </w:p>
    <w:p>
      <w:r>
        <w:t>Data quality checks found 0 duplicate rows and 201 missing values in bmi (no other feature has missing values).</w:t>
      </w:r>
    </w:p>
    <w:p>
      <w:r>
        <w:t>Target distribution is highly imbalanced: class 0 = 4,861 (95.13%), class 1 = 249 (4.87%).</w:t>
      </w:r>
    </w:p>
    <w:p>
      <w:r>
        <w:t>Feature dictionary with data types: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Dtype</w:t>
            </w:r>
          </w:p>
        </w:tc>
        <w:tc>
          <w:tcPr>
            <w:tcW w:type="dxa" w:w="2160"/>
          </w:tcPr>
          <w:p>
            <w:r>
              <w:t>Feature Type</w:t>
            </w:r>
          </w:p>
        </w:tc>
        <w:tc>
          <w:tcPr>
            <w:tcW w:type="dxa" w:w="2160"/>
          </w:tcPr>
          <w:p>
            <w:r>
              <w:t>Unique Values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5110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heart_disease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ever_married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work_type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Residence_type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avg_glucose_level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3979</w:t>
            </w:r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418</w:t>
            </w:r>
          </w:p>
        </w:tc>
      </w:tr>
      <w:tr>
        <w:tc>
          <w:tcPr>
            <w:tcW w:type="dxa" w:w="2160"/>
          </w:tcPr>
          <w:p>
            <w:r>
              <w:t>smoking_status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stroke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Binary Target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pPr>
        <w:pStyle w:val="Heading1"/>
      </w:pPr>
      <w:r>
        <w:t>3. Exploratory Data Analysis (EDA)</w:t>
      </w:r>
    </w:p>
    <w:p>
      <w:r>
        <w:t>EDA was conducted using univariate and bivariate visualizations for both numerical and categorical variables. Numerical plots were generated for age, avg_glucose_level, and bmi, and categorical plots were generated for gender, work_type, smoking_status, ever_married, and Residence_type.</w:t>
      </w:r>
    </w:p>
    <w:p>
      <w:r>
        <w:t>Stroke cases are rare (4.87%), confirming severe class imbalance and the need for imbalance-aware preprocessing.</w:t>
      </w:r>
    </w:p>
    <w:p>
      <w:r>
        <w:t>Key numerical findings: mean age is higher in stroke cases (67.73) than non-stroke cases (41.97); mean avg_glucose_level is higher in stroke cases (132.54) than non-stroke cases (104.80); mean bmi is slightly higher in stroke cases (30.47) than non-stroke cases (28.82).</w:t>
      </w:r>
    </w:p>
    <w:p>
      <w:r>
        <w:t>Correlation with stroke is strongest for age (0.245), followed by heart_disease (0.135), avg_glucose_level (0.132), and hypertension (0.128).</w:t>
      </w:r>
    </w:p>
    <w:p>
      <w:r>
        <w:t>Figure: Target class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Histogram of avg_glucose_level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_avg_glucose_le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Avg glucose by stroke status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iolin_avg_glucose_level_stro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Correlation heatmap</w:t>
      </w:r>
    </w:p>
    <w:p>
      <w:r>
        <w:drawing>
          <wp:inline xmlns:a="http://schemas.openxmlformats.org/drawingml/2006/main" xmlns:pic="http://schemas.openxmlformats.org/drawingml/2006/picture">
            <wp:extent cx="5303520" cy="3712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r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Data Pre-processing</w:t>
      </w:r>
    </w:p>
    <w:p>
      <w:pPr>
        <w:pStyle w:val="ListBullet"/>
      </w:pPr>
      <w:r>
        <w:t>Drop the identifier column (id) before modeling because it has no clinical predictive value.</w:t>
      </w:r>
    </w:p>
    <w:p>
      <w:pPr>
        <w:pStyle w:val="ListBullet"/>
      </w:pPr>
      <w:r>
        <w:t>Impute missing numerical values (especially bmi) using median strategy; impute categorical values using most frequent category.</w:t>
      </w:r>
    </w:p>
    <w:p>
      <w:pPr>
        <w:pStyle w:val="ListBullet"/>
      </w:pPr>
      <w:r>
        <w:t>Encode categorical features using one-hot encoding to avoid artificial ordinal relationships.</w:t>
      </w:r>
    </w:p>
    <w:p>
      <w:pPr>
        <w:pStyle w:val="ListBullet"/>
      </w:pPr>
      <w:r>
        <w:t>Scale numerical features with StandardScaler for scale-sensitive algorithms (KNN, SVM, Logistic Regression).</w:t>
      </w:r>
    </w:p>
    <w:p>
      <w:pPr>
        <w:pStyle w:val="ListBullet"/>
      </w:pPr>
      <w:r>
        <w:t>Apply SMOTE on the training split only to address class imbalance and avoid data leakage.</w:t>
      </w:r>
    </w:p>
    <w:p>
      <w:pPr>
        <w:pStyle w:val="ListBullet"/>
      </w:pPr>
      <w:r>
        <w:t>Test PCA as an experimental feature extraction step in one dataset version.</w:t>
      </w:r>
    </w:p>
    <w:p>
      <w:pPr>
        <w:pStyle w:val="Heading1"/>
      </w:pPr>
      <w:r>
        <w:t>5. Pre-processed Dataset Versions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Core Preprocessing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Imbalance</w:t>
            </w:r>
          </w:p>
        </w:tc>
        <w:tc>
          <w:tcPr>
            <w:tcW w:type="dxa" w:w="1440"/>
          </w:tcPr>
          <w:p>
            <w:r>
              <w:t>Feature Reduction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Median/Most-frequent imputation + One-Hot Encoding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Baseline pipeline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Same as V1</w:t>
            </w:r>
          </w:p>
        </w:tc>
        <w:tc>
          <w:tcPr>
            <w:tcW w:type="dxa" w:w="1440"/>
          </w:tcPr>
          <w:p>
            <w:r>
              <w:t>StandardScaler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Assess scaling impact</w:t>
            </w:r>
          </w:p>
        </w:tc>
      </w:tr>
      <w:tr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Same as V2</w:t>
            </w:r>
          </w:p>
        </w:tc>
        <w:tc>
          <w:tcPr>
            <w:tcW w:type="dxa" w:w="1440"/>
          </w:tcPr>
          <w:p>
            <w:r>
              <w:t>StandardScaler</w:t>
            </w:r>
          </w:p>
        </w:tc>
        <w:tc>
          <w:tcPr>
            <w:tcW w:type="dxa" w:w="1440"/>
          </w:tcPr>
          <w:p>
            <w:r>
              <w:t>SMOTE (train only)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Address class imbalance</w:t>
            </w:r>
          </w:p>
        </w:tc>
      </w:tr>
      <w:tr>
        <w:tc>
          <w:tcPr>
            <w:tcW w:type="dxa" w:w="1440"/>
          </w:tcPr>
          <w:p>
            <w:r>
              <w:t>V4</w:t>
            </w:r>
          </w:p>
        </w:tc>
        <w:tc>
          <w:tcPr>
            <w:tcW w:type="dxa" w:w="1440"/>
          </w:tcPr>
          <w:p>
            <w:r>
              <w:t>Same as V3</w:t>
            </w:r>
          </w:p>
        </w:tc>
        <w:tc>
          <w:tcPr>
            <w:tcW w:type="dxa" w:w="1440"/>
          </w:tcPr>
          <w:p>
            <w:r>
              <w:t>StandardScaler</w:t>
            </w:r>
          </w:p>
        </w:tc>
        <w:tc>
          <w:tcPr>
            <w:tcW w:type="dxa" w:w="1440"/>
          </w:tcPr>
          <w:p>
            <w:r>
              <w:t>SMOTE (train only)</w:t>
            </w:r>
          </w:p>
        </w:tc>
        <w:tc>
          <w:tcPr>
            <w:tcW w:type="dxa" w:w="1440"/>
          </w:tcPr>
          <w:p>
            <w:r>
              <w:t>PCA (95% variance)</w:t>
            </w:r>
          </w:p>
        </w:tc>
        <w:tc>
          <w:tcPr>
            <w:tcW w:type="dxa" w:w="1440"/>
          </w:tcPr>
          <w:p>
            <w:r>
              <w:t>Assess dimensionality reduction</w:t>
            </w:r>
          </w:p>
        </w:tc>
      </w:tr>
    </w:tbl>
    <w:p>
      <w:pPr>
        <w:pStyle w:val="Heading1"/>
      </w:pPr>
      <w:r>
        <w:t>6. Selected Machine Learning Algorithms</w:t>
      </w:r>
    </w:p>
    <w:p>
      <w:r>
        <w:t>Logistic Regression: Interpretable binary baseline with probabilistic outputs useful for clinical communication.</w:t>
      </w:r>
    </w:p>
    <w:p>
      <w:r>
        <w:t>K-Nearest Neighbors: Distance-based method that is useful for testing the value of scaling and local neighborhood patterns.</w:t>
      </w:r>
    </w:p>
    <w:p>
      <w:r>
        <w:t>Random Forest: Captures nonlinear interactions and provides robust performance on tabular clinical data.</w:t>
      </w:r>
    </w:p>
    <w:p>
      <w:r>
        <w:t>Support Vector Machine: Strong classifier for complex boundaries, typically effective after scaling.</w:t>
      </w:r>
    </w:p>
    <w:p>
      <w:pPr>
        <w:pStyle w:val="Heading1"/>
      </w:pPr>
      <w:r>
        <w:t>7. References</w:t>
      </w:r>
    </w:p>
    <w:p>
      <w:pPr>
        <w:pStyle w:val="ListNumber"/>
      </w:pPr>
      <w:r>
        <w:t>Fedesoriano. Stroke Prediction Dataset. Kaggle.</w:t>
      </w:r>
    </w:p>
    <w:p>
      <w:pPr>
        <w:pStyle w:val="ListNumber"/>
      </w:pPr>
      <w:r>
        <w:t>Deo, R. C. (2015). Machine learning in medicine. Circulation.</w:t>
      </w:r>
    </w:p>
    <w:p>
      <w:pPr>
        <w:pStyle w:val="ListNumber"/>
      </w:pPr>
      <w:r>
        <w:t>Chawla, N. V., et al. (2002). SMOTE: Synthetic Minority Over-sampling Technique. Journal of AI Research.</w:t>
      </w:r>
    </w:p>
    <w:p>
      <w:pPr>
        <w:pStyle w:val="ListNumber"/>
      </w:pPr>
      <w:r>
        <w:t>Pedregosa, F., et al. (2011). Scikit-learn: Machine Learning in Python. JMLR.</w:t>
      </w:r>
    </w:p>
    <w:p>
      <w:pPr>
        <w:pStyle w:val="ListNumber"/>
      </w:pPr>
      <w:r>
        <w:t>Powers, W. J., et al. (2019). Guidelines for the Early Management of Acute Ischemic Stroke.</w:t>
      </w:r>
    </w:p>
    <w:p>
      <w:pPr>
        <w:pStyle w:val="ListNumber"/>
      </w:pPr>
      <w:r>
        <w:t>Rajkomar, A., Dean, J., &amp; Kohane, I. (2019). Machine learning in medicine. New England Journal of Medicine.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