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8FE33" w14:textId="77777777" w:rsidR="00F6793A" w:rsidRPr="00F6793A" w:rsidRDefault="00F6793A" w:rsidP="00F6793A">
      <w:r w:rsidRPr="00F6793A">
        <w:rPr>
          <w:b/>
          <w:bCs/>
        </w:rPr>
        <w:t>Sales Dashboard Report</w:t>
      </w:r>
    </w:p>
    <w:p w14:paraId="5BBCBB39" w14:textId="77777777" w:rsidR="00F6793A" w:rsidRPr="00F6793A" w:rsidRDefault="00F6793A" w:rsidP="00F6793A">
      <w:r w:rsidRPr="00F6793A">
        <w:rPr>
          <w:b/>
          <w:bCs/>
        </w:rPr>
        <w:t>Overview:</w:t>
      </w:r>
      <w:r w:rsidRPr="00F6793A">
        <w:t xml:space="preserve"> This report presents a summary of the total sales analysis based on country, product type, quantity ordered, and sales distribution by quarter. The data visualizations highlight trends and comparisons across different categories, providing actionable insights into product performance and seasonal sales distribution.</w:t>
      </w:r>
    </w:p>
    <w:p w14:paraId="72676B98" w14:textId="77777777" w:rsidR="00F6793A" w:rsidRPr="00F6793A" w:rsidRDefault="00F6793A" w:rsidP="00F6793A">
      <w:r w:rsidRPr="00F6793A">
        <w:pict w14:anchorId="132C7E56">
          <v:rect id="_x0000_i1049" style="width:0;height:1.5pt" o:hralign="center" o:hrstd="t" o:hr="t" fillcolor="#a0a0a0" stroked="f"/>
        </w:pict>
      </w:r>
    </w:p>
    <w:p w14:paraId="0497AA06" w14:textId="77777777" w:rsidR="00F6793A" w:rsidRPr="00F6793A" w:rsidRDefault="00F6793A" w:rsidP="00F6793A">
      <w:r w:rsidRPr="00F6793A">
        <w:rPr>
          <w:b/>
          <w:bCs/>
        </w:rPr>
        <w:t>1. Total Sales by Country and Product Type:</w:t>
      </w:r>
      <w:r w:rsidRPr="00F6793A">
        <w:t xml:space="preserve"> The bar chart in the top-left corner visualizes the total sales for six countries across six product categories:</w:t>
      </w:r>
    </w:p>
    <w:p w14:paraId="496248C6" w14:textId="77777777" w:rsidR="00F6793A" w:rsidRPr="00F6793A" w:rsidRDefault="00F6793A" w:rsidP="00F6793A">
      <w:pPr>
        <w:numPr>
          <w:ilvl w:val="0"/>
          <w:numId w:val="1"/>
        </w:numPr>
      </w:pPr>
      <w:r w:rsidRPr="00F6793A">
        <w:rPr>
          <w:b/>
          <w:bCs/>
        </w:rPr>
        <w:t>Countries:</w:t>
      </w:r>
      <w:r w:rsidRPr="00F6793A">
        <w:t xml:space="preserve"> Canada, Australia, France, USA, UK, and Germany</w:t>
      </w:r>
    </w:p>
    <w:p w14:paraId="5A8EAE4B" w14:textId="77777777" w:rsidR="00F6793A" w:rsidRPr="00F6793A" w:rsidRDefault="00F6793A" w:rsidP="00F6793A">
      <w:pPr>
        <w:numPr>
          <w:ilvl w:val="0"/>
          <w:numId w:val="1"/>
        </w:numPr>
      </w:pPr>
      <w:r w:rsidRPr="00F6793A">
        <w:rPr>
          <w:b/>
          <w:bCs/>
        </w:rPr>
        <w:t>Product Types:</w:t>
      </w:r>
      <w:r w:rsidRPr="00F6793A">
        <w:t xml:space="preserve"> Clothing, Electronics, Furniture, Home Appliances, Sports Equipment, and Toys</w:t>
      </w:r>
    </w:p>
    <w:p w14:paraId="2EC14F56" w14:textId="77777777" w:rsidR="00F6793A" w:rsidRPr="00F6793A" w:rsidRDefault="00F6793A" w:rsidP="00F6793A">
      <w:r w:rsidRPr="00F6793A">
        <w:rPr>
          <w:b/>
          <w:bCs/>
        </w:rPr>
        <w:t>Key Insights:</w:t>
      </w:r>
    </w:p>
    <w:p w14:paraId="490D52C9" w14:textId="77777777" w:rsidR="00F6793A" w:rsidRPr="00F6793A" w:rsidRDefault="00F6793A" w:rsidP="00F6793A">
      <w:pPr>
        <w:numPr>
          <w:ilvl w:val="0"/>
          <w:numId w:val="2"/>
        </w:numPr>
      </w:pPr>
      <w:r w:rsidRPr="00F6793A">
        <w:t>Canada and Australia lead in total sales, with Canada having a particularly high volume in Sports Equipment.</w:t>
      </w:r>
    </w:p>
    <w:p w14:paraId="1F2DB9DF" w14:textId="77777777" w:rsidR="00F6793A" w:rsidRPr="00F6793A" w:rsidRDefault="00F6793A" w:rsidP="00F6793A">
      <w:pPr>
        <w:numPr>
          <w:ilvl w:val="0"/>
          <w:numId w:val="2"/>
        </w:numPr>
      </w:pPr>
      <w:r w:rsidRPr="00F6793A">
        <w:t>Furniture is the top-performing category in Australia and France.</w:t>
      </w:r>
    </w:p>
    <w:p w14:paraId="3840531D" w14:textId="77777777" w:rsidR="00F6793A" w:rsidRPr="00F6793A" w:rsidRDefault="00F6793A" w:rsidP="00F6793A">
      <w:pPr>
        <w:numPr>
          <w:ilvl w:val="0"/>
          <w:numId w:val="2"/>
        </w:numPr>
      </w:pPr>
      <w:r w:rsidRPr="00F6793A">
        <w:t>The USA and UK show relatively balanced sales across all product types.</w:t>
      </w:r>
    </w:p>
    <w:p w14:paraId="16C154BB" w14:textId="77777777" w:rsidR="00F6793A" w:rsidRPr="00F6793A" w:rsidRDefault="00F6793A" w:rsidP="00F6793A">
      <w:pPr>
        <w:numPr>
          <w:ilvl w:val="0"/>
          <w:numId w:val="2"/>
        </w:numPr>
      </w:pPr>
      <w:r w:rsidRPr="00F6793A">
        <w:t>Germany reports lower sales figures in most categories compared to other countries.</w:t>
      </w:r>
    </w:p>
    <w:p w14:paraId="11DC5191" w14:textId="77777777" w:rsidR="00F6793A" w:rsidRPr="00F6793A" w:rsidRDefault="00F6793A" w:rsidP="00F6793A">
      <w:r w:rsidRPr="00F6793A">
        <w:pict w14:anchorId="2CF75201">
          <v:rect id="_x0000_i1050" style="width:0;height:1.5pt" o:hralign="center" o:hrstd="t" o:hr="t" fillcolor="#a0a0a0" stroked="f"/>
        </w:pict>
      </w:r>
    </w:p>
    <w:p w14:paraId="4C31F407" w14:textId="77777777" w:rsidR="00F6793A" w:rsidRPr="00F6793A" w:rsidRDefault="00F6793A" w:rsidP="00F6793A">
      <w:r w:rsidRPr="00F6793A">
        <w:rPr>
          <w:b/>
          <w:bCs/>
        </w:rPr>
        <w:t>2. Sales Distribution by Quantity Ordered and Product Type:</w:t>
      </w:r>
      <w:r w:rsidRPr="00F6793A">
        <w:t xml:space="preserve"> The stacked bar chart in the top-right shows how different product types contribute to total sales across varying quantities ordered.</w:t>
      </w:r>
    </w:p>
    <w:p w14:paraId="336B8DE8" w14:textId="77777777" w:rsidR="00F6793A" w:rsidRPr="00F6793A" w:rsidRDefault="00F6793A" w:rsidP="00F6793A">
      <w:r w:rsidRPr="00F6793A">
        <w:rPr>
          <w:b/>
          <w:bCs/>
        </w:rPr>
        <w:t>Key Observations:</w:t>
      </w:r>
    </w:p>
    <w:p w14:paraId="402FBD32" w14:textId="77777777" w:rsidR="00F6793A" w:rsidRPr="00F6793A" w:rsidRDefault="00F6793A" w:rsidP="00F6793A">
      <w:pPr>
        <w:numPr>
          <w:ilvl w:val="0"/>
          <w:numId w:val="3"/>
        </w:numPr>
      </w:pPr>
      <w:r w:rsidRPr="00F6793A">
        <w:t>Clothing and Furniture are frequently ordered in larger quantities.</w:t>
      </w:r>
    </w:p>
    <w:p w14:paraId="0279FEAF" w14:textId="77777777" w:rsidR="00F6793A" w:rsidRPr="00F6793A" w:rsidRDefault="00F6793A" w:rsidP="00F6793A">
      <w:pPr>
        <w:numPr>
          <w:ilvl w:val="0"/>
          <w:numId w:val="3"/>
        </w:numPr>
      </w:pPr>
      <w:r w:rsidRPr="00F6793A">
        <w:t>Toys and Home Appliances maintain consistent contributions across most quantity orders.</w:t>
      </w:r>
    </w:p>
    <w:p w14:paraId="1D2C390C" w14:textId="77777777" w:rsidR="00F6793A" w:rsidRPr="00F6793A" w:rsidRDefault="00F6793A" w:rsidP="00F6793A">
      <w:pPr>
        <w:numPr>
          <w:ilvl w:val="0"/>
          <w:numId w:val="3"/>
        </w:numPr>
      </w:pPr>
      <w:r w:rsidRPr="00F6793A">
        <w:t>Higher quantity orders often involve a mix of Electronics and Sports Equipment, indicating bulk purchases.</w:t>
      </w:r>
    </w:p>
    <w:p w14:paraId="4495410D" w14:textId="77777777" w:rsidR="00F6793A" w:rsidRPr="00F6793A" w:rsidRDefault="00F6793A" w:rsidP="00F6793A">
      <w:r w:rsidRPr="00F6793A">
        <w:pict w14:anchorId="2711C303">
          <v:rect id="_x0000_i1051" style="width:0;height:1.5pt" o:hralign="center" o:hrstd="t" o:hr="t" fillcolor="#a0a0a0" stroked="f"/>
        </w:pict>
      </w:r>
    </w:p>
    <w:p w14:paraId="2CED6957" w14:textId="77777777" w:rsidR="00F6793A" w:rsidRPr="00F6793A" w:rsidRDefault="00F6793A" w:rsidP="00F6793A">
      <w:r w:rsidRPr="00F6793A">
        <w:rPr>
          <w:b/>
          <w:bCs/>
        </w:rPr>
        <w:t>3. Total Sales by Quarter:</w:t>
      </w:r>
      <w:r w:rsidRPr="00F6793A">
        <w:t xml:space="preserve"> The pie chart at the bottom displays the count of total sales transactions across three quarters:</w:t>
      </w:r>
    </w:p>
    <w:p w14:paraId="2AEEEB60" w14:textId="77777777" w:rsidR="00F6793A" w:rsidRPr="00F6793A" w:rsidRDefault="00F6793A" w:rsidP="00F6793A">
      <w:pPr>
        <w:numPr>
          <w:ilvl w:val="0"/>
          <w:numId w:val="4"/>
        </w:numPr>
      </w:pPr>
      <w:r w:rsidRPr="00F6793A">
        <w:rPr>
          <w:b/>
          <w:bCs/>
        </w:rPr>
        <w:t>Q1:</w:t>
      </w:r>
      <w:r w:rsidRPr="00F6793A">
        <w:t xml:space="preserve"> 99 transactions (49.5%)</w:t>
      </w:r>
    </w:p>
    <w:p w14:paraId="2AC88144" w14:textId="77777777" w:rsidR="00F6793A" w:rsidRPr="00F6793A" w:rsidRDefault="00F6793A" w:rsidP="00F6793A">
      <w:pPr>
        <w:numPr>
          <w:ilvl w:val="0"/>
          <w:numId w:val="4"/>
        </w:numPr>
      </w:pPr>
      <w:r w:rsidRPr="00F6793A">
        <w:rPr>
          <w:b/>
          <w:bCs/>
        </w:rPr>
        <w:t>Q4:</w:t>
      </w:r>
      <w:r w:rsidRPr="00F6793A">
        <w:t xml:space="preserve"> 94 transactions (47%)</w:t>
      </w:r>
    </w:p>
    <w:p w14:paraId="6913DACD" w14:textId="77777777" w:rsidR="00F6793A" w:rsidRPr="00F6793A" w:rsidRDefault="00F6793A" w:rsidP="00F6793A">
      <w:pPr>
        <w:numPr>
          <w:ilvl w:val="0"/>
          <w:numId w:val="4"/>
        </w:numPr>
      </w:pPr>
      <w:r w:rsidRPr="00F6793A">
        <w:rPr>
          <w:b/>
          <w:bCs/>
        </w:rPr>
        <w:t>Q2:</w:t>
      </w:r>
      <w:r w:rsidRPr="00F6793A">
        <w:t xml:space="preserve"> 7 transactions (3.5%)</w:t>
      </w:r>
    </w:p>
    <w:p w14:paraId="39BDE727" w14:textId="77777777" w:rsidR="00F6793A" w:rsidRPr="00F6793A" w:rsidRDefault="00F6793A" w:rsidP="00F6793A">
      <w:r w:rsidRPr="00F6793A">
        <w:rPr>
          <w:b/>
          <w:bCs/>
        </w:rPr>
        <w:t>Analysis:</w:t>
      </w:r>
    </w:p>
    <w:p w14:paraId="4559A699" w14:textId="77777777" w:rsidR="00F6793A" w:rsidRPr="00F6793A" w:rsidRDefault="00F6793A" w:rsidP="00F6793A">
      <w:pPr>
        <w:numPr>
          <w:ilvl w:val="0"/>
          <w:numId w:val="5"/>
        </w:numPr>
      </w:pPr>
      <w:r w:rsidRPr="00F6793A">
        <w:t>Q1 and Q4 account for the majority of the sales activity, suggesting these periods may include high-demand seasons.</w:t>
      </w:r>
    </w:p>
    <w:p w14:paraId="1B5916D9" w14:textId="77777777" w:rsidR="00F6793A" w:rsidRPr="00F6793A" w:rsidRDefault="00F6793A" w:rsidP="00F6793A">
      <w:pPr>
        <w:numPr>
          <w:ilvl w:val="0"/>
          <w:numId w:val="5"/>
        </w:numPr>
      </w:pPr>
      <w:r w:rsidRPr="00F6793A">
        <w:lastRenderedPageBreak/>
        <w:t>Q2 shows significantly fewer sales, possibly indicating a seasonal drop or incomplete data for that quarter.</w:t>
      </w:r>
    </w:p>
    <w:p w14:paraId="43CE3F73" w14:textId="77777777" w:rsidR="00F6793A" w:rsidRPr="00F6793A" w:rsidRDefault="00F6793A" w:rsidP="00F6793A">
      <w:r w:rsidRPr="00F6793A">
        <w:pict w14:anchorId="6F730AFA">
          <v:rect id="_x0000_i1052" style="width:0;height:1.5pt" o:hralign="center" o:hrstd="t" o:hr="t" fillcolor="#a0a0a0" stroked="f"/>
        </w:pict>
      </w:r>
    </w:p>
    <w:p w14:paraId="5A64F698" w14:textId="77777777" w:rsidR="00F6793A" w:rsidRPr="00F6793A" w:rsidRDefault="00F6793A" w:rsidP="00F6793A">
      <w:r w:rsidRPr="00F6793A">
        <w:rPr>
          <w:b/>
          <w:bCs/>
        </w:rPr>
        <w:t>Conclusion:</w:t>
      </w:r>
      <w:r w:rsidRPr="00F6793A">
        <w:t xml:space="preserve"> This dashboard reveals strong sales performance in Canada and Australia, with key product categories such as Furniture, Clothing, and Sports Equipment driving the highest revenues. Quarter-wise, Q1 and Q4 are peak periods for sales. These insights can guide marketing strategies, inventory planning, and resource allocation for maximum efficiency.</w:t>
      </w:r>
    </w:p>
    <w:p w14:paraId="22E20791" w14:textId="77777777" w:rsidR="005852E9" w:rsidRDefault="005852E9"/>
    <w:sectPr w:rsidR="00585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679CE"/>
    <w:multiLevelType w:val="multilevel"/>
    <w:tmpl w:val="54D0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C1B07"/>
    <w:multiLevelType w:val="multilevel"/>
    <w:tmpl w:val="122A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557A8"/>
    <w:multiLevelType w:val="multilevel"/>
    <w:tmpl w:val="0CEE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254C0"/>
    <w:multiLevelType w:val="multilevel"/>
    <w:tmpl w:val="44DE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44751"/>
    <w:multiLevelType w:val="multilevel"/>
    <w:tmpl w:val="662E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369443">
    <w:abstractNumId w:val="3"/>
  </w:num>
  <w:num w:numId="2" w16cid:durableId="339940133">
    <w:abstractNumId w:val="2"/>
  </w:num>
  <w:num w:numId="3" w16cid:durableId="431390220">
    <w:abstractNumId w:val="0"/>
  </w:num>
  <w:num w:numId="4" w16cid:durableId="1317563749">
    <w:abstractNumId w:val="4"/>
  </w:num>
  <w:num w:numId="5" w16cid:durableId="2093238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3A"/>
    <w:rsid w:val="005852E9"/>
    <w:rsid w:val="007D3AE6"/>
    <w:rsid w:val="00D35690"/>
    <w:rsid w:val="00F67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0A01F"/>
  <w15:chartTrackingRefBased/>
  <w15:docId w15:val="{430F1ABA-F51C-4028-923C-1BBEC4E2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9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79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79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79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79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79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9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9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9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9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79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79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79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79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79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9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9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93A"/>
    <w:rPr>
      <w:rFonts w:eastAsiaTheme="majorEastAsia" w:cstheme="majorBidi"/>
      <w:color w:val="272727" w:themeColor="text1" w:themeTint="D8"/>
    </w:rPr>
  </w:style>
  <w:style w:type="paragraph" w:styleId="Title">
    <w:name w:val="Title"/>
    <w:basedOn w:val="Normal"/>
    <w:next w:val="Normal"/>
    <w:link w:val="TitleChar"/>
    <w:uiPriority w:val="10"/>
    <w:qFormat/>
    <w:rsid w:val="00F67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9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93A"/>
    <w:pPr>
      <w:spacing w:before="160"/>
      <w:jc w:val="center"/>
    </w:pPr>
    <w:rPr>
      <w:i/>
      <w:iCs/>
      <w:color w:val="404040" w:themeColor="text1" w:themeTint="BF"/>
    </w:rPr>
  </w:style>
  <w:style w:type="character" w:customStyle="1" w:styleId="QuoteChar">
    <w:name w:val="Quote Char"/>
    <w:basedOn w:val="DefaultParagraphFont"/>
    <w:link w:val="Quote"/>
    <w:uiPriority w:val="29"/>
    <w:rsid w:val="00F6793A"/>
    <w:rPr>
      <w:i/>
      <w:iCs/>
      <w:color w:val="404040" w:themeColor="text1" w:themeTint="BF"/>
    </w:rPr>
  </w:style>
  <w:style w:type="paragraph" w:styleId="ListParagraph">
    <w:name w:val="List Paragraph"/>
    <w:basedOn w:val="Normal"/>
    <w:uiPriority w:val="34"/>
    <w:qFormat/>
    <w:rsid w:val="00F6793A"/>
    <w:pPr>
      <w:ind w:left="720"/>
      <w:contextualSpacing/>
    </w:pPr>
  </w:style>
  <w:style w:type="character" w:styleId="IntenseEmphasis">
    <w:name w:val="Intense Emphasis"/>
    <w:basedOn w:val="DefaultParagraphFont"/>
    <w:uiPriority w:val="21"/>
    <w:qFormat/>
    <w:rsid w:val="00F6793A"/>
    <w:rPr>
      <w:i/>
      <w:iCs/>
      <w:color w:val="2F5496" w:themeColor="accent1" w:themeShade="BF"/>
    </w:rPr>
  </w:style>
  <w:style w:type="paragraph" w:styleId="IntenseQuote">
    <w:name w:val="Intense Quote"/>
    <w:basedOn w:val="Normal"/>
    <w:next w:val="Normal"/>
    <w:link w:val="IntenseQuoteChar"/>
    <w:uiPriority w:val="30"/>
    <w:qFormat/>
    <w:rsid w:val="00F679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793A"/>
    <w:rPr>
      <w:i/>
      <w:iCs/>
      <w:color w:val="2F5496" w:themeColor="accent1" w:themeShade="BF"/>
    </w:rPr>
  </w:style>
  <w:style w:type="character" w:styleId="IntenseReference">
    <w:name w:val="Intense Reference"/>
    <w:basedOn w:val="DefaultParagraphFont"/>
    <w:uiPriority w:val="32"/>
    <w:qFormat/>
    <w:rsid w:val="00F679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27499">
      <w:bodyDiv w:val="1"/>
      <w:marLeft w:val="0"/>
      <w:marRight w:val="0"/>
      <w:marTop w:val="0"/>
      <w:marBottom w:val="0"/>
      <w:divBdr>
        <w:top w:val="none" w:sz="0" w:space="0" w:color="auto"/>
        <w:left w:val="none" w:sz="0" w:space="0" w:color="auto"/>
        <w:bottom w:val="none" w:sz="0" w:space="0" w:color="auto"/>
        <w:right w:val="none" w:sz="0" w:space="0" w:color="auto"/>
      </w:divBdr>
      <w:divsChild>
        <w:div w:id="1865510714">
          <w:marLeft w:val="0"/>
          <w:marRight w:val="0"/>
          <w:marTop w:val="0"/>
          <w:marBottom w:val="0"/>
          <w:divBdr>
            <w:top w:val="none" w:sz="0" w:space="0" w:color="auto"/>
            <w:left w:val="none" w:sz="0" w:space="0" w:color="auto"/>
            <w:bottom w:val="none" w:sz="0" w:space="0" w:color="auto"/>
            <w:right w:val="none" w:sz="0" w:space="0" w:color="auto"/>
          </w:divBdr>
        </w:div>
        <w:div w:id="358091894">
          <w:marLeft w:val="0"/>
          <w:marRight w:val="0"/>
          <w:marTop w:val="0"/>
          <w:marBottom w:val="0"/>
          <w:divBdr>
            <w:top w:val="none" w:sz="0" w:space="0" w:color="auto"/>
            <w:left w:val="none" w:sz="0" w:space="0" w:color="auto"/>
            <w:bottom w:val="none" w:sz="0" w:space="0" w:color="auto"/>
            <w:right w:val="none" w:sz="0" w:space="0" w:color="auto"/>
          </w:divBdr>
        </w:div>
        <w:div w:id="1875843906">
          <w:marLeft w:val="0"/>
          <w:marRight w:val="0"/>
          <w:marTop w:val="0"/>
          <w:marBottom w:val="0"/>
          <w:divBdr>
            <w:top w:val="none" w:sz="0" w:space="0" w:color="auto"/>
            <w:left w:val="none" w:sz="0" w:space="0" w:color="auto"/>
            <w:bottom w:val="none" w:sz="0" w:space="0" w:color="auto"/>
            <w:right w:val="none" w:sz="0" w:space="0" w:color="auto"/>
          </w:divBdr>
        </w:div>
        <w:div w:id="50155205">
          <w:marLeft w:val="0"/>
          <w:marRight w:val="0"/>
          <w:marTop w:val="0"/>
          <w:marBottom w:val="0"/>
          <w:divBdr>
            <w:top w:val="none" w:sz="0" w:space="0" w:color="auto"/>
            <w:left w:val="none" w:sz="0" w:space="0" w:color="auto"/>
            <w:bottom w:val="none" w:sz="0" w:space="0" w:color="auto"/>
            <w:right w:val="none" w:sz="0" w:space="0" w:color="auto"/>
          </w:divBdr>
        </w:div>
      </w:divsChild>
    </w:div>
    <w:div w:id="1641378806">
      <w:bodyDiv w:val="1"/>
      <w:marLeft w:val="0"/>
      <w:marRight w:val="0"/>
      <w:marTop w:val="0"/>
      <w:marBottom w:val="0"/>
      <w:divBdr>
        <w:top w:val="none" w:sz="0" w:space="0" w:color="auto"/>
        <w:left w:val="none" w:sz="0" w:space="0" w:color="auto"/>
        <w:bottom w:val="none" w:sz="0" w:space="0" w:color="auto"/>
        <w:right w:val="none" w:sz="0" w:space="0" w:color="auto"/>
      </w:divBdr>
      <w:divsChild>
        <w:div w:id="1237010070">
          <w:marLeft w:val="0"/>
          <w:marRight w:val="0"/>
          <w:marTop w:val="0"/>
          <w:marBottom w:val="0"/>
          <w:divBdr>
            <w:top w:val="none" w:sz="0" w:space="0" w:color="auto"/>
            <w:left w:val="none" w:sz="0" w:space="0" w:color="auto"/>
            <w:bottom w:val="none" w:sz="0" w:space="0" w:color="auto"/>
            <w:right w:val="none" w:sz="0" w:space="0" w:color="auto"/>
          </w:divBdr>
        </w:div>
        <w:div w:id="739139031">
          <w:marLeft w:val="0"/>
          <w:marRight w:val="0"/>
          <w:marTop w:val="0"/>
          <w:marBottom w:val="0"/>
          <w:divBdr>
            <w:top w:val="none" w:sz="0" w:space="0" w:color="auto"/>
            <w:left w:val="none" w:sz="0" w:space="0" w:color="auto"/>
            <w:bottom w:val="none" w:sz="0" w:space="0" w:color="auto"/>
            <w:right w:val="none" w:sz="0" w:space="0" w:color="auto"/>
          </w:divBdr>
        </w:div>
        <w:div w:id="244608278">
          <w:marLeft w:val="0"/>
          <w:marRight w:val="0"/>
          <w:marTop w:val="0"/>
          <w:marBottom w:val="0"/>
          <w:divBdr>
            <w:top w:val="none" w:sz="0" w:space="0" w:color="auto"/>
            <w:left w:val="none" w:sz="0" w:space="0" w:color="auto"/>
            <w:bottom w:val="none" w:sz="0" w:space="0" w:color="auto"/>
            <w:right w:val="none" w:sz="0" w:space="0" w:color="auto"/>
          </w:divBdr>
        </w:div>
        <w:div w:id="1800413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larren pinto</dc:creator>
  <cp:keywords/>
  <dc:description/>
  <cp:lastModifiedBy>larren pinto</cp:lastModifiedBy>
  <cp:revision>1</cp:revision>
  <dcterms:created xsi:type="dcterms:W3CDTF">2025-04-09T16:47:00Z</dcterms:created>
  <dcterms:modified xsi:type="dcterms:W3CDTF">2025-04-09T16:48:00Z</dcterms:modified>
</cp:coreProperties>
</file>