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p>
    <w:p>
      <w:pPr>
        <w:spacing w:after="120" w:before="0"/>
        <w:jc w:val="center"/>
      </w:pPr>
      <w:r>
        <w:rPr>
          <w:rFonts w:ascii="Arial" w:cs="Arial" w:eastAsia="Arial" w:hAnsi="Arial"/>
          <w:b/>
          <w:bCs/>
          <w:color w:val="1F3864"/>
          <w:sz w:val="52"/>
          <w:szCs w:val="52"/>
        </w:rPr>
        <w:t xml:space="preserve">ROAD DAMAGE DETECTION SYSTEM</w:t>
      </w:r>
    </w:p>
    <w:p>
      <w:pPr>
        <w:spacing w:after="80" w:before="0"/>
        <w:jc w:val="center"/>
      </w:pPr>
      <w:r>
        <w:rPr>
          <w:rFonts w:ascii="Arial" w:cs="Arial" w:eastAsia="Arial" w:hAnsi="Arial"/>
          <w:color w:val="555555"/>
          <w:sz w:val="30"/>
          <w:szCs w:val="30"/>
        </w:rPr>
        <w:t xml:space="preserve">Technical Project Document</w:t>
      </w:r>
    </w:p>
    <w:p>
      <w:pPr>
        <w:spacing w:after="80" w:before="0"/>
        <w:jc w:val="center"/>
      </w:pPr>
      <w:r>
        <w:rPr>
          <w:rFonts w:ascii="Arial" w:cs="Arial" w:eastAsia="Arial" w:hAnsi="Arial"/>
          <w:color w:val="666666"/>
          <w:sz w:val="24"/>
          <w:szCs w:val="24"/>
        </w:rPr>
        <w:t xml:space="preserve">Integrating Project II — Group 3</w:t>
      </w:r>
    </w:p>
    <w:p>
      <w:pPr>
        <w:spacing w:after="80" w:before="0"/>
        <w:jc w:val="center"/>
      </w:pPr>
      <w:r>
        <w:rPr>
          <w:rFonts w:ascii="Arial" w:cs="Arial" w:eastAsia="Arial" w:hAnsi="Arial"/>
          <w:color w:val="777777"/>
          <w:sz w:val="22"/>
          <w:szCs w:val="22"/>
        </w:rPr>
        <w:t xml:space="preserve">Universidad Francisco de Vitoria — Escuela Politécnica Superior</w:t>
      </w:r>
    </w:p>
    <w:p>
      <w:pPr>
        <w:spacing w:after="120" w:before="0"/>
      </w:pPr>
    </w:p>
    <w:p>
      <w:pPr>
        <w:pBdr>
          <w:top w:val="single" w:color="2E75B6" w:sz="6"/>
          <w:bottom w:val="single" w:color="2E75B6" w:sz="6"/>
        </w:pBdr>
        <w:shd w:fill="D9E2F3" w:val="clear"/>
        <w:spacing w:after="160" w:before="160"/>
        <w:jc w:val="center"/>
      </w:pPr>
      <w:r>
        <w:rPr>
          <w:rFonts w:ascii="Arial" w:cs="Arial" w:eastAsia="Arial" w:hAnsi="Arial"/>
          <w:b/>
          <w:bCs/>
          <w:color w:val="1F3864"/>
          <w:sz w:val="28"/>
          <w:szCs w:val="28"/>
        </w:rPr>
        <w:t xml:space="preserve">Version 3.0 — March 2026</w:t>
      </w:r>
    </w:p>
    <w:p>
      <w:pPr>
        <w:spacing w:after="480" w:before="0"/>
      </w:pPr>
    </w:p>
    <w:p>
      <w:r>
        <w:br w:type="page"/>
      </w:r>
    </w:p>
    <w:p>
      <w:pPr>
        <w:pStyle w:val="Heading1"/>
        <w:shd w:fill="1F3864" w:val="clear"/>
        <w:spacing w:after="120" w:before="360"/>
        <w:ind w:left="120" w:right="120"/>
      </w:pPr>
      <w:r>
        <w:rPr>
          <w:rFonts w:ascii="Arial" w:cs="Arial" w:eastAsia="Arial" w:hAnsi="Arial"/>
          <w:b/>
          <w:bCs/>
          <w:color w:val="FFFFFF"/>
          <w:sz w:val="32"/>
          <w:szCs w:val="32"/>
        </w:rPr>
        <w:t xml:space="preserve">1. Purpose and Scope</w:t>
      </w:r>
    </w:p>
    <w:p>
      <w:pPr>
        <w:spacing w:after="120" w:before="0"/>
      </w:pPr>
    </w:p>
    <w:p>
      <w:pPr>
        <w:spacing w:after="60" w:before="60"/>
      </w:pPr>
      <w:r>
        <w:rPr>
          <w:rFonts w:ascii="Arial" w:cs="Arial" w:eastAsia="Arial" w:hAnsi="Arial"/>
          <w:color w:val="222222"/>
          <w:sz w:val="20"/>
          <w:szCs w:val="20"/>
        </w:rPr>
        <w:t xml:space="preserve">This document defines the full technical design, architectural decisions, implementation pipeline, and rationale for the Road Damage Detection System (RDDS). It serves as a persistent technical reference for the project team and as a component of the final project documentation.</w:t>
      </w:r>
    </w:p>
    <w:p>
      <w:pPr>
        <w:spacing w:after="120" w:before="0"/>
      </w:pPr>
    </w:p>
    <w:p>
      <w:pPr>
        <w:spacing w:after="60" w:before="60"/>
      </w:pPr>
      <w:r>
        <w:rPr>
          <w:rFonts w:ascii="Arial" w:cs="Arial" w:eastAsia="Arial" w:hAnsi="Arial"/>
          <w:color w:val="222222"/>
          <w:sz w:val="20"/>
          <w:szCs w:val="20"/>
        </w:rPr>
        <w:t xml:space="preserve">The document is updated as the project evolves. Version history is noted at the top of each revision.</w:t>
      </w:r>
    </w:p>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2. Problem Statement and Motivation</w:t>
      </w:r>
    </w:p>
    <w:p>
      <w:pPr>
        <w:spacing w:after="120" w:before="0"/>
      </w:pPr>
    </w:p>
    <w:p>
      <w:pPr>
        <w:spacing w:after="60" w:before="60"/>
      </w:pPr>
      <w:r>
        <w:rPr>
          <w:rFonts w:ascii="Arial" w:cs="Arial" w:eastAsia="Arial" w:hAnsi="Arial"/>
          <w:color w:val="222222"/>
          <w:sz w:val="20"/>
          <w:szCs w:val="20"/>
        </w:rPr>
        <w:t xml:space="preserve">Road infrastructure deterioration is a significant public safety and economic problem. In Spain alone, over 52% of the road network presents serious or very serious deterioration, with an estimated remediation cost of €13.49 billion. Current inspection processes rely on manual visual surveys, which are expensive, subjective, and unable to provide systematic data-driven prioritisation.</w:t>
      </w:r>
    </w:p>
    <w:p>
      <w:pPr>
        <w:spacing w:after="120" w:before="0"/>
      </w:pPr>
    </w:p>
    <w:p>
      <w:pPr>
        <w:spacing w:after="60" w:before="60"/>
      </w:pPr>
      <w:r>
        <w:rPr>
          <w:rFonts w:ascii="Arial" w:cs="Arial" w:eastAsia="Arial" w:hAnsi="Arial"/>
          <w:color w:val="222222"/>
          <w:sz w:val="20"/>
          <w:szCs w:val="20"/>
        </w:rPr>
        <w:t xml:space="preserve">This project addresses the absence of scalable automated systems for road damage detection from visual data. The proposed solution applies computer vision and deep learning to automatically detect and classify road surface defects from images or video captured under real-world conditions.</w:t>
      </w:r>
    </w:p>
    <w:p>
      <w:pPr>
        <w:spacing w:after="120" w:before="0"/>
      </w:pPr>
    </w:p>
    <w:p>
      <w:pPr>
        <w:spacing w:after="60" w:before="60"/>
      </w:pPr>
      <w:r>
        <w:rPr>
          <w:rFonts w:ascii="Arial" w:cs="Arial" w:eastAsia="Arial" w:hAnsi="Arial"/>
          <w:color w:val="222222"/>
          <w:sz w:val="20"/>
          <w:szCs w:val="20"/>
        </w:rPr>
        <w:t xml:space="preserve">The four damage categories addressed are:</w:t>
      </w:r>
    </w:p>
    <w:p>
      <w:pPr>
        <w:pStyle w:val="ListParagraph"/>
        <w:numPr>
          <w:ilvl w:val="0"/>
          <w:numId w:val="2"/>
        </w:numPr>
        <w:spacing w:after="40" w:before="40"/>
      </w:pPr>
      <w:r>
        <w:rPr>
          <w:rFonts w:ascii="Arial" w:cs="Arial" w:eastAsia="Arial" w:hAnsi="Arial"/>
          <w:b/>
          <w:bCs/>
          <w:color w:val="222222"/>
          <w:sz w:val="20"/>
          <w:szCs w:val="20"/>
        </w:rPr>
        <w:t xml:space="preserve">D00 — </w:t>
      </w:r>
      <w:r>
        <w:rPr>
          <w:rFonts w:ascii="Arial" w:cs="Arial" w:eastAsia="Arial" w:hAnsi="Arial"/>
          <w:color w:val="222222"/>
          <w:sz w:val="20"/>
          <w:szCs w:val="20"/>
        </w:rPr>
        <w:t xml:space="preserve"> Longitudinal Crack</w:t>
      </w:r>
    </w:p>
    <w:p>
      <w:pPr>
        <w:pStyle w:val="ListParagraph"/>
        <w:numPr>
          <w:ilvl w:val="0"/>
          <w:numId w:val="2"/>
        </w:numPr>
        <w:spacing w:after="40" w:before="40"/>
      </w:pPr>
      <w:r>
        <w:rPr>
          <w:rFonts w:ascii="Arial" w:cs="Arial" w:eastAsia="Arial" w:hAnsi="Arial"/>
          <w:b/>
          <w:bCs/>
          <w:color w:val="222222"/>
          <w:sz w:val="20"/>
          <w:szCs w:val="20"/>
        </w:rPr>
        <w:t xml:space="preserve">D10 — </w:t>
      </w:r>
      <w:r>
        <w:rPr>
          <w:rFonts w:ascii="Arial" w:cs="Arial" w:eastAsia="Arial" w:hAnsi="Arial"/>
          <w:color w:val="222222"/>
          <w:sz w:val="20"/>
          <w:szCs w:val="20"/>
        </w:rPr>
        <w:t xml:space="preserve"> Transverse Crack</w:t>
      </w:r>
    </w:p>
    <w:p>
      <w:pPr>
        <w:pStyle w:val="ListParagraph"/>
        <w:numPr>
          <w:ilvl w:val="0"/>
          <w:numId w:val="2"/>
        </w:numPr>
        <w:spacing w:after="40" w:before="40"/>
      </w:pPr>
      <w:r>
        <w:rPr>
          <w:rFonts w:ascii="Arial" w:cs="Arial" w:eastAsia="Arial" w:hAnsi="Arial"/>
          <w:b/>
          <w:bCs/>
          <w:color w:val="222222"/>
          <w:sz w:val="20"/>
          <w:szCs w:val="20"/>
        </w:rPr>
        <w:t xml:space="preserve">D20 — </w:t>
      </w:r>
      <w:r>
        <w:rPr>
          <w:rFonts w:ascii="Arial" w:cs="Arial" w:eastAsia="Arial" w:hAnsi="Arial"/>
          <w:color w:val="222222"/>
          <w:sz w:val="20"/>
          <w:szCs w:val="20"/>
        </w:rPr>
        <w:t xml:space="preserve"> Alligator Crack</w:t>
      </w:r>
    </w:p>
    <w:p>
      <w:pPr>
        <w:pStyle w:val="ListParagraph"/>
        <w:numPr>
          <w:ilvl w:val="0"/>
          <w:numId w:val="2"/>
        </w:numPr>
        <w:spacing w:after="40" w:before="40"/>
      </w:pPr>
      <w:r>
        <w:rPr>
          <w:rFonts w:ascii="Arial" w:cs="Arial" w:eastAsia="Arial" w:hAnsi="Arial"/>
          <w:b/>
          <w:bCs/>
          <w:color w:val="222222"/>
          <w:sz w:val="20"/>
          <w:szCs w:val="20"/>
        </w:rPr>
        <w:t xml:space="preserve">D40 — </w:t>
      </w:r>
      <w:r>
        <w:rPr>
          <w:rFonts w:ascii="Arial" w:cs="Arial" w:eastAsia="Arial" w:hAnsi="Arial"/>
          <w:color w:val="222222"/>
          <w:sz w:val="20"/>
          <w:szCs w:val="20"/>
        </w:rPr>
        <w:t xml:space="preserve"> Pothole</w:t>
      </w:r>
    </w:p>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3. State of the Art</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3.1 Challenge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Challenge / Year</w:t>
            </w:r>
          </w:p>
        </w:tc>
        <w:tc>
          <w:tcPr>
            <w:tcW w:type="dxa" w:w="2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Best F1 / Dominant Architecture</w:t>
            </w:r>
          </w:p>
        </w:tc>
      </w:tr>
      <w:tr>
        <w:tc>
          <w:tcPr>
            <w:tcW w:type="dxa" w:w="312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BDC 2018</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Japan only (9,053 images)</w:t>
            </w:r>
          </w:p>
        </w:tc>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~0.58 — SSD Inception V2 / MobileNet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GRDDC 2020</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Japan+India+Czech (26,336)</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0.67 — YOLOv5x + TTA + Ensemble</w:t>
            </w:r>
          </w:p>
        </w:tc>
      </w:tr>
      <w:tr>
        <w:tc>
          <w:tcPr>
            <w:tcW w:type="dxa" w:w="312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CRDDC 2022</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6 countries (47,000+)</w:t>
            </w:r>
          </w:p>
        </w:tc>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0.77 — YOLOv5+YOLOv7+Cascade RCNN (Swin)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ORDDC 2024</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RDD2022 — 6 countries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0.86 — Co-DETR+RTMDet → YOLOv10 (distillation)</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3.2 Architecture Comparison on RDD2022</w:t>
      </w:r>
    </w:p>
    <w:p>
      <w:pPr>
        <w:spacing w:after="60" w:before="60"/>
      </w:pPr>
      <w:r>
        <w:rPr>
          <w:rFonts w:ascii="Arial" w:cs="Arial" w:eastAsia="Arial" w:hAnsi="Arial"/>
          <w:color w:val="222222"/>
          <w:sz w:val="20"/>
          <w:szCs w:val="20"/>
        </w:rPr>
        <w:t xml:space="preserve">A direct comparison of YOLOv5, YOLOv8, and YOLO11 on the RDD2022 US subset (batch 16, 100 epochs, 640px) found YOLO11 superior on all metrics: mAP@0.5 of 0.8782 vs 0.7967 for YOLOv8, with fewer parameters (9.4M vs 11.2M) and lower FLOPs (21.5B vs 28.6B). This comparison is directly applicable to this project since it uses the same dataset.</w:t>
      </w:r>
    </w:p>
    <w:p>
      <w:pPr>
        <w:spacing w:after="120" w:before="0"/>
      </w:pPr>
    </w:p>
    <w:p>
      <w:r>
        <w:br w:type="page"/>
      </w:r>
    </w:p>
    <w:p>
      <w:pPr>
        <w:pStyle w:val="Heading1"/>
        <w:shd w:fill="1F3864" w:val="clear"/>
        <w:spacing w:after="120" w:before="360"/>
        <w:ind w:left="120" w:right="120"/>
      </w:pPr>
      <w:r>
        <w:rPr>
          <w:rFonts w:ascii="Arial" w:cs="Arial" w:eastAsia="Arial" w:hAnsi="Arial"/>
          <w:b/>
          <w:bCs/>
          <w:color w:val="FFFFFF"/>
          <w:sz w:val="32"/>
          <w:szCs w:val="32"/>
        </w:rPr>
        <w:t xml:space="preserve">4. Dataset — RDD2022</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4.1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Coverage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6 countries — Japan, India, Czech Republic, Norway, United States, China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Volume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~47,000 annotated training images</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Format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JPEG images + PascalVOC XML annotations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License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CC BY-SA 4.0 — permits academic use with attribution</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Download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Country-specific ZIPs from Sekilab AWS S3 and FigShare</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4.2 Dataset Strategy and Splits</w:t>
      </w:r>
    </w:p>
    <w:p>
      <w:pPr>
        <w:spacing w:after="60" w:before="60"/>
      </w:pPr>
      <w:r>
        <w:rPr>
          <w:rFonts w:ascii="Arial" w:cs="Arial" w:eastAsia="Arial" w:hAnsi="Arial"/>
          <w:color w:val="222222"/>
          <w:sz w:val="20"/>
          <w:szCs w:val="20"/>
        </w:rPr>
        <w:t xml:space="preserve">RDD2022 ships with official train/test partitions per country. These are respected as-is and never modified.</w:t>
      </w:r>
    </w:p>
    <w:p>
      <w:pPr>
        <w:spacing w:after="120" w:before="0"/>
      </w:pPr>
    </w:p>
    <w:p>
      <w:pPr>
        <w:spacing w:after="60" w:before="60"/>
      </w:pPr>
      <w:r>
        <w:rPr>
          <w:rFonts w:ascii="Arial" w:cs="Arial" w:eastAsia="Arial" w:hAnsi="Arial"/>
          <w:color w:val="222222"/>
          <w:sz w:val="20"/>
          <w:szCs w:val="20"/>
        </w:rPr>
        <w:t xml:space="preserve">Within the official train split, a SAMPLE_RATIO environment variable controls how much data is used. Sampling is stratified by country. A fixed baseline of 1,000 images per country is always reserved for validation.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SAMPLE_RATIO</w:t>
            </w:r>
          </w:p>
        </w:tc>
        <w:tc>
          <w:tcPr>
            <w:tcW w:type="dxa" w:w="4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Phase 0 (laptop)</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~0.10</w:t>
            </w:r>
          </w:p>
        </w:tc>
        <w:tc>
          <w:tcPr>
            <w:tcW w:type="dxa" w:w="48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Pipeline validation + hyperparameter exploration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Phase 1 (A100)</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training</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4.3 Class Imbalance</w:t>
      </w:r>
    </w:p>
    <w:p>
      <w:pPr>
        <w:spacing w:after="60" w:before="60"/>
      </w:pPr>
      <w:r>
        <w:rPr>
          <w:rFonts w:ascii="Arial" w:cs="Arial" w:eastAsia="Arial" w:hAnsi="Arial"/>
          <w:color w:val="222222"/>
          <w:sz w:val="20"/>
          <w:szCs w:val="20"/>
        </w:rPr>
        <w:t xml:space="preserve">RDD2022 has severe class imbalance: D00 is massively overrepresented relative to D40. Mitigation: per-class loss weights calibrated from distribution analysis, and MixUp augmentation on D40 instances.</w:t>
      </w:r>
    </w:p>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5. Model Architecture</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5.1 Primary Model — YOLO11m</w:t>
      </w:r>
    </w:p>
    <w:p>
      <w:pPr>
        <w:spacing w:after="60" w:before="60"/>
      </w:pPr>
      <w:r>
        <w:rPr>
          <w:rFonts w:ascii="Arial" w:cs="Arial" w:eastAsia="Arial" w:hAnsi="Arial"/>
          <w:color w:val="222222"/>
          <w:sz w:val="20"/>
          <w:szCs w:val="20"/>
        </w:rPr>
        <w:t xml:space="preserve">YOLO11 (Ultralytics, 2024) is selected as the primary architecture. The medium variant (YOLO11m) offers the best balance between detection quality and training feasibility on available hardware.</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5.2 Baseline Model — YOLO11s</w:t>
      </w:r>
    </w:p>
    <w:p>
      <w:pPr>
        <w:spacing w:after="60" w:before="60"/>
      </w:pPr>
      <w:r>
        <w:rPr>
          <w:rFonts w:ascii="Arial" w:cs="Arial" w:eastAsia="Arial" w:hAnsi="Arial"/>
          <w:color w:val="222222"/>
          <w:sz w:val="20"/>
          <w:szCs w:val="20"/>
        </w:rPr>
        <w:t xml:space="preserve">YOLO11s is trained first in all cases. Fast to train even on the laptop, it ensures the team always has a presentable result. Expected mAP@0.5 ~0.60–0.65 on Phase 0.</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5.3 Transfer Learning</w:t>
      </w:r>
    </w:p>
    <w:p>
      <w:pPr>
        <w:spacing w:after="60" w:before="60"/>
      </w:pPr>
      <w:r>
        <w:rPr>
          <w:rFonts w:ascii="Arial" w:cs="Arial" w:eastAsia="Arial" w:hAnsi="Arial"/>
          <w:color w:val="222222"/>
          <w:sz w:val="20"/>
          <w:szCs w:val="20"/>
        </w:rPr>
        <w:t xml:space="preserve">All models initialised from COCO-pretrained weights. Fine-tuning on RDD2022 for 100 epochs.</w:t>
      </w:r>
    </w:p>
    <w:p>
      <w:pPr>
        <w:spacing w:after="120" w:before="0"/>
      </w:pPr>
    </w:p>
    <w:p>
      <w:r>
        <w:br w:type="page"/>
      </w:r>
    </w:p>
    <w:p>
      <w:pPr>
        <w:pStyle w:val="Heading1"/>
        <w:shd w:fill="1F3864" w:val="clear"/>
        <w:spacing w:after="120" w:before="360"/>
        <w:ind w:left="120" w:right="120"/>
      </w:pPr>
      <w:r>
        <w:rPr>
          <w:rFonts w:ascii="Arial" w:cs="Arial" w:eastAsia="Arial" w:hAnsi="Arial"/>
          <w:b/>
          <w:bCs/>
          <w:color w:val="FFFFFF"/>
          <w:sz w:val="32"/>
          <w:szCs w:val="32"/>
        </w:rPr>
        <w:t xml:space="preserve">6. Hardware Configuration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Machine</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Hardware / VRAM</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 and Key Constraints</w:t>
            </w:r>
          </w:p>
        </w:tc>
      </w:tr>
      <w:tr>
        <w:tc>
          <w:tcPr>
            <w:tcW w:type="dxa" w:w="28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M's laptop</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RTX 4050 — 6 GB</w:t>
            </w:r>
          </w:p>
        </w:tc>
        <w:tc>
          <w:tcPr>
            <w:tcW w:type="dxa" w:w="4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Phase 0 validation. FP16 required. batch=8, imgsz=640. YOLO11s/m only.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Teammate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RTX 4060 — 8 GB</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Parallel experiments. batch=16, imgsz=640, FP16.</w:t>
            </w:r>
          </w:p>
        </w:tc>
      </w:tr>
      <w:tr>
        <w:tc>
          <w:tcPr>
            <w:tcW w:type="dxa" w:w="28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University cluster</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NVIDIA A100 — 40 GB</w:t>
            </w:r>
          </w:p>
        </w:tc>
        <w:tc>
          <w:tcPr>
            <w:tcW w:type="dxa" w:w="40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Phase 1 full training. batch=32, imgsz=640. All model sizes viable.</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6.1 Cluster Details</w:t>
      </w:r>
    </w:p>
    <w:p>
      <w:pPr>
        <w:pStyle w:val="ListParagraph"/>
        <w:numPr>
          <w:ilvl w:val="0"/>
          <w:numId w:val="2"/>
        </w:numPr>
        <w:spacing w:after="40" w:before="40"/>
      </w:pPr>
      <w:r>
        <w:rPr>
          <w:rFonts w:ascii="Arial" w:cs="Arial" w:eastAsia="Arial" w:hAnsi="Arial"/>
          <w:color w:val="222222"/>
          <w:sz w:val="20"/>
          <w:szCs w:val="20"/>
        </w:rPr>
        <w:t xml:space="preserve">Scheduler: SLURM — jobs submitted with sbatch</w:t>
      </w:r>
    </w:p>
    <w:p>
      <w:pPr>
        <w:pStyle w:val="ListParagraph"/>
        <w:numPr>
          <w:ilvl w:val="0"/>
          <w:numId w:val="2"/>
        </w:numPr>
        <w:spacing w:after="40" w:before="40"/>
      </w:pPr>
      <w:r>
        <w:rPr>
          <w:rFonts w:ascii="Arial" w:cs="Arial" w:eastAsia="Arial" w:hAnsi="Arial"/>
          <w:color w:val="222222"/>
          <w:sz w:val="20"/>
          <w:szCs w:val="20"/>
        </w:rPr>
        <w:t xml:space="preserve">Internet access: yes — MongoDB Atlas connection from training jobs is viable</w:t>
      </w:r>
    </w:p>
    <w:p>
      <w:pPr>
        <w:pStyle w:val="ListParagraph"/>
        <w:numPr>
          <w:ilvl w:val="0"/>
          <w:numId w:val="2"/>
        </w:numPr>
        <w:spacing w:after="40" w:before="40"/>
      </w:pPr>
      <w:r>
        <w:rPr>
          <w:rFonts w:ascii="Arial" w:cs="Arial" w:eastAsia="Arial" w:hAnsi="Arial"/>
          <w:color w:val="222222"/>
          <w:sz w:val="20"/>
          <w:szCs w:val="20"/>
        </w:rPr>
        <w:t xml:space="preserve">Local storage: 50 GB per node. RDD2022 processed (~12 GB) fits comfortably</w:t>
      </w:r>
    </w:p>
    <w:p>
      <w:pPr>
        <w:pStyle w:val="ListParagraph"/>
        <w:numPr>
          <w:ilvl w:val="0"/>
          <w:numId w:val="2"/>
        </w:numPr>
        <w:spacing w:after="40" w:before="40"/>
      </w:pPr>
      <w:r>
        <w:rPr>
          <w:rFonts w:ascii="Arial" w:cs="Arial" w:eastAsia="Arial" w:hAnsi="Arial"/>
          <w:color w:val="222222"/>
          <w:sz w:val="20"/>
          <w:szCs w:val="20"/>
        </w:rPr>
        <w:t xml:space="preserve">Code format: Python scripts only. No Jupyter notebooks in cluster jobs</w:t>
      </w:r>
    </w:p>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7. Implementation Pipeline</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7.1 Data Ingestion</w:t>
      </w:r>
    </w:p>
    <w:p>
      <w:pPr>
        <w:spacing w:after="60" w:before="60"/>
      </w:pPr>
      <w:r>
        <w:rPr>
          <w:rFonts w:ascii="Arial" w:cs="Arial" w:eastAsia="Arial" w:hAnsi="Arial"/>
          <w:color w:val="222222"/>
          <w:sz w:val="20"/>
          <w:szCs w:val="20"/>
        </w:rPr>
        <w:t xml:space="preserve">Preprocessing runs in order: download → validate annotations → convert to YOLO format → analyse class distribution → respect official splits → write metadata to MongoDB → upload to cloud storage.</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7.2 MongoDB — Data Persistence</w:t>
      </w:r>
    </w:p>
    <w:p>
      <w:pPr>
        <w:spacing w:after="60" w:before="60"/>
      </w:pPr>
      <w:r>
        <w:rPr>
          <w:rFonts w:ascii="Arial" w:cs="Arial" w:eastAsia="Arial" w:hAnsi="Arial"/>
          <w:color w:val="222222"/>
          <w:sz w:val="20"/>
          <w:szCs w:val="20"/>
        </w:rPr>
        <w:t xml:space="preserve">Images live on the filesystem. MongoDB stores everything else: metadata, annotations, experiment records, inference outputs, and the model registry. MongoDB Atlas (free tier) is the single shared instance across all machines.</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7.3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 0 (Laptop)</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 1 (A100)</w:t>
            </w:r>
          </w:p>
        </w:tc>
      </w:tr>
      <w:tr>
        <w:tc>
          <w:tcPr>
            <w:tcW w:type="dxa" w:w="30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Model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YOLO11s</w:t>
            </w:r>
          </w:p>
        </w:tc>
        <w:tc>
          <w:tcPr>
            <w:tcW w:type="dxa" w:w="3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YOLO11s (baseline) + YOLO11m (main)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SAMPLE_RATIO</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~0.10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1.00</w:t>
            </w:r>
          </w:p>
        </w:tc>
      </w:tr>
      <w:tr>
        <w:tc>
          <w:tcPr>
            <w:tcW w:type="dxa" w:w="30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Image size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640</w:t>
            </w:r>
          </w:p>
        </w:tc>
        <w:tc>
          <w:tcPr>
            <w:tcW w:type="dxa" w:w="3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640 (optionally 1280)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Batch size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8</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32</w:t>
            </w:r>
          </w:p>
        </w:tc>
      </w:tr>
      <w:tr>
        <w:tc>
          <w:tcPr>
            <w:tcW w:type="dxa" w:w="30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Epochs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50</w:t>
            </w:r>
          </w:p>
        </w:tc>
        <w:tc>
          <w:tcPr>
            <w:tcW w:type="dxa" w:w="3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100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Precision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FP16 (amp=True)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FP16 (amp=True)</w:t>
            </w:r>
          </w:p>
        </w:tc>
      </w:tr>
      <w:tr>
        <w:tc>
          <w:tcPr>
            <w:tcW w:type="dxa" w:w="30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Random seed</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42</w:t>
            </w:r>
          </w:p>
        </w:tc>
        <w:tc>
          <w:tcPr>
            <w:tcW w:type="dxa" w:w="3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42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Augmentation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Default Ultralytics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Default + MixUp for D40</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7.4 Evaluation</w:t>
      </w:r>
    </w:p>
    <w:p>
      <w:pPr>
        <w:spacing w:after="60" w:before="60"/>
      </w:pPr>
      <w:r>
        <w:rPr>
          <w:rFonts w:ascii="Arial" w:cs="Arial" w:eastAsia="Arial" w:hAnsi="Arial"/>
          <w:color w:val="222222"/>
          <w:sz w:val="20"/>
          <w:szCs w:val="20"/>
        </w:rPr>
        <w:t xml:space="preserve">Protocol: IoU=0.5, confidence=0.5. Consistent with all GRDDC/CRDDC/ORDDC challenge leaderboards. Metrics reported per class and globally: mAP@0.5, F1, Precision, Recall, Confusion matrix. Qualitative: 50 images per class (200 total).</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7.5 Inference Module</w:t>
      </w:r>
    </w:p>
    <w:p>
      <w:pPr>
        <w:spacing w:after="60" w:before="60"/>
      </w:pPr>
      <w:r>
        <w:rPr>
          <w:rFonts w:ascii="Arial" w:cs="Arial" w:eastAsia="Arial" w:hAnsi="Arial"/>
          <w:color w:val="222222"/>
          <w:sz w:val="20"/>
          <w:szCs w:val="20"/>
        </w:rPr>
        <w:t xml:space="preserve">Accepts single image or directory. Loads is_production=True model from MongoDB. Video workflow: capture on phone → transfer to PC → frame extraction at 1fps → inference → annotated results + MongoDB. Model exported to ONNX — no Ultralytics dependency at inference time.</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7.6 Retraining Pipeline</w:t>
      </w:r>
    </w:p>
    <w:p>
      <w:pPr>
        <w:spacing w:after="60" w:before="60"/>
      </w:pPr>
      <w:r>
        <w:rPr>
          <w:rFonts w:ascii="Arial" w:cs="Arial" w:eastAsia="Arial" w:hAnsi="Arial"/>
          <w:color w:val="222222"/>
          <w:sz w:val="20"/>
          <w:szCs w:val="20"/>
        </w:rPr>
        <w:t xml:space="preserve">Manually triggered function: retrain(new_images_path, base_model_version). Validates and ingests new images, fine-tunes from checkpoint, evaluates on official test split, promotes only if mAP improves.</w:t>
      </w:r>
    </w:p>
    <w:p>
      <w:pPr>
        <w:spacing w:after="120" w:before="0"/>
      </w:pPr>
    </w:p>
    <w:p>
      <w:r>
        <w:br w:type="page"/>
      </w:r>
    </w:p>
    <w:p>
      <w:pPr>
        <w:pStyle w:val="Heading1"/>
        <w:shd w:fill="1F3864" w:val="clear"/>
        <w:spacing w:after="120" w:before="360"/>
        <w:ind w:left="120" w:right="120"/>
      </w:pPr>
      <w:r>
        <w:rPr>
          <w:rFonts w:ascii="Arial" w:cs="Arial" w:eastAsia="Arial" w:hAnsi="Arial"/>
          <w:b/>
          <w:bCs/>
          <w:color w:val="FFFFFF"/>
          <w:sz w:val="32"/>
          <w:szCs w:val="32"/>
        </w:rPr>
        <w:t xml:space="preserve">8. Collaborative Development</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8.1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Member</w:t>
            </w:r>
          </w:p>
        </w:tc>
        <w:tc>
          <w:tcPr>
            <w:tcW w:type="dxa" w:w="79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14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 (Larriba02)</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Project lead. Pipeline architecture, training, overall delivery.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L</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MongoDB setup: Atlas cluster, collections, schemas, connection.</w:t>
            </w:r>
          </w:p>
        </w:tc>
      </w:tr>
      <w:tr>
        <w:tc>
          <w:tcPr>
            <w:tcW w:type="dxa" w:w="14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J</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Role TBD.</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8.2 Version Control — Git and GitHub</w:t>
      </w:r>
    </w:p>
    <w:p>
      <w:pPr>
        <w:spacing w:after="60" w:before="60"/>
      </w:pPr>
      <w:r>
        <w:rPr>
          <w:rFonts w:ascii="Arial" w:cs="Arial" w:eastAsia="Arial" w:hAnsi="Arial"/>
          <w:color w:val="222222"/>
          <w:sz w:val="20"/>
          <w:szCs w:val="20"/>
        </w:rPr>
        <w:t xml:space="preserve">The project uses Git for version control and GitHub as the remote repository. This section documents the exact configuration in use.</w:t>
      </w:r>
    </w:p>
    <w:p>
      <w:pPr>
        <w:spacing w:after="120" w:before="0"/>
      </w:pPr>
    </w:p>
    <w:p>
      <w:pPr>
        <w:pStyle w:val="Heading3"/>
        <w:spacing w:after="60" w:before="200"/>
      </w:pPr>
      <w:r>
        <w:rPr>
          <w:rFonts w:ascii="Arial" w:cs="Arial" w:eastAsia="Arial" w:hAnsi="Arial"/>
          <w:b/>
          <w:bCs/>
          <w:color w:val="1F3864"/>
          <w:sz w:val="22"/>
          <w:szCs w:val="22"/>
        </w:rPr>
        <w:t xml:space="preserv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https://github.com/Larriba02/rdds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Visibility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Private</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Owner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M (GitHub: Larriba02)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Git version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2.53.0 (Windows)</w:t>
            </w:r>
          </w:p>
        </w:tc>
      </w:tr>
    </w:tbl>
    <w:p>
      <w:pPr>
        <w:spacing w:after="120" w:before="0"/>
      </w:pPr>
    </w:p>
    <w:p>
      <w:pPr>
        <w:pStyle w:val="Heading3"/>
        <w:spacing w:after="60" w:before="200"/>
      </w:pPr>
      <w:r>
        <w:rPr>
          <w:rFonts w:ascii="Arial" w:cs="Arial" w:eastAsia="Arial" w:hAnsi="Arial"/>
          <w:b/>
          <w:bCs/>
          <w:color w:val="1F3864"/>
          <w:sz w:val="22"/>
          <w:szCs w:val="22"/>
        </w:rPr>
        <w:t xml:space="preserve">Branch Strategy</w:t>
      </w:r>
    </w:p>
    <w:p>
      <w:pPr>
        <w:spacing w:after="60" w:before="60"/>
      </w:pPr>
      <w:r>
        <w:rPr>
          <w:rFonts w:ascii="Arial" w:cs="Arial" w:eastAsia="Arial" w:hAnsi="Arial"/>
          <w:color w:val="222222"/>
          <w:sz w:val="20"/>
          <w:szCs w:val="20"/>
        </w:rPr>
        <w:t xml:space="preserve">The repository uses a three-level branch structure. No one commits directly to main.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Branch</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8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main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Stable, working code only</w:t>
            </w:r>
          </w:p>
        </w:tc>
        <w:tc>
          <w:tcPr>
            <w:tcW w:type="dxa" w:w="3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Never commit directly. Merges from dev only after review.</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dev</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Active development integration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All feature branches merge here via Pull Request.</w:t>
            </w:r>
          </w:p>
        </w:tc>
      </w:tr>
      <w:tr>
        <w:tc>
          <w:tcPr>
            <w:tcW w:type="dxa" w:w="28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feature/step-N-name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One pipeline stage at a time</w:t>
            </w:r>
          </w:p>
        </w:tc>
        <w:tc>
          <w:tcPr>
            <w:tcW w:type="dxa" w:w="32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Created from dev. PR back to dev when done.</w:t>
            </w:r>
          </w:p>
        </w:tc>
      </w:tr>
    </w:tbl>
    <w:p>
      <w:pPr>
        <w:spacing w:after="120" w:before="0"/>
      </w:pPr>
    </w:p>
    <w:p>
      <w:pPr>
        <w:spacing w:after="60" w:before="60"/>
      </w:pPr>
      <w:r>
        <w:rPr>
          <w:rFonts w:ascii="Arial" w:cs="Arial" w:eastAsia="Arial" w:hAnsi="Arial"/>
          <w:color w:val="222222"/>
          <w:sz w:val="20"/>
          <w:szCs w:val="20"/>
        </w:rPr>
        <w:t xml:space="preserve">Examples of feature branch names:</w:t>
      </w:r>
    </w:p>
    <w:p>
      <w:pPr>
        <w:pStyle w:val="ListParagraph"/>
        <w:numPr>
          <w:ilvl w:val="0"/>
          <w:numId w:val="2"/>
        </w:numPr>
        <w:spacing w:after="40" w:before="40"/>
      </w:pPr>
      <w:r>
        <w:rPr>
          <w:rFonts w:ascii="Arial" w:cs="Arial" w:eastAsia="Arial" w:hAnsi="Arial"/>
          <w:color w:val="222222"/>
          <w:sz w:val="20"/>
          <w:szCs w:val="20"/>
        </w:rPr>
        <w:t xml:space="preserve">feature/step1-mongodb</w:t>
      </w:r>
    </w:p>
    <w:p>
      <w:pPr>
        <w:pStyle w:val="ListParagraph"/>
        <w:numPr>
          <w:ilvl w:val="0"/>
          <w:numId w:val="2"/>
        </w:numPr>
        <w:spacing w:after="40" w:before="40"/>
      </w:pPr>
      <w:r>
        <w:rPr>
          <w:rFonts w:ascii="Arial" w:cs="Arial" w:eastAsia="Arial" w:hAnsi="Arial"/>
          <w:color w:val="222222"/>
          <w:sz w:val="20"/>
          <w:szCs w:val="20"/>
        </w:rPr>
        <w:t xml:space="preserve">feature/step2-ingestion</w:t>
      </w:r>
    </w:p>
    <w:p>
      <w:pPr>
        <w:pStyle w:val="ListParagraph"/>
        <w:numPr>
          <w:ilvl w:val="0"/>
          <w:numId w:val="2"/>
        </w:numPr>
        <w:spacing w:after="40" w:before="40"/>
      </w:pPr>
      <w:r>
        <w:rPr>
          <w:rFonts w:ascii="Arial" w:cs="Arial" w:eastAsia="Arial" w:hAnsi="Arial"/>
          <w:color w:val="222222"/>
          <w:sz w:val="20"/>
          <w:szCs w:val="20"/>
        </w:rPr>
        <w:t xml:space="preserve">feature/step3-phase0-training</w:t>
      </w:r>
    </w:p>
    <w:p>
      <w:pPr>
        <w:spacing w:after="120" w:before="0"/>
      </w:pPr>
    </w:p>
    <w:p>
      <w:pPr>
        <w:pStyle w:val="Heading3"/>
        <w:spacing w:after="60" w:before="200"/>
      </w:pPr>
      <w:r>
        <w:rPr>
          <w:rFonts w:ascii="Arial" w:cs="Arial" w:eastAsia="Arial" w:hAnsi="Arial"/>
          <w:b/>
          <w:bCs/>
          <w:color w:val="1F3864"/>
          <w:sz w:val="22"/>
          <w:szCs w:val="22"/>
        </w:rPr>
        <w:t xml:space="preserve">Commit Convention</w:t>
      </w:r>
    </w:p>
    <w:p>
      <w:pPr>
        <w:spacing w:after="60" w:before="60"/>
      </w:pPr>
      <w:r>
        <w:rPr>
          <w:rFonts w:ascii="Arial" w:cs="Arial" w:eastAsia="Arial" w:hAnsi="Arial"/>
          <w:color w:val="222222"/>
          <w:sz w:val="20"/>
          <w:szCs w:val="20"/>
        </w:rPr>
        <w:t xml:space="preserve">All commits follow the format:</w:t>
      </w:r>
    </w:p>
    <w:p>
      <w:pPr>
        <w:shd w:fill="1E1E1E" w:val="clear"/>
        <w:spacing w:after="40" w:before="40"/>
        <w:ind w:left="360" w:right="360"/>
      </w:pPr>
      <w:r>
        <w:rPr>
          <w:rFonts w:ascii="Courier New" w:cs="Courier New" w:eastAsia="Courier New" w:hAnsi="Courier New"/>
          <w:color w:val="D4D4D4"/>
          <w:sz w:val="18"/>
          <w:szCs w:val="18"/>
        </w:rPr>
        <w:t xml:space="preserve">step&lt;N&gt;: short description of what changed</w:t>
      </w:r>
    </w:p>
    <w:p>
      <w:pPr>
        <w:spacing w:after="120" w:before="0"/>
      </w:pPr>
    </w:p>
    <w:p>
      <w:pPr>
        <w:spacing w:after="60" w:before="60"/>
      </w:pPr>
      <w:r>
        <w:rPr>
          <w:rFonts w:ascii="Arial" w:cs="Arial" w:eastAsia="Arial" w:hAnsi="Arial"/>
          <w:color w:val="222222"/>
          <w:sz w:val="20"/>
          <w:szCs w:val="20"/>
        </w:rPr>
        <w:t xml:space="preserve">Examples:</w:t>
      </w:r>
    </w:p>
    <w:p>
      <w:pPr>
        <w:shd w:fill="1E1E1E" w:val="clear"/>
        <w:spacing w:after="40" w:before="40"/>
        <w:ind w:left="360" w:right="360"/>
      </w:pPr>
      <w:r>
        <w:rPr>
          <w:rFonts w:ascii="Courier New" w:cs="Courier New" w:eastAsia="Courier New" w:hAnsi="Courier New"/>
          <w:color w:val="D4D4D4"/>
          <w:sz w:val="18"/>
          <w:szCs w:val="18"/>
        </w:rPr>
        <w:t xml:space="preserve">step0: repository setup and environment config</w:t>
      </w:r>
    </w:p>
    <w:p>
      <w:pPr>
        <w:shd w:fill="1E1E1E" w:val="clear"/>
        <w:spacing w:after="40" w:before="40"/>
        <w:ind w:left="360" w:right="360"/>
      </w:pPr>
      <w:r>
        <w:rPr>
          <w:rFonts w:ascii="Courier New" w:cs="Courier New" w:eastAsia="Courier New" w:hAnsi="Courier New"/>
          <w:color w:val="D4D4D4"/>
          <w:sz w:val="18"/>
          <w:szCs w:val="18"/>
        </w:rPr>
        <w:t xml:space="preserve">step1: add MongoDB connection and smoke test</w:t>
      </w:r>
    </w:p>
    <w:p>
      <w:pPr>
        <w:shd w:fill="1E1E1E" w:val="clear"/>
        <w:spacing w:after="40" w:before="40"/>
        <w:ind w:left="360" w:right="360"/>
      </w:pPr>
      <w:r>
        <w:rPr>
          <w:rFonts w:ascii="Courier New" w:cs="Courier New" w:eastAsia="Courier New" w:hAnsi="Courier New"/>
          <w:color w:val="D4D4D4"/>
          <w:sz w:val="18"/>
          <w:szCs w:val="18"/>
        </w:rPr>
        <w:t xml:space="preserve">step2: implement PascalVOC to YOLO conversion</w:t>
      </w:r>
    </w:p>
    <w:p>
      <w:pPr>
        <w:spacing w:after="120" w:before="0"/>
      </w:pPr>
    </w:p>
    <w:p>
      <w:pPr>
        <w:pStyle w:val="Heading3"/>
        <w:spacing w:after="60" w:before="200"/>
      </w:pPr>
      <w:r>
        <w:rPr>
          <w:rFonts w:ascii="Arial" w:cs="Arial" w:eastAsia="Arial" w:hAnsi="Arial"/>
          <w:b/>
          <w:bCs/>
          <w:color w:val="1F3864"/>
          <w:sz w:val="22"/>
          <w:szCs w:val="22"/>
        </w:rPr>
        <w:t xml:space="preserve">Daily Workflow</w:t>
      </w:r>
    </w:p>
    <w:p>
      <w:pPr>
        <w:spacing w:after="60" w:before="60"/>
      </w:pPr>
      <w:r>
        <w:rPr>
          <w:rFonts w:ascii="Arial" w:cs="Arial" w:eastAsia="Arial" w:hAnsi="Arial"/>
          <w:color w:val="222222"/>
          <w:sz w:val="20"/>
          <w:szCs w:val="20"/>
        </w:rPr>
        <w:t xml:space="preserve">Every working session follows this sequence:</w:t>
      </w:r>
    </w:p>
    <w:p>
      <w:pPr>
        <w:pStyle w:val="ListParagraph"/>
        <w:numPr>
          <w:ilvl w:val="0"/>
          <w:numId w:val="3"/>
        </w:numPr>
        <w:spacing w:after="40" w:before="40"/>
      </w:pPr>
      <w:r>
        <w:rPr>
          <w:rFonts w:ascii="Courier New" w:cs="Courier New" w:eastAsia="Courier New" w:hAnsi="Courier New"/>
          <w:color w:val="2E75B6"/>
          <w:sz w:val="20"/>
          <w:szCs w:val="20"/>
        </w:rPr>
        <w:t xml:space="preserve">git checkout dev &amp;&amp; git pull origin dev</w:t>
      </w:r>
    </w:p>
    <w:p>
      <w:pPr>
        <w:pStyle w:val="ListParagraph"/>
        <w:numPr>
          <w:ilvl w:val="0"/>
          <w:numId w:val="3"/>
        </w:numPr>
        <w:spacing w:after="40" w:before="40"/>
      </w:pPr>
      <w:r>
        <w:rPr>
          <w:rFonts w:ascii="Courier New" w:cs="Courier New" w:eastAsia="Courier New" w:hAnsi="Courier New"/>
          <w:color w:val="2E75B6"/>
          <w:sz w:val="20"/>
          <w:szCs w:val="20"/>
        </w:rPr>
        <w:t xml:space="preserve">git checkout -b feature/step-N-name</w:t>
      </w:r>
    </w:p>
    <w:p>
      <w:pPr>
        <w:pStyle w:val="ListParagraph"/>
        <w:numPr>
          <w:ilvl w:val="0"/>
          <w:numId w:val="3"/>
        </w:numPr>
        <w:spacing w:after="40" w:before="40"/>
      </w:pPr>
      <w:r>
        <w:rPr>
          <w:rFonts w:ascii="Arial" w:cs="Arial" w:eastAsia="Arial" w:hAnsi="Arial"/>
          <w:color w:val="333333"/>
          <w:sz w:val="20"/>
          <w:szCs w:val="20"/>
        </w:rPr>
        <w:t xml:space="preserve">Write code for the step.</w:t>
      </w:r>
    </w:p>
    <w:p>
      <w:pPr>
        <w:pStyle w:val="ListParagraph"/>
        <w:numPr>
          <w:ilvl w:val="0"/>
          <w:numId w:val="3"/>
        </w:numPr>
        <w:spacing w:after="40" w:before="40"/>
      </w:pPr>
      <w:r>
        <w:rPr>
          <w:rFonts w:ascii="Courier New" w:cs="Courier New" w:eastAsia="Courier New" w:hAnsi="Courier New"/>
          <w:color w:val="2E75B6"/>
          <w:sz w:val="20"/>
          <w:szCs w:val="20"/>
        </w:rPr>
        <w:t xml:space="preserve">git add . &amp;&amp; git commit -m "stepN: description"</w:t>
      </w:r>
    </w:p>
    <w:p>
      <w:pPr>
        <w:pStyle w:val="ListParagraph"/>
        <w:numPr>
          <w:ilvl w:val="0"/>
          <w:numId w:val="3"/>
        </w:numPr>
        <w:spacing w:after="40" w:before="40"/>
      </w:pPr>
      <w:r>
        <w:rPr>
          <w:rFonts w:ascii="Courier New" w:cs="Courier New" w:eastAsia="Courier New" w:hAnsi="Courier New"/>
          <w:color w:val="2E75B6"/>
          <w:sz w:val="20"/>
          <w:szCs w:val="20"/>
        </w:rPr>
        <w:t xml:space="preserve">git push origin feature/step-N-name</w:t>
      </w:r>
    </w:p>
    <w:p>
      <w:pPr>
        <w:pStyle w:val="ListParagraph"/>
        <w:numPr>
          <w:ilvl w:val="0"/>
          <w:numId w:val="3"/>
        </w:numPr>
        <w:spacing w:after="40" w:before="40"/>
      </w:pPr>
      <w:r>
        <w:rPr>
          <w:rFonts w:ascii="Arial" w:cs="Arial" w:eastAsia="Arial" w:hAnsi="Arial"/>
          <w:color w:val="333333"/>
          <w:sz w:val="20"/>
          <w:szCs w:val="20"/>
        </w:rPr>
        <w:t xml:space="preserve">Open Pull Request on GitHub: feature branch → dev.</w:t>
      </w:r>
    </w:p>
    <w:p>
      <w:pPr>
        <w:spacing w:after="120" w:before="0"/>
      </w:pPr>
    </w:p>
    <w:p>
      <w:pPr>
        <w:pBdr>
          <w:left w:val="single" w:color="C00000" w:sz="8"/>
        </w:pBdr>
        <w:shd w:fill="FFF0F0" w:val="clear"/>
        <w:spacing w:after="80" w:before="80"/>
        <w:ind w:left="360"/>
      </w:pPr>
      <w:r>
        <w:rPr>
          <w:rFonts w:ascii="Arial" w:cs="Arial" w:eastAsia="Arial" w:hAnsi="Arial"/>
          <w:b/>
          <w:bCs/>
          <w:color w:val="C00000"/>
          <w:sz w:val="20"/>
          <w:szCs w:val="20"/>
        </w:rPr>
        <w:t xml:space="preserve">⚠  </w:t>
      </w:r>
      <w:r>
        <w:rPr>
          <w:rFonts w:ascii="Arial" w:cs="Arial" w:eastAsia="Arial" w:hAnsi="Arial"/>
          <w:color w:val="333333"/>
          <w:sz w:val="20"/>
          <w:szCs w:val="20"/>
        </w:rPr>
        <w:t xml:space="preserve">Never commit .env — it contains MONGO_URI and Backblaze credentials. It is in .gitignore. Verify with git status before every push.</w:t>
      </w:r>
    </w:p>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8.3 VSCode Configuration</w:t>
      </w:r>
    </w:p>
    <w:p>
      <w:pPr>
        <w:spacing w:after="60" w:before="60"/>
      </w:pPr>
      <w:r>
        <w:rPr>
          <w:rFonts w:ascii="Arial" w:cs="Arial" w:eastAsia="Arial" w:hAnsi="Arial"/>
          <w:color w:val="222222"/>
          <w:sz w:val="20"/>
          <w:szCs w:val="20"/>
        </w:rPr>
        <w:t xml:space="preserve">All team members use VSCode as the development environment, connected to the GitHub repository.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Extension</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 for RDDS</w:t>
            </w:r>
          </w:p>
        </w:tc>
      </w:tr>
      <w:tr>
        <w:tc>
          <w:tcPr>
            <w:tcW w:type="dxa" w:w="3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Python (Microsoft)</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Required</w:t>
            </w:r>
          </w:p>
        </w:tc>
        <w:tc>
          <w:tcPr>
            <w:tcW w:type="dxa" w:w="4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Syntax highlighting, IntelliSense, linting for all pipeline scripts.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Pylance (Microsoft)</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Required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Fast type checking and auto-imports for Python.</w:t>
            </w:r>
          </w:p>
        </w:tc>
      </w:tr>
      <w:tr>
        <w:tc>
          <w:tcPr>
            <w:tcW w:type="dxa" w:w="3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GitLens (GitKraken)</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Required</w:t>
            </w:r>
          </w:p>
        </w:tc>
        <w:tc>
          <w:tcPr>
            <w:tcW w:type="dxa" w:w="4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Inline blame, branch history, PR info. Essential for team collaboration.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GitHub Pull Requests</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Required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Review and merge PRs without leaving the editor.</w:t>
            </w:r>
          </w:p>
        </w:tc>
      </w:tr>
      <w:tr>
        <w:tc>
          <w:tcPr>
            <w:tcW w:type="dxa" w:w="3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MongoDB for VS Code</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Recommended</w:t>
            </w:r>
          </w:p>
        </w:tc>
        <w:tc>
          <w:tcPr>
            <w:tcW w:type="dxa" w:w="4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Browse Atlas collections and verify DB writes directly from the editor.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Python Debugger</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Recommended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Step through training and ingestion scripts with breakpoints.</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8.4 Shared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Database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MongoDB Atlas free tier. One shared cluster. URI in .env, never in Git.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Checkpoint storage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Backblaze B2. Weights uploaded automatically after each run. URLs stored in MongoDB.</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Dataset storage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Processed RDD2022 uploaded to cloud once by M. All machines pull from there.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Image paths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Relative in MongoDB (e.g. Japan/train/00001.jpg). Full path resolved via RDD_DATA_ROOT env var.</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image_id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MD5 hash of relative filepath. Consistent across all machines.</w:t>
            </w:r>
          </w:p>
        </w:tc>
      </w:tr>
    </w:tbl>
    <w:p>
      <w:pPr>
        <w:spacing w:after="120" w:before="0"/>
      </w:pPr>
    </w:p>
    <w:p>
      <w:pPr>
        <w:pStyle w:val="Heading2"/>
        <w:pBdr>
          <w:bottom w:val="single" w:color="2E75B6" w:sz="4"/>
        </w:pBdr>
        <w:spacing w:after="80" w:before="280"/>
      </w:pPr>
      <w:r>
        <w:rPr>
          <w:rFonts w:ascii="Arial" w:cs="Arial" w:eastAsia="Arial" w:hAnsi="Arial"/>
          <w:b/>
          <w:bCs/>
          <w:color w:val="2E75B6"/>
          <w:sz w:val="26"/>
          <w:szCs w:val="26"/>
        </w:rPr>
        <w:t xml:space="preserve">8.5 Environment Setup (Step 0 — Complete)</w:t>
      </w:r>
    </w:p>
    <w:p>
      <w:pPr>
        <w:spacing w:after="60" w:before="60"/>
      </w:pPr>
      <w:r>
        <w:rPr>
          <w:rFonts w:ascii="Arial" w:cs="Arial" w:eastAsia="Arial" w:hAnsi="Arial"/>
          <w:color w:val="222222"/>
          <w:sz w:val="20"/>
          <w:szCs w:val="20"/>
        </w:rPr>
        <w:t xml:space="preserve">Step 0 is complete. The repository is configured and all team members can reproduce the environment from scratch using the following sequence:</w:t>
      </w:r>
    </w:p>
    <w:p>
      <w:pPr>
        <w:spacing w:after="120" w:before="0"/>
      </w:pPr>
    </w:p>
    <w:p>
      <w:pPr>
        <w:shd w:fill="1E1E1E" w:val="clear"/>
        <w:spacing w:after="40" w:before="40"/>
        <w:ind w:left="360" w:right="360"/>
      </w:pPr>
      <w:r>
        <w:rPr>
          <w:rFonts w:ascii="Courier New" w:cs="Courier New" w:eastAsia="Courier New" w:hAnsi="Courier New"/>
          <w:color w:val="D4D4D4"/>
          <w:sz w:val="18"/>
          <w:szCs w:val="18"/>
        </w:rPr>
        <w:t xml:space="preserve">git clone https://github.com/Larriba02/rdds.git</w:t>
      </w:r>
    </w:p>
    <w:p>
      <w:pPr>
        <w:shd w:fill="1E1E1E" w:val="clear"/>
        <w:spacing w:after="40" w:before="40"/>
        <w:ind w:left="360" w:right="360"/>
      </w:pPr>
      <w:r>
        <w:rPr>
          <w:rFonts w:ascii="Courier New" w:cs="Courier New" w:eastAsia="Courier New" w:hAnsi="Courier New"/>
          <w:color w:val="D4D4D4"/>
          <w:sz w:val="18"/>
          <w:szCs w:val="18"/>
        </w:rPr>
        <w:t xml:space="preserve">cd rdds</w:t>
      </w:r>
    </w:p>
    <w:p>
      <w:pPr>
        <w:shd w:fill="1E1E1E" w:val="clear"/>
        <w:spacing w:after="40" w:before="40"/>
        <w:ind w:left="360" w:right="360"/>
      </w:pPr>
      <w:r>
        <w:rPr>
          <w:rFonts w:ascii="Courier New" w:cs="Courier New" w:eastAsia="Courier New" w:hAnsi="Courier New"/>
          <w:color w:val="D4D4D4"/>
          <w:sz w:val="18"/>
          <w:szCs w:val="18"/>
        </w:rPr>
        <w:t xml:space="preserve">cp .env.example .env   # fill in real credentials</w:t>
      </w:r>
    </w:p>
    <w:p>
      <w:pPr>
        <w:shd w:fill="1E1E1E" w:val="clear"/>
        <w:spacing w:after="40" w:before="40"/>
        <w:ind w:left="360" w:right="360"/>
      </w:pPr>
      <w:r>
        <w:rPr>
          <w:rFonts w:ascii="Courier New" w:cs="Courier New" w:eastAsia="Courier New" w:hAnsi="Courier New"/>
          <w:color w:val="D4D4D4"/>
          <w:sz w:val="18"/>
          <w:szCs w:val="18"/>
        </w:rPr>
        <w:t xml:space="preserve">python -m venv .venv</w:t>
      </w:r>
    </w:p>
    <w:p>
      <w:pPr>
        <w:shd w:fill="1E1E1E" w:val="clear"/>
        <w:spacing w:after="40" w:before="40"/>
        <w:ind w:left="360" w:right="360"/>
      </w:pPr>
      <w:r>
        <w:rPr>
          <w:rFonts w:ascii="Courier New" w:cs="Courier New" w:eastAsia="Courier New" w:hAnsi="Courier New"/>
          <w:color w:val="D4D4D4"/>
          <w:sz w:val="18"/>
          <w:szCs w:val="18"/>
        </w:rPr>
        <w:t xml:space="preserve">.venv\Scripts\activate</w:t>
      </w:r>
    </w:p>
    <w:p>
      <w:pPr>
        <w:shd w:fill="1E1E1E" w:val="clear"/>
        <w:spacing w:after="40" w:before="40"/>
        <w:ind w:left="360" w:right="360"/>
      </w:pPr>
      <w:r>
        <w:rPr>
          <w:rFonts w:ascii="Courier New" w:cs="Courier New" w:eastAsia="Courier New" w:hAnsi="Courier New"/>
          <w:color w:val="D4D4D4"/>
          <w:sz w:val="18"/>
          <w:szCs w:val="18"/>
        </w:rPr>
        <w:t xml:space="preserve">pip install -r requirements.txt</w:t>
      </w:r>
    </w:p>
    <w:p>
      <w:pPr>
        <w:shd w:fill="1E1E1E" w:val="clear"/>
        <w:spacing w:after="40" w:before="40"/>
        <w:ind w:left="360" w:right="360"/>
      </w:pPr>
      <w:r>
        <w:rPr>
          <w:rFonts w:ascii="Courier New" w:cs="Courier New" w:eastAsia="Courier New" w:hAnsi="Courier New"/>
          <w:color w:val="D4D4D4"/>
          <w:sz w:val="18"/>
          <w:szCs w:val="18"/>
        </w:rPr>
        <w:t xml:space="preserve">python -c "import ultralytics, pymongo, mlflow; print('OK')"</w:t>
      </w:r>
    </w:p>
    <w:p>
      <w:pPr>
        <w:spacing w:after="120" w:before="0"/>
      </w:pPr>
    </w:p>
    <w:p>
      <w:pPr>
        <w:pBdr>
          <w:left w:val="single" w:color="2E75B6" w:sz="8"/>
        </w:pBdr>
        <w:shd w:fill="EEF3FB" w:val="clear"/>
        <w:spacing w:after="80" w:before="80"/>
        <w:ind w:left="360"/>
      </w:pPr>
      <w:r>
        <w:rPr>
          <w:rFonts w:ascii="Arial" w:cs="Arial" w:eastAsia="Arial" w:hAnsi="Arial"/>
          <w:b/>
          <w:bCs/>
          <w:color w:val="2E75B6"/>
          <w:sz w:val="20"/>
          <w:szCs w:val="20"/>
        </w:rPr>
        <w:t xml:space="preserve">ℹ  </w:t>
      </w:r>
      <w:r>
        <w:rPr>
          <w:rFonts w:ascii="Arial" w:cs="Arial" w:eastAsia="Arial" w:hAnsi="Arial"/>
          <w:color w:val="333333"/>
          <w:sz w:val="20"/>
          <w:szCs w:val="20"/>
        </w:rPr>
        <w:t xml:space="preserve">The .env file is never committed. Each team member receives the real credentials separately and fills in their own .env.</w:t>
      </w:r>
    </w:p>
    <w:p>
      <w:pPr>
        <w:spacing w:after="120" w:before="0"/>
      </w:pPr>
    </w:p>
    <w:p>
      <w:r>
        <w:br w:type="page"/>
      </w:r>
    </w:p>
    <w:p>
      <w:pPr>
        <w:pStyle w:val="Heading1"/>
        <w:shd w:fill="1F3864" w:val="clear"/>
        <w:spacing w:after="120" w:before="360"/>
        <w:ind w:left="120" w:right="120"/>
      </w:pPr>
      <w:r>
        <w:rPr>
          <w:rFonts w:ascii="Arial" w:cs="Arial" w:eastAsia="Arial" w:hAnsi="Arial"/>
          <w:b/>
          <w:bCs/>
          <w:color w:val="FFFFFF"/>
          <w:sz w:val="32"/>
          <w:szCs w:val="32"/>
        </w:rPr>
        <w:t xml:space="preserve">9. Project Status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 Owner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0</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Repository and environment setup — M</w:t>
            </w:r>
          </w:p>
        </w:tc>
        <w:tc>
          <w:tcPr>
            <w:tcW w:type="dxa" w:w="2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 Complete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1</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MongoDB setup — 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In progress</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2</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Data ingestion — M</w:t>
            </w:r>
          </w:p>
        </w:tc>
        <w:tc>
          <w:tcPr>
            <w:tcW w:type="dxa" w:w="2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 Pending</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3</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Phase 0 training — 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Pending</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4</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Phase 1 training (A100) — M</w:t>
            </w:r>
          </w:p>
        </w:tc>
        <w:tc>
          <w:tcPr>
            <w:tcW w:type="dxa" w:w="2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 Pending</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5</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Evaluation — 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Pending</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6</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Inference module — M</w:t>
            </w:r>
          </w:p>
        </w:tc>
        <w:tc>
          <w:tcPr>
            <w:tcW w:type="dxa" w:w="2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 Pending</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7</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Retraining pipeline — 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 Pending</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8</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Web demo (optional) — M</w:t>
            </w:r>
          </w:p>
        </w:tc>
        <w:tc>
          <w:tcPr>
            <w:tcW w:type="dxa" w:w="24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 Optional</w:t>
            </w:r>
          </w:p>
        </w:tc>
      </w:tr>
    </w:tbl>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10. Non-Negotiable Constraints</w:t>
      </w:r>
    </w:p>
    <w:p>
      <w:pPr>
        <w:spacing w:after="120" w:before="0"/>
      </w:pPr>
    </w:p>
    <w:p>
      <w:pPr>
        <w:pStyle w:val="ListParagraph"/>
        <w:numPr>
          <w:ilvl w:val="0"/>
          <w:numId w:val="2"/>
        </w:numPr>
        <w:spacing w:after="40" w:before="40"/>
      </w:pPr>
      <w:r>
        <w:rPr>
          <w:rFonts w:ascii="Arial" w:cs="Arial" w:eastAsia="Arial" w:hAnsi="Arial"/>
          <w:color w:val="222222"/>
          <w:sz w:val="20"/>
          <w:szCs w:val="20"/>
        </w:rPr>
        <w:t xml:space="preserve">No sensitive personal data. RDD2022 images have faces and licence plates blurred by the dataset authors.</w:t>
      </w:r>
    </w:p>
    <w:p>
      <w:pPr>
        <w:pStyle w:val="ListParagraph"/>
        <w:numPr>
          <w:ilvl w:val="0"/>
          <w:numId w:val="2"/>
        </w:numPr>
        <w:spacing w:after="40" w:before="40"/>
      </w:pPr>
      <w:r>
        <w:rPr>
          <w:rFonts w:ascii="Arial" w:cs="Arial" w:eastAsia="Arial" w:hAnsi="Arial"/>
          <w:color w:val="222222"/>
          <w:sz w:val="20"/>
          <w:szCs w:val="20"/>
        </w:rPr>
        <w:t xml:space="preserve">Dataset licence compliance. RDD2022 is CC BY-SA 4.0. All use must credit the original authors.</w:t>
      </w:r>
    </w:p>
    <w:p>
      <w:pPr>
        <w:pStyle w:val="ListParagraph"/>
        <w:numPr>
          <w:ilvl w:val="0"/>
          <w:numId w:val="2"/>
        </w:numPr>
        <w:spacing w:after="40" w:before="40"/>
      </w:pPr>
      <w:r>
        <w:rPr>
          <w:rFonts w:ascii="Arial" w:cs="Arial" w:eastAsia="Arial" w:hAnsi="Arial"/>
          <w:color w:val="222222"/>
          <w:sz w:val="20"/>
          <w:szCs w:val="20"/>
        </w:rPr>
        <w:t xml:space="preserve">All results must be reproducible from a clean setup using the README and fixed seed (42).</w:t>
      </w:r>
    </w:p>
    <w:p>
      <w:pPr>
        <w:pStyle w:val="ListParagraph"/>
        <w:numPr>
          <w:ilvl w:val="0"/>
          <w:numId w:val="2"/>
        </w:numPr>
        <w:spacing w:after="40" w:before="40"/>
      </w:pPr>
      <w:r>
        <w:rPr>
          <w:rFonts w:ascii="Arial" w:cs="Arial" w:eastAsia="Arial" w:hAnsi="Arial"/>
          <w:color w:val="222222"/>
          <w:sz w:val="20"/>
          <w:szCs w:val="20"/>
        </w:rPr>
        <w:t xml:space="preserve">Test split is always 100%. Never sampled. Never used for training or hyperparameter decisions.</w:t>
      </w:r>
    </w:p>
    <w:p>
      <w:pPr>
        <w:pStyle w:val="ListParagraph"/>
        <w:numPr>
          <w:ilvl w:val="0"/>
          <w:numId w:val="2"/>
        </w:numPr>
        <w:spacing w:after="40" w:before="40"/>
      </w:pPr>
      <w:r>
        <w:rPr>
          <w:rFonts w:ascii="Arial" w:cs="Arial" w:eastAsia="Arial" w:hAnsi="Arial"/>
          <w:color w:val="222222"/>
          <w:sz w:val="20"/>
          <w:szCs w:val="20"/>
        </w:rPr>
        <w:t xml:space="preserve">Fixed validation set: always the same 1,000 images per country across all experiments.</w:t>
      </w:r>
    </w:p>
    <w:p>
      <w:pPr>
        <w:pStyle w:val="ListParagraph"/>
        <w:numPr>
          <w:ilvl w:val="0"/>
          <w:numId w:val="2"/>
        </w:numPr>
        <w:spacing w:after="40" w:before="40"/>
      </w:pPr>
      <w:r>
        <w:rPr>
          <w:rFonts w:ascii="Arial" w:cs="Arial" w:eastAsia="Arial" w:hAnsi="Arial"/>
          <w:color w:val="222222"/>
          <w:sz w:val="20"/>
          <w:szCs w:val="20"/>
        </w:rPr>
        <w:t xml:space="preserve">is_production in MongoDB is the single source of truth for the active model. Set and unset atomically.</w:t>
      </w:r>
    </w:p>
    <w:p>
      <w:pPr>
        <w:pStyle w:val="ListParagraph"/>
        <w:numPr>
          <w:ilvl w:val="0"/>
          <w:numId w:val="2"/>
        </w:numPr>
        <w:spacing w:after="40" w:before="40"/>
      </w:pPr>
      <w:r>
        <w:rPr>
          <w:rFonts w:ascii="Arial" w:cs="Arial" w:eastAsia="Arial" w:hAnsi="Arial"/>
          <w:color w:val="222222"/>
          <w:sz w:val="20"/>
          <w:szCs w:val="20"/>
        </w:rPr>
        <w:t xml:space="preserve">No production model promotion without evaluation on the official test split.</w:t>
      </w:r>
    </w:p>
    <w:p>
      <w:pPr>
        <w:pStyle w:val="ListParagraph"/>
        <w:numPr>
          <w:ilvl w:val="0"/>
          <w:numId w:val="2"/>
        </w:numPr>
        <w:spacing w:after="40" w:before="40"/>
      </w:pPr>
      <w:r>
        <w:rPr>
          <w:rFonts w:ascii="Arial" w:cs="Arial" w:eastAsia="Arial" w:hAnsi="Arial"/>
          <w:color w:val="222222"/>
          <w:sz w:val="20"/>
          <w:szCs w:val="20"/>
        </w:rPr>
        <w:t xml:space="preserve">No Jupyter notebooks in cluster jobs. Python scripts only.</w:t>
      </w:r>
    </w:p>
    <w:p>
      <w:pPr>
        <w:pStyle w:val="ListParagraph"/>
        <w:numPr>
          <w:ilvl w:val="0"/>
          <w:numId w:val="2"/>
        </w:numPr>
        <w:spacing w:after="40" w:before="40"/>
      </w:pPr>
      <w:r>
        <w:rPr>
          <w:rFonts w:ascii="Arial" w:cs="Arial" w:eastAsia="Arial" w:hAnsi="Arial"/>
          <w:color w:val="222222"/>
          <w:sz w:val="20"/>
          <w:szCs w:val="20"/>
        </w:rPr>
        <w:t xml:space="preserve">.env is never committed to Git under any circumstance.</w:t>
      </w:r>
    </w:p>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11. Out of Scope</w:t>
      </w:r>
    </w:p>
    <w:p>
      <w:pPr>
        <w:spacing w:after="120" w:before="0"/>
      </w:pPr>
    </w:p>
    <w:p>
      <w:pPr>
        <w:pStyle w:val="ListParagraph"/>
        <w:numPr>
          <w:ilvl w:val="0"/>
          <w:numId w:val="2"/>
        </w:numPr>
        <w:spacing w:after="40" w:before="40"/>
      </w:pPr>
      <w:r>
        <w:rPr>
          <w:rFonts w:ascii="Arial" w:cs="Arial" w:eastAsia="Arial" w:hAnsi="Arial"/>
          <w:color w:val="222222"/>
          <w:sz w:val="20"/>
          <w:szCs w:val="20"/>
        </w:rPr>
        <w:t xml:space="preserve">FastAPI / REST API as a core deliverable. Optional demo layer only, built last.</w:t>
      </w:r>
    </w:p>
    <w:p>
      <w:pPr>
        <w:pStyle w:val="ListParagraph"/>
        <w:numPr>
          <w:ilvl w:val="0"/>
          <w:numId w:val="2"/>
        </w:numPr>
        <w:spacing w:after="40" w:before="40"/>
      </w:pPr>
      <w:r>
        <w:rPr>
          <w:rFonts w:ascii="Arial" w:cs="Arial" w:eastAsia="Arial" w:hAnsi="Arial"/>
          <w:color w:val="222222"/>
          <w:sz w:val="20"/>
          <w:szCs w:val="20"/>
        </w:rPr>
        <w:t xml:space="preserve">Mobile deployment or on-device inference.</w:t>
      </w:r>
    </w:p>
    <w:p>
      <w:pPr>
        <w:pStyle w:val="ListParagraph"/>
        <w:numPr>
          <w:ilvl w:val="0"/>
          <w:numId w:val="2"/>
        </w:numPr>
        <w:spacing w:after="40" w:before="40"/>
      </w:pPr>
      <w:r>
        <w:rPr>
          <w:rFonts w:ascii="Arial" w:cs="Arial" w:eastAsia="Arial" w:hAnsi="Arial"/>
          <w:color w:val="222222"/>
          <w:sz w:val="20"/>
          <w:szCs w:val="20"/>
        </w:rPr>
        <w:t xml:space="preserve">Ensemble methods or semi-supervised learning.</w:t>
      </w:r>
    </w:p>
    <w:p>
      <w:pPr>
        <w:pStyle w:val="ListParagraph"/>
        <w:numPr>
          <w:ilvl w:val="0"/>
          <w:numId w:val="2"/>
        </w:numPr>
        <w:spacing w:after="40" w:before="40"/>
      </w:pPr>
      <w:r>
        <w:rPr>
          <w:rFonts w:ascii="Arial" w:cs="Arial" w:eastAsia="Arial" w:hAnsi="Arial"/>
          <w:color w:val="222222"/>
          <w:sz w:val="20"/>
          <w:szCs w:val="20"/>
        </w:rPr>
        <w:t xml:space="preserve">Automatic retraining triggers.</w:t>
      </w:r>
    </w:p>
    <w:p>
      <w:pPr>
        <w:pStyle w:val="ListParagraph"/>
        <w:numPr>
          <w:ilvl w:val="0"/>
          <w:numId w:val="2"/>
        </w:numPr>
        <w:spacing w:after="40" w:before="40"/>
      </w:pPr>
      <w:r>
        <w:rPr>
          <w:rFonts w:ascii="Arial" w:cs="Arial" w:eastAsia="Arial" w:hAnsi="Arial"/>
          <w:color w:val="222222"/>
          <w:sz w:val="20"/>
          <w:szCs w:val="20"/>
        </w:rPr>
        <w:t xml:space="preserve">Manual annotation of own video footage.</w:t>
      </w:r>
    </w:p>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12. Estimated Timeline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Work Package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Deliverable</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1</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MongoDB setup + data ingestion</w:t>
            </w:r>
          </w:p>
        </w:tc>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Pipeline runs, MongoDB populated, cloud storage ready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2</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Phase 0: laptop training (YOLO11s)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Real mAP number. Pipeline confirmed end-to-end.</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3</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Full dataset pull on A100 + cluster setup</w:t>
            </w:r>
          </w:p>
        </w:tc>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Cluster job scripts ready.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4–5</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A100 training: YOLO11s + YOLO11m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Trained checkpoints, MLflow runs, final mAP.</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5–6</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Inference module + video frame extraction</w:t>
            </w:r>
          </w:p>
        </w:tc>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Working inference on real images and video.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6–7</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Retraining pipeline + model registry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retrain() tested, is_production logic working.</w:t>
            </w:r>
          </w:p>
        </w:tc>
      </w:tr>
      <w:tr>
        <w:tc>
          <w:tcPr>
            <w:tcW w:type="dxa" w:w="1200"/>
            <w:tcBorders>
              <w:top w:val="single" w:color="AAAAAA" w:sz="1"/>
              <w:left w:val="single" w:color="AAAAAA" w:sz="1"/>
              <w:bottom w:val="single" w:color="AAAAAA" w:sz="1"/>
              <w:right w:val="single" w:color="AAAAAA" w:sz="1"/>
            </w:tcBorders>
            <w:shd w:fill="F7F9FD"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7–8</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Evaluation, documentation, demo</w:t>
            </w:r>
          </w:p>
        </w:tc>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Final results, figures, demo video, report sections.</w:t>
            </w:r>
          </w:p>
        </w:tc>
      </w:tr>
    </w:tbl>
    <w:p>
      <w:pPr>
        <w:spacing w:after="120" w:before="0"/>
      </w:pPr>
    </w:p>
    <w:p>
      <w:pPr>
        <w:pStyle w:val="Heading1"/>
        <w:shd w:fill="1F3864" w:val="clear"/>
        <w:spacing w:after="120" w:before="360"/>
        <w:ind w:left="120" w:right="120"/>
      </w:pPr>
      <w:r>
        <w:rPr>
          <w:rFonts w:ascii="Arial" w:cs="Arial" w:eastAsia="Arial" w:hAnsi="Arial"/>
          <w:b/>
          <w:bCs/>
          <w:color w:val="FFFFFF"/>
          <w:sz w:val="32"/>
          <w:szCs w:val="32"/>
        </w:rPr>
        <w:t xml:space="preserve">13. Key References</w:t>
      </w:r>
    </w:p>
    <w:p>
      <w:pPr>
        <w:spacing w:after="120" w:before="0"/>
      </w:pPr>
    </w:p>
    <w:p>
      <w:pPr>
        <w:spacing w:after="60" w:before="60"/>
      </w:pPr>
      <w:r>
        <w:rPr>
          <w:rFonts w:ascii="Arial" w:cs="Arial" w:eastAsia="Arial" w:hAnsi="Arial"/>
          <w:color w:val="222222"/>
          <w:sz w:val="20"/>
          <w:szCs w:val="20"/>
        </w:rPr>
        <w:t xml:space="preserve">Arya, D. et al. (2025). Insights from the Road Damage Detection Challenge Series (2018–2024). Nature Machine Intelligence.</w:t>
      </w:r>
    </w:p>
    <w:p>
      <w:pPr>
        <w:spacing w:after="120" w:before="0"/>
      </w:pPr>
    </w:p>
    <w:p>
      <w:pPr>
        <w:spacing w:after="60" w:before="60"/>
      </w:pPr>
      <w:r>
        <w:rPr>
          <w:rFonts w:ascii="Arial" w:cs="Arial" w:eastAsia="Arial" w:hAnsi="Arial"/>
          <w:color w:val="222222"/>
          <w:sz w:val="20"/>
          <w:szCs w:val="20"/>
        </w:rPr>
        <w:t xml:space="preserve">Arya, D. et al. (2024). RDD2022: A multi-national image dataset for automatic road damage detection. Geoscience Data Journal, 11(4), 846–862.</w:t>
      </w:r>
    </w:p>
    <w:p>
      <w:pPr>
        <w:spacing w:after="120" w:before="0"/>
      </w:pPr>
    </w:p>
    <w:p>
      <w:pPr>
        <w:spacing w:after="60" w:before="60"/>
      </w:pPr>
      <w:r>
        <w:rPr>
          <w:rFonts w:ascii="Arial" w:cs="Arial" w:eastAsia="Arial" w:hAnsi="Arial"/>
          <w:color w:val="222222"/>
          <w:sz w:val="20"/>
          <w:szCs w:val="20"/>
        </w:rPr>
        <w:t xml:space="preserve">Arya, D. et al. (2024). ORDDC'2024: State of the art solutions for optimized road damage detection. IEEE BigData 2024.</w:t>
      </w:r>
    </w:p>
    <w:p>
      <w:pPr>
        <w:spacing w:after="120" w:before="0"/>
      </w:pPr>
    </w:p>
    <w:p>
      <w:pPr>
        <w:spacing w:after="60" w:before="60"/>
      </w:pPr>
      <w:r>
        <w:rPr>
          <w:rFonts w:ascii="Arial" w:cs="Arial" w:eastAsia="Arial" w:hAnsi="Arial"/>
          <w:color w:val="222222"/>
          <w:sz w:val="20"/>
          <w:szCs w:val="20"/>
        </w:rPr>
        <w:t xml:space="preserve">Ultralytics YOLO11 Documentation. https://docs.ultralytics.com</w:t>
      </w:r>
    </w:p>
    <w:p>
      <w:pPr>
        <w:spacing w:after="120" w:before="0"/>
      </w:pPr>
    </w:p>
    <w:p>
      <w:pPr>
        <w:spacing w:after="60" w:before="60"/>
      </w:pPr>
      <w:r>
        <w:rPr>
          <w:rFonts w:ascii="Arial" w:cs="Arial" w:eastAsia="Arial" w:hAnsi="Arial"/>
          <w:color w:val="222222"/>
          <w:sz w:val="20"/>
          <w:szCs w:val="20"/>
        </w:rPr>
        <w:t xml:space="preserve">RDD2022 Dataset. FigShare. https://figshare.com/articles/dataset/RDD2022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6"/>
        <w:szCs w:val="16"/>
      </w:rPr>
      <w:t xml:space="preserve">Integrating Project II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6"/>
        <w:szCs w:val="16"/>
      </w:rPr>
      <w:t xml:space="preserve">RDDS — Technical Project Document v3.0  |  Group 3 · UFV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2026-03-22T18:38:49.969Z</dcterms:created>
  <dcterms:modified xsi:type="dcterms:W3CDTF">2026-03-22T18:38:49.970Z</dcterms:modified>
</cp:coreProperties>
</file>

<file path=docProps/custom.xml><?xml version="1.0" encoding="utf-8"?>
<Properties xmlns="http://schemas.openxmlformats.org/officeDocument/2006/custom-properties" xmlns:vt="http://schemas.openxmlformats.org/officeDocument/2006/docPropsVTypes"/>
</file>