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firstLine="0" w:firstLineChars="0"/>
        <w:jc w:val="both"/>
      </w:pPr>
      <w:r>
        <w:rPr>
          <w:lang w:val="zh-CN"/>
        </w:rPr>
        <w:drawing>
          <wp:anchor distT="0" distB="0" distL="114300" distR="114300" simplePos="0" relativeHeight="251659264" behindDoc="0" locked="0" layoutInCell="1" allowOverlap="1">
            <wp:simplePos x="0" y="0"/>
            <wp:positionH relativeFrom="column">
              <wp:posOffset>-681990</wp:posOffset>
            </wp:positionH>
            <wp:positionV relativeFrom="paragraph">
              <wp:posOffset>-836295</wp:posOffset>
            </wp:positionV>
            <wp:extent cx="6518275" cy="10403205"/>
            <wp:effectExtent l="0" t="0" r="4445" b="5715"/>
            <wp:wrapNone/>
            <wp:docPr id="2" name="图片 2" descr="蓝黄色女孩学习插画艺考英语冲刺手绘教育介绍中文书籍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蓝黄色女孩学习插画艺考英语冲刺手绘教育介绍中文书籍封面"/>
                    <pic:cNvPicPr>
                      <a:picLocks noChangeAspect="1"/>
                    </pic:cNvPicPr>
                  </pic:nvPicPr>
                  <pic:blipFill>
                    <a:blip r:embed="rId14"/>
                    <a:stretch>
                      <a:fillRect/>
                    </a:stretch>
                  </pic:blipFill>
                  <pic:spPr>
                    <a:xfrm>
                      <a:off x="0" y="0"/>
                      <a:ext cx="6518275" cy="10403205"/>
                    </a:xfrm>
                    <a:prstGeom prst="rect">
                      <a:avLst/>
                    </a:prstGeom>
                    <a:noFill/>
                    <a:ln>
                      <a:noFill/>
                    </a:ln>
                  </pic:spPr>
                </pic:pic>
              </a:graphicData>
            </a:graphic>
          </wp:anchor>
        </w:drawing>
      </w:r>
    </w:p>
    <w:p>
      <w:pPr>
        <w:ind w:firstLine="0" w:firstLineChars="0"/>
        <w:jc w:val="center"/>
        <w:rPr>
          <w:lang w:val="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720" w:num="1"/>
          <w:docGrid w:type="lines" w:linePitch="312" w:charSpace="0"/>
        </w:sectPr>
      </w:pPr>
    </w:p>
    <w:p>
      <w:pPr>
        <w:ind w:firstLine="0" w:firstLineChars="0"/>
        <w:jc w:val="center"/>
        <w:rPr>
          <w:lang w:val="zh-CN"/>
        </w:rPr>
      </w:pPr>
    </w:p>
    <w:p>
      <w:pPr>
        <w:ind w:firstLine="0" w:firstLineChars="0"/>
        <w:jc w:val="center"/>
        <w:rPr>
          <w:lang w:val="zh-CN"/>
        </w:rPr>
      </w:pPr>
    </w:p>
    <w:p>
      <w:pPr>
        <w:ind w:firstLine="0" w:firstLineChars="0"/>
        <w:jc w:val="center"/>
        <w:rPr>
          <w:lang w:val="zh-CN"/>
        </w:rPr>
      </w:pPr>
    </w:p>
    <w:p>
      <w:pPr>
        <w:ind w:firstLine="0" w:firstLineChars="0"/>
        <w:jc w:val="center"/>
        <w:rPr>
          <w:b/>
          <w:bCs/>
          <w:sz w:val="52"/>
          <w:szCs w:val="72"/>
        </w:rPr>
      </w:pPr>
      <w:r>
        <w:rPr>
          <w:rFonts w:hint="eastAsia"/>
          <w:b/>
          <w:bCs/>
          <w:sz w:val="52"/>
          <w:szCs w:val="72"/>
        </w:rPr>
        <w:t>基于大语言模型的</w:t>
      </w:r>
    </w:p>
    <w:p>
      <w:pPr>
        <w:ind w:firstLine="0" w:firstLineChars="0"/>
        <w:jc w:val="center"/>
        <w:rPr>
          <w:b/>
          <w:bCs/>
          <w:sz w:val="52"/>
          <w:szCs w:val="72"/>
        </w:rPr>
      </w:pPr>
      <w:r>
        <w:rPr>
          <w:rFonts w:hint="eastAsia"/>
          <w:b/>
          <w:bCs/>
          <w:sz w:val="52"/>
          <w:szCs w:val="72"/>
        </w:rPr>
        <w:t>智能学习推荐管理系统</w:t>
      </w:r>
    </w:p>
    <w:p>
      <w:pPr>
        <w:ind w:firstLine="0" w:firstLineChars="0"/>
        <w:rPr>
          <w:lang w:val="zh-CN"/>
        </w:rPr>
      </w:pPr>
    </w:p>
    <w:p>
      <w:pPr>
        <w:ind w:firstLine="0" w:firstLineChars="0"/>
        <w:rPr>
          <w:lang w:val="zh-CN"/>
        </w:rPr>
      </w:pP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可</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行</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性</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分</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析</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报</w:t>
      </w:r>
    </w:p>
    <w:p>
      <w:pPr>
        <w:spacing w:line="700" w:lineRule="exact"/>
        <w:ind w:firstLine="0" w:firstLineChars="0"/>
        <w:jc w:val="center"/>
        <w:rPr>
          <w:rFonts w:ascii="华文中宋" w:hAnsi="华文中宋" w:eastAsia="华文中宋" w:cs="华文中宋"/>
          <w:sz w:val="56"/>
          <w:szCs w:val="96"/>
        </w:rPr>
      </w:pPr>
      <w:r>
        <w:rPr>
          <w:rFonts w:hint="eastAsia" w:ascii="华文中宋" w:hAnsi="华文中宋" w:eastAsia="华文中宋" w:cs="华文中宋"/>
          <w:sz w:val="56"/>
          <w:szCs w:val="96"/>
        </w:rPr>
        <w:t>告</w:t>
      </w:r>
    </w:p>
    <w:p>
      <w:pPr>
        <w:ind w:firstLine="0" w:firstLineChars="0"/>
        <w:jc w:val="center"/>
        <w:rPr>
          <w:rFonts w:ascii="华文中宋" w:hAnsi="华文中宋" w:eastAsia="华文中宋" w:cs="华文中宋"/>
          <w:sz w:val="56"/>
          <w:szCs w:val="96"/>
        </w:rPr>
      </w:pPr>
    </w:p>
    <w:p>
      <w:pPr>
        <w:ind w:firstLine="0" w:firstLineChars="0"/>
        <w:jc w:val="center"/>
        <w:rPr>
          <w:rFonts w:ascii="华文中宋" w:hAnsi="华文中宋" w:eastAsia="华文中宋" w:cs="华文中宋"/>
          <w:sz w:val="36"/>
          <w:szCs w:val="44"/>
        </w:rPr>
      </w:pPr>
    </w:p>
    <w:p>
      <w:pPr>
        <w:ind w:firstLine="0" w:firstLineChars="0"/>
        <w:jc w:val="center"/>
        <w:rPr>
          <w:rFonts w:ascii="华文中宋" w:hAnsi="华文中宋" w:eastAsia="华文中宋" w:cs="华文中宋"/>
          <w:sz w:val="36"/>
          <w:szCs w:val="44"/>
        </w:rPr>
      </w:pPr>
    </w:p>
    <w:p>
      <w:pPr>
        <w:ind w:firstLine="0" w:firstLineChars="0"/>
        <w:jc w:val="center"/>
        <w:rPr>
          <w:rFonts w:ascii="华文中宋" w:hAnsi="华文中宋" w:eastAsia="华文中宋" w:cs="华文中宋"/>
          <w:sz w:val="36"/>
          <w:szCs w:val="44"/>
        </w:rPr>
      </w:pPr>
      <w:r>
        <w:rPr>
          <w:rFonts w:hint="eastAsia" w:ascii="华文中宋" w:hAnsi="华文中宋" w:eastAsia="华文中宋" w:cs="华文中宋"/>
          <w:sz w:val="36"/>
          <w:szCs w:val="44"/>
        </w:rPr>
        <w:t>课程：软件工程实践</w:t>
      </w:r>
    </w:p>
    <w:p>
      <w:pPr>
        <w:ind w:firstLine="0" w:firstLineChars="0"/>
        <w:jc w:val="center"/>
        <w:rPr>
          <w:rFonts w:ascii="华文中宋" w:hAnsi="华文中宋" w:eastAsia="华文中宋" w:cs="华文中宋"/>
          <w:sz w:val="36"/>
          <w:szCs w:val="44"/>
        </w:rPr>
      </w:pPr>
      <w:r>
        <w:rPr>
          <w:rFonts w:hint="eastAsia" w:ascii="华文中宋" w:hAnsi="华文中宋" w:eastAsia="华文中宋" w:cs="华文中宋"/>
          <w:sz w:val="36"/>
          <w:szCs w:val="44"/>
        </w:rPr>
        <w:t>班级：公信21</w:t>
      </w:r>
    </w:p>
    <w:p>
      <w:pPr>
        <w:ind w:firstLine="0" w:firstLineChars="0"/>
        <w:jc w:val="center"/>
        <w:rPr>
          <w:rFonts w:ascii="华文中宋" w:hAnsi="华文中宋" w:eastAsia="华文中宋" w:cs="华文中宋"/>
          <w:sz w:val="36"/>
          <w:szCs w:val="44"/>
        </w:rPr>
      </w:pPr>
      <w:r>
        <w:rPr>
          <w:rFonts w:hint="eastAsia" w:ascii="华文中宋" w:hAnsi="华文中宋" w:eastAsia="华文中宋" w:cs="华文中宋"/>
          <w:sz w:val="36"/>
          <w:szCs w:val="44"/>
        </w:rPr>
        <w:t>成员：李欣桦；李傲；吴林昊；杜威；刘心彤</w:t>
      </w:r>
    </w:p>
    <w:p>
      <w:pPr>
        <w:ind w:firstLine="0" w:firstLineChars="0"/>
        <w:jc w:val="center"/>
        <w:rPr>
          <w:rFonts w:ascii="华文中宋" w:hAnsi="华文中宋" w:eastAsia="华文中宋" w:cs="华文中宋"/>
          <w:sz w:val="56"/>
          <w:szCs w:val="96"/>
        </w:rPr>
      </w:pPr>
    </w:p>
    <w:p>
      <w:pPr>
        <w:pStyle w:val="24"/>
        <w:jc w:val="center"/>
        <w:rPr>
          <w:rFonts w:hint="eastAsia" w:ascii="黑体" w:hAnsi="黑体" w:eastAsia="黑体" w:cs="黑体"/>
          <w:color w:val="000000" w:themeColor="text1"/>
          <w:sz w:val="36"/>
          <w:szCs w:val="36"/>
          <w:lang w:val="zh-CN"/>
          <w14:textFill>
            <w14:solidFill>
              <w14:schemeClr w14:val="tx1"/>
            </w14:solidFill>
          </w14:textFill>
        </w:rPr>
        <w:sectPr>
          <w:footerReference r:id="rId11" w:type="default"/>
          <w:pgSz w:w="11906" w:h="16838"/>
          <w:pgMar w:top="1440" w:right="1800" w:bottom="1440" w:left="1800" w:header="851" w:footer="992" w:gutter="0"/>
          <w:cols w:space="720" w:num="1"/>
          <w:docGrid w:type="lines" w:linePitch="312" w:charSpace="0"/>
        </w:sectPr>
      </w:pPr>
    </w:p>
    <w:p>
      <w:pPr>
        <w:pStyle w:val="24"/>
        <w:jc w:val="center"/>
        <w:rPr>
          <w:rFonts w:ascii="黑体" w:hAnsi="黑体" w:eastAsia="黑体" w:cs="黑体"/>
          <w:color w:val="000000" w:themeColor="text1"/>
          <w:sz w:val="36"/>
          <w:szCs w:val="36"/>
          <w14:textFill>
            <w14:solidFill>
              <w14:schemeClr w14:val="tx1"/>
            </w14:solidFill>
          </w14:textFill>
        </w:rPr>
      </w:pPr>
      <w:r>
        <w:rPr>
          <w:rFonts w:hint="eastAsia" w:ascii="黑体" w:hAnsi="黑体" w:eastAsia="黑体" w:cs="黑体"/>
          <w:color w:val="000000" w:themeColor="text1"/>
          <w:sz w:val="36"/>
          <w:szCs w:val="36"/>
          <w:lang w:val="zh-CN"/>
          <w14:textFill>
            <w14:solidFill>
              <w14:schemeClr w14:val="tx1"/>
            </w14:solidFill>
          </w14:textFill>
        </w:rPr>
        <w:t>目录</w:t>
      </w:r>
    </w:p>
    <w:p>
      <w:pPr>
        <w:pStyle w:val="9"/>
        <w:tabs>
          <w:tab w:val="right" w:leader="dot" w:pos="8306"/>
          <w:tab w:val="clear" w:pos="8296"/>
        </w:tabs>
      </w:pPr>
      <w:r>
        <w:fldChar w:fldCharType="begin"/>
      </w:r>
      <w:r>
        <w:instrText xml:space="preserve"> TOC \o "1-3" \h \z \u </w:instrText>
      </w:r>
      <w:r>
        <w:fldChar w:fldCharType="separate"/>
      </w:r>
      <w:r>
        <w:fldChar w:fldCharType="begin"/>
      </w:r>
      <w:r>
        <w:instrText xml:space="preserve"> HYPERLINK \l _Toc8229 </w:instrText>
      </w:r>
      <w:r>
        <w:fldChar w:fldCharType="separate"/>
      </w:r>
      <w:r>
        <w:rPr>
          <w:rFonts w:hint="eastAsia"/>
        </w:rPr>
        <w:t>1引言</w:t>
      </w:r>
      <w:r>
        <w:tab/>
      </w:r>
      <w:r>
        <w:fldChar w:fldCharType="begin"/>
      </w:r>
      <w:r>
        <w:instrText xml:space="preserve"> PAGEREF _Toc8229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_Toc26192 </w:instrText>
      </w:r>
      <w:r>
        <w:fldChar w:fldCharType="separate"/>
      </w:r>
      <w:r>
        <w:rPr>
          <w:rFonts w:hint="eastAsia"/>
        </w:rPr>
        <w:t>1.1标识</w:t>
      </w:r>
      <w:r>
        <w:tab/>
      </w:r>
      <w:r>
        <w:fldChar w:fldCharType="begin"/>
      </w:r>
      <w:r>
        <w:instrText xml:space="preserve"> PAGEREF _Toc26192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_Toc24701 </w:instrText>
      </w:r>
      <w:r>
        <w:fldChar w:fldCharType="separate"/>
      </w:r>
      <w:r>
        <w:rPr>
          <w:rFonts w:hint="eastAsia"/>
        </w:rPr>
        <w:t>1.2背景</w:t>
      </w:r>
      <w:r>
        <w:tab/>
      </w:r>
      <w:r>
        <w:fldChar w:fldCharType="begin"/>
      </w:r>
      <w:r>
        <w:instrText xml:space="preserve"> PAGEREF _Toc24701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_Toc21404 </w:instrText>
      </w:r>
      <w:r>
        <w:fldChar w:fldCharType="separate"/>
      </w:r>
      <w:r>
        <w:rPr>
          <w:rFonts w:hint="eastAsia"/>
        </w:rPr>
        <w:t>1.3项目概述</w:t>
      </w:r>
      <w:r>
        <w:tab/>
      </w:r>
      <w:r>
        <w:fldChar w:fldCharType="begin"/>
      </w:r>
      <w:r>
        <w:instrText xml:space="preserve"> PAGEREF _Toc21404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_Toc15934 </w:instrText>
      </w:r>
      <w:r>
        <w:fldChar w:fldCharType="separate"/>
      </w:r>
      <w:r>
        <w:rPr>
          <w:rFonts w:hint="eastAsia"/>
        </w:rPr>
        <w:t>1.4文档概述</w:t>
      </w:r>
      <w:r>
        <w:tab/>
      </w:r>
      <w:r>
        <w:fldChar w:fldCharType="begin"/>
      </w:r>
      <w:r>
        <w:instrText xml:space="preserve"> PAGEREF _Toc15934 \h </w:instrText>
      </w:r>
      <w:r>
        <w:fldChar w:fldCharType="separate"/>
      </w:r>
      <w:r>
        <w:t>6</w:t>
      </w:r>
      <w:r>
        <w:fldChar w:fldCharType="end"/>
      </w:r>
      <w:r>
        <w:fldChar w:fldCharType="end"/>
      </w:r>
    </w:p>
    <w:p>
      <w:pPr>
        <w:pStyle w:val="9"/>
        <w:tabs>
          <w:tab w:val="right" w:leader="dot" w:pos="8306"/>
          <w:tab w:val="clear" w:pos="8296"/>
        </w:tabs>
      </w:pPr>
      <w:r>
        <w:fldChar w:fldCharType="begin"/>
      </w:r>
      <w:r>
        <w:instrText xml:space="preserve"> HYPERLINK \l _Toc14216 </w:instrText>
      </w:r>
      <w:r>
        <w:fldChar w:fldCharType="separate"/>
      </w:r>
      <w:r>
        <w:rPr>
          <w:rFonts w:hint="eastAsia"/>
        </w:rPr>
        <w:t>2引用文件</w:t>
      </w:r>
      <w:r>
        <w:tab/>
      </w:r>
      <w:r>
        <w:fldChar w:fldCharType="begin"/>
      </w:r>
      <w:r>
        <w:instrText xml:space="preserve"> PAGEREF _Toc14216 \h </w:instrText>
      </w:r>
      <w:r>
        <w:fldChar w:fldCharType="separate"/>
      </w:r>
      <w:r>
        <w:t>7</w:t>
      </w:r>
      <w:r>
        <w:fldChar w:fldCharType="end"/>
      </w:r>
      <w:r>
        <w:fldChar w:fldCharType="end"/>
      </w:r>
    </w:p>
    <w:p>
      <w:pPr>
        <w:pStyle w:val="9"/>
        <w:tabs>
          <w:tab w:val="right" w:leader="dot" w:pos="8306"/>
          <w:tab w:val="clear" w:pos="8296"/>
        </w:tabs>
      </w:pPr>
      <w:r>
        <w:fldChar w:fldCharType="begin"/>
      </w:r>
      <w:r>
        <w:instrText xml:space="preserve"> HYPERLINK \l _Toc20615 </w:instrText>
      </w:r>
      <w:r>
        <w:fldChar w:fldCharType="separate"/>
      </w:r>
      <w:r>
        <w:rPr>
          <w:rFonts w:hint="eastAsia"/>
        </w:rPr>
        <w:t>3可行性分析的前提</w:t>
      </w:r>
      <w:r>
        <w:tab/>
      </w:r>
      <w:r>
        <w:fldChar w:fldCharType="begin"/>
      </w:r>
      <w:r>
        <w:instrText xml:space="preserve"> PAGEREF _Toc20615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_Toc9639 </w:instrText>
      </w:r>
      <w:r>
        <w:fldChar w:fldCharType="separate"/>
      </w:r>
      <w:r>
        <w:rPr>
          <w:rFonts w:hint="eastAsia"/>
        </w:rPr>
        <w:t>3.1项目的要求</w:t>
      </w:r>
      <w:r>
        <w:tab/>
      </w:r>
      <w:r>
        <w:fldChar w:fldCharType="begin"/>
      </w:r>
      <w:r>
        <w:instrText xml:space="preserve"> PAGEREF _Toc9639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_Toc31200 </w:instrText>
      </w:r>
      <w:r>
        <w:fldChar w:fldCharType="separate"/>
      </w:r>
      <w:r>
        <w:rPr>
          <w:rFonts w:hint="eastAsia"/>
        </w:rPr>
        <w:t>3.2项目的目标</w:t>
      </w:r>
      <w:r>
        <w:tab/>
      </w:r>
      <w:r>
        <w:fldChar w:fldCharType="begin"/>
      </w:r>
      <w:r>
        <w:instrText xml:space="preserve"> PAGEREF _Toc31200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_Toc9875 </w:instrText>
      </w:r>
      <w:r>
        <w:fldChar w:fldCharType="separate"/>
      </w:r>
      <w:r>
        <w:rPr>
          <w:rFonts w:hint="eastAsia"/>
        </w:rPr>
        <w:t>3.3项目的环境、条件、假定和限制</w:t>
      </w:r>
      <w:r>
        <w:tab/>
      </w:r>
      <w:r>
        <w:fldChar w:fldCharType="begin"/>
      </w:r>
      <w:r>
        <w:instrText xml:space="preserve"> PAGEREF _Toc9875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_Toc30673 </w:instrText>
      </w:r>
      <w:r>
        <w:fldChar w:fldCharType="separate"/>
      </w:r>
      <w:r>
        <w:rPr>
          <w:rFonts w:hint="eastAsia"/>
        </w:rPr>
        <w:t>3.4进行可行性分析的方法</w:t>
      </w:r>
      <w:r>
        <w:tab/>
      </w:r>
      <w:r>
        <w:fldChar w:fldCharType="begin"/>
      </w:r>
      <w:r>
        <w:instrText xml:space="preserve"> PAGEREF _Toc30673 \h </w:instrText>
      </w:r>
      <w:r>
        <w:fldChar w:fldCharType="separate"/>
      </w:r>
      <w:r>
        <w:t>8</w:t>
      </w:r>
      <w:r>
        <w:fldChar w:fldCharType="end"/>
      </w:r>
      <w:r>
        <w:fldChar w:fldCharType="end"/>
      </w:r>
    </w:p>
    <w:p>
      <w:pPr>
        <w:pStyle w:val="9"/>
        <w:tabs>
          <w:tab w:val="right" w:leader="dot" w:pos="8306"/>
          <w:tab w:val="clear" w:pos="8296"/>
        </w:tabs>
      </w:pPr>
      <w:r>
        <w:fldChar w:fldCharType="begin"/>
      </w:r>
      <w:r>
        <w:instrText xml:space="preserve"> HYPERLINK \l _Toc17350 </w:instrText>
      </w:r>
      <w:r>
        <w:fldChar w:fldCharType="separate"/>
      </w:r>
      <w:r>
        <w:rPr>
          <w:rFonts w:hint="eastAsia"/>
        </w:rPr>
        <w:t>4可选的方案</w:t>
      </w:r>
      <w:r>
        <w:tab/>
      </w:r>
      <w:r>
        <w:fldChar w:fldCharType="begin"/>
      </w:r>
      <w:r>
        <w:instrText xml:space="preserve"> PAGEREF _Toc17350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_Toc4041 </w:instrText>
      </w:r>
      <w:r>
        <w:fldChar w:fldCharType="separate"/>
      </w:r>
      <w:r>
        <w:rPr>
          <w:rFonts w:hint="eastAsia"/>
        </w:rPr>
        <w:t>4.1原有方案的优缺点、局限性及存在的问题</w:t>
      </w:r>
      <w:r>
        <w:tab/>
      </w:r>
      <w:r>
        <w:fldChar w:fldCharType="begin"/>
      </w:r>
      <w:r>
        <w:instrText xml:space="preserve"> PAGEREF _Toc4041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_Toc3913 </w:instrText>
      </w:r>
      <w:r>
        <w:fldChar w:fldCharType="separate"/>
      </w:r>
      <w:r>
        <w:rPr>
          <w:rFonts w:hint="eastAsia"/>
        </w:rPr>
        <w:t>4.2可重用的系统，与要求之间的差距</w:t>
      </w:r>
      <w:r>
        <w:tab/>
      </w:r>
      <w:r>
        <w:fldChar w:fldCharType="begin"/>
      </w:r>
      <w:r>
        <w:instrText xml:space="preserve"> PAGEREF _Toc3913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_Toc19619 </w:instrText>
      </w:r>
      <w:r>
        <w:fldChar w:fldCharType="separate"/>
      </w:r>
      <w:r>
        <w:rPr>
          <w:rFonts w:hint="eastAsia"/>
        </w:rPr>
        <w:t>4.3可选择的系统方案1</w:t>
      </w:r>
      <w:r>
        <w:tab/>
      </w:r>
      <w:r>
        <w:fldChar w:fldCharType="begin"/>
      </w:r>
      <w:r>
        <w:instrText xml:space="preserve"> PAGEREF _Toc19619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_Toc28083 </w:instrText>
      </w:r>
      <w:r>
        <w:fldChar w:fldCharType="separate"/>
      </w:r>
      <w:r>
        <w:rPr>
          <w:rFonts w:hint="eastAsia"/>
        </w:rPr>
        <w:t>4.4可选择的系统方案2</w:t>
      </w:r>
      <w:r>
        <w:tab/>
      </w:r>
      <w:r>
        <w:fldChar w:fldCharType="begin"/>
      </w:r>
      <w:r>
        <w:instrText xml:space="preserve"> PAGEREF _Toc28083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_Toc6425 </w:instrText>
      </w:r>
      <w:r>
        <w:fldChar w:fldCharType="separate"/>
      </w:r>
      <w:r>
        <w:rPr>
          <w:rFonts w:hint="eastAsia"/>
        </w:rPr>
        <w:t>4.5选择最终方案的准则</w:t>
      </w:r>
      <w:r>
        <w:tab/>
      </w:r>
      <w:r>
        <w:fldChar w:fldCharType="begin"/>
      </w:r>
      <w:r>
        <w:instrText xml:space="preserve"> PAGEREF _Toc6425 \h </w:instrText>
      </w:r>
      <w:r>
        <w:fldChar w:fldCharType="separate"/>
      </w:r>
      <w:r>
        <w:t>11</w:t>
      </w:r>
      <w:r>
        <w:fldChar w:fldCharType="end"/>
      </w:r>
      <w:r>
        <w:fldChar w:fldCharType="end"/>
      </w:r>
    </w:p>
    <w:p>
      <w:pPr>
        <w:pStyle w:val="9"/>
        <w:tabs>
          <w:tab w:val="right" w:leader="dot" w:pos="8306"/>
          <w:tab w:val="clear" w:pos="8296"/>
        </w:tabs>
      </w:pPr>
      <w:r>
        <w:fldChar w:fldCharType="begin"/>
      </w:r>
      <w:r>
        <w:instrText xml:space="preserve"> HYPERLINK \l _Toc23891 </w:instrText>
      </w:r>
      <w:r>
        <w:fldChar w:fldCharType="separate"/>
      </w:r>
      <w:r>
        <w:rPr>
          <w:rFonts w:hint="eastAsia"/>
        </w:rPr>
        <w:t>5所建议的系统</w:t>
      </w:r>
      <w:r>
        <w:tab/>
      </w:r>
      <w:r>
        <w:fldChar w:fldCharType="begin"/>
      </w:r>
      <w:r>
        <w:instrText xml:space="preserve"> PAGEREF _Toc23891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_Toc9940 </w:instrText>
      </w:r>
      <w:r>
        <w:fldChar w:fldCharType="separate"/>
      </w:r>
      <w:r>
        <w:rPr>
          <w:rFonts w:hint="eastAsia"/>
        </w:rPr>
        <w:t>5.1对所建议的系统的说明</w:t>
      </w:r>
      <w:r>
        <w:tab/>
      </w:r>
      <w:r>
        <w:fldChar w:fldCharType="begin"/>
      </w:r>
      <w:r>
        <w:instrText xml:space="preserve"> PAGEREF _Toc9940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_Toc2938 </w:instrText>
      </w:r>
      <w:r>
        <w:fldChar w:fldCharType="separate"/>
      </w:r>
      <w:r>
        <w:rPr>
          <w:rFonts w:hint="eastAsia"/>
        </w:rPr>
        <w:t>5.2数据流程和处理流程</w:t>
      </w:r>
      <w:r>
        <w:tab/>
      </w:r>
      <w:r>
        <w:fldChar w:fldCharType="begin"/>
      </w:r>
      <w:r>
        <w:instrText xml:space="preserve"> PAGEREF _Toc2938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_Toc20222 </w:instrText>
      </w:r>
      <w:r>
        <w:fldChar w:fldCharType="separate"/>
      </w:r>
      <w:r>
        <w:rPr>
          <w:rFonts w:hint="eastAsia"/>
        </w:rPr>
        <w:t>5.3与原系统的比较(若有原系统)</w:t>
      </w:r>
      <w:r>
        <w:tab/>
      </w:r>
      <w:r>
        <w:fldChar w:fldCharType="begin"/>
      </w:r>
      <w:r>
        <w:instrText xml:space="preserve"> PAGEREF _Toc20222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_Toc20797 </w:instrText>
      </w:r>
      <w:r>
        <w:fldChar w:fldCharType="separate"/>
      </w:r>
      <w:r>
        <w:rPr>
          <w:rFonts w:hint="eastAsia"/>
        </w:rPr>
        <w:t>5.4影响(或要求)</w:t>
      </w:r>
      <w:r>
        <w:tab/>
      </w:r>
      <w:r>
        <w:fldChar w:fldCharType="begin"/>
      </w:r>
      <w:r>
        <w:instrText xml:space="preserve"> PAGEREF _Toc20797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_Toc16525 </w:instrText>
      </w:r>
      <w:r>
        <w:fldChar w:fldCharType="separate"/>
      </w:r>
      <w:r>
        <w:rPr>
          <w:rFonts w:hint="eastAsia"/>
        </w:rPr>
        <w:t>5.4.1设备</w:t>
      </w:r>
      <w:r>
        <w:tab/>
      </w:r>
      <w:r>
        <w:fldChar w:fldCharType="begin"/>
      </w:r>
      <w:r>
        <w:instrText xml:space="preserve"> PAGEREF _Toc16525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_Toc15148 </w:instrText>
      </w:r>
      <w:r>
        <w:fldChar w:fldCharType="separate"/>
      </w:r>
      <w:r>
        <w:rPr>
          <w:rFonts w:hint="eastAsia"/>
        </w:rPr>
        <w:t>5.4.2软件</w:t>
      </w:r>
      <w:r>
        <w:tab/>
      </w:r>
      <w:r>
        <w:fldChar w:fldCharType="begin"/>
      </w:r>
      <w:r>
        <w:instrText xml:space="preserve"> PAGEREF _Toc15148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_Toc12688 </w:instrText>
      </w:r>
      <w:r>
        <w:fldChar w:fldCharType="separate"/>
      </w:r>
      <w:r>
        <w:rPr>
          <w:rFonts w:hint="eastAsia"/>
        </w:rPr>
        <w:t>5.4.3运行</w:t>
      </w:r>
      <w:r>
        <w:tab/>
      </w:r>
      <w:r>
        <w:fldChar w:fldCharType="begin"/>
      </w:r>
      <w:r>
        <w:instrText xml:space="preserve"> PAGEREF _Toc12688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_Toc7115 </w:instrText>
      </w:r>
      <w:r>
        <w:fldChar w:fldCharType="separate"/>
      </w:r>
      <w:r>
        <w:rPr>
          <w:rFonts w:hint="eastAsia"/>
        </w:rPr>
        <w:t>5.4.4开发</w:t>
      </w:r>
      <w:r>
        <w:tab/>
      </w:r>
      <w:r>
        <w:fldChar w:fldCharType="begin"/>
      </w:r>
      <w:r>
        <w:instrText xml:space="preserve"> PAGEREF _Toc7115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_Toc13391 </w:instrText>
      </w:r>
      <w:r>
        <w:fldChar w:fldCharType="separate"/>
      </w:r>
      <w:r>
        <w:rPr>
          <w:rFonts w:hint="eastAsia"/>
        </w:rPr>
        <w:t>5.4.5环境</w:t>
      </w:r>
      <w:r>
        <w:tab/>
      </w:r>
      <w:r>
        <w:fldChar w:fldCharType="begin"/>
      </w:r>
      <w:r>
        <w:instrText xml:space="preserve"> PAGEREF _Toc13391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_Toc26326 </w:instrText>
      </w:r>
      <w:r>
        <w:fldChar w:fldCharType="separate"/>
      </w:r>
      <w:r>
        <w:rPr>
          <w:rFonts w:hint="eastAsia"/>
        </w:rPr>
        <w:t>5.4.6经费</w:t>
      </w:r>
      <w:r>
        <w:tab/>
      </w:r>
      <w:r>
        <w:fldChar w:fldCharType="begin"/>
      </w:r>
      <w:r>
        <w:instrText xml:space="preserve"> PAGEREF _Toc26326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_Toc5626 </w:instrText>
      </w:r>
      <w:r>
        <w:fldChar w:fldCharType="separate"/>
      </w:r>
      <w:r>
        <w:rPr>
          <w:rFonts w:hint="eastAsia"/>
        </w:rPr>
        <w:t>5.5局限性</w:t>
      </w:r>
      <w:r>
        <w:tab/>
      </w:r>
      <w:r>
        <w:fldChar w:fldCharType="begin"/>
      </w:r>
      <w:r>
        <w:instrText xml:space="preserve"> PAGEREF _Toc5626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_Toc17297 </w:instrText>
      </w:r>
      <w:r>
        <w:fldChar w:fldCharType="separate"/>
      </w:r>
      <w:r>
        <w:rPr>
          <w:rFonts w:hint="eastAsia"/>
        </w:rPr>
        <w:t>6.1投资</w:t>
      </w:r>
      <w:r>
        <w:tab/>
      </w:r>
      <w:r>
        <w:fldChar w:fldCharType="begin"/>
      </w:r>
      <w:r>
        <w:instrText xml:space="preserve"> PAGEREF _Toc17297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_Toc7223 </w:instrText>
      </w:r>
      <w:r>
        <w:fldChar w:fldCharType="separate"/>
      </w:r>
      <w:r>
        <w:rPr>
          <w:rFonts w:hint="eastAsia"/>
          <w:bCs/>
          <w:szCs w:val="32"/>
        </w:rPr>
        <w:t>6.1.1基本建设投资</w:t>
      </w:r>
      <w:r>
        <w:tab/>
      </w:r>
      <w:r>
        <w:fldChar w:fldCharType="begin"/>
      </w:r>
      <w:r>
        <w:instrText xml:space="preserve"> PAGEREF _Toc7223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_Toc30388 </w:instrText>
      </w:r>
      <w:r>
        <w:fldChar w:fldCharType="separate"/>
      </w:r>
      <w:r>
        <w:rPr>
          <w:rFonts w:hint="eastAsia"/>
          <w:bCs/>
          <w:szCs w:val="32"/>
        </w:rPr>
        <w:t>6.1.2一次性和非一次性投资</w:t>
      </w:r>
      <w:r>
        <w:tab/>
      </w:r>
      <w:r>
        <w:fldChar w:fldCharType="begin"/>
      </w:r>
      <w:r>
        <w:instrText xml:space="preserve"> PAGEREF _Toc30388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_Toc24539 </w:instrText>
      </w:r>
      <w:r>
        <w:fldChar w:fldCharType="separate"/>
      </w:r>
      <w:r>
        <w:rPr>
          <w:rFonts w:hint="eastAsia"/>
          <w:bCs/>
          <w:szCs w:val="32"/>
        </w:rPr>
        <w:t>6.1.3总体投资</w:t>
      </w:r>
      <w:r>
        <w:tab/>
      </w:r>
      <w:r>
        <w:fldChar w:fldCharType="begin"/>
      </w:r>
      <w:r>
        <w:instrText xml:space="preserve"> PAGEREF _Toc24539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_Toc2238 </w:instrText>
      </w:r>
      <w:r>
        <w:fldChar w:fldCharType="separate"/>
      </w:r>
      <w:r>
        <w:rPr>
          <w:rFonts w:hint="eastAsia"/>
        </w:rPr>
        <w:t>6.2预期的经济效益</w:t>
      </w:r>
      <w:r>
        <w:tab/>
      </w:r>
      <w:r>
        <w:fldChar w:fldCharType="begin"/>
      </w:r>
      <w:r>
        <w:instrText xml:space="preserve"> PAGEREF _Toc2238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_Toc13953 </w:instrText>
      </w:r>
      <w:r>
        <w:fldChar w:fldCharType="separate"/>
      </w:r>
      <w:r>
        <w:rPr>
          <w:rFonts w:hint="eastAsia"/>
        </w:rPr>
        <w:t>6.2.1一次性收益</w:t>
      </w:r>
      <w:r>
        <w:tab/>
      </w:r>
      <w:r>
        <w:fldChar w:fldCharType="begin"/>
      </w:r>
      <w:r>
        <w:instrText xml:space="preserve"> PAGEREF _Toc13953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_Toc29603 </w:instrText>
      </w:r>
      <w:r>
        <w:fldChar w:fldCharType="separate"/>
      </w:r>
      <w:r>
        <w:rPr>
          <w:rFonts w:hint="eastAsia"/>
        </w:rPr>
        <w:t>6.2.2非一次性收益</w:t>
      </w:r>
      <w:r>
        <w:tab/>
      </w:r>
      <w:r>
        <w:fldChar w:fldCharType="begin"/>
      </w:r>
      <w:r>
        <w:instrText xml:space="preserve"> PAGEREF _Toc29603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_Toc27116 </w:instrText>
      </w:r>
      <w:r>
        <w:fldChar w:fldCharType="separate"/>
      </w:r>
      <w:r>
        <w:rPr>
          <w:rFonts w:hint="eastAsia"/>
        </w:rPr>
        <w:t>6.2.3不可定量的收益</w:t>
      </w:r>
      <w:r>
        <w:tab/>
      </w:r>
      <w:r>
        <w:fldChar w:fldCharType="begin"/>
      </w:r>
      <w:r>
        <w:instrText xml:space="preserve"> PAGEREF _Toc27116 \h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_Toc15161 </w:instrText>
      </w:r>
      <w:r>
        <w:fldChar w:fldCharType="separate"/>
      </w:r>
      <w:r>
        <w:rPr>
          <w:rFonts w:hint="eastAsia"/>
        </w:rPr>
        <w:t>6.2.4收益/投资比</w:t>
      </w:r>
      <w:r>
        <w:tab/>
      </w:r>
      <w:r>
        <w:fldChar w:fldCharType="begin"/>
      </w:r>
      <w:r>
        <w:instrText xml:space="preserve"> PAGEREF _Toc15161 \h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_Toc13132 </w:instrText>
      </w:r>
      <w:r>
        <w:fldChar w:fldCharType="separate"/>
      </w:r>
      <w:r>
        <w:rPr>
          <w:rFonts w:hint="eastAsia"/>
        </w:rPr>
        <w:t>6.2.5投资回收周期</w:t>
      </w:r>
      <w:r>
        <w:tab/>
      </w:r>
      <w:r>
        <w:fldChar w:fldCharType="begin"/>
      </w:r>
      <w:r>
        <w:instrText xml:space="preserve"> PAGEREF _Toc13132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_Toc11733 </w:instrText>
      </w:r>
      <w:r>
        <w:fldChar w:fldCharType="separate"/>
      </w:r>
      <w:r>
        <w:rPr>
          <w:rFonts w:hint="eastAsia"/>
        </w:rPr>
        <w:t>6.3市场预测</w:t>
      </w:r>
      <w:r>
        <w:tab/>
      </w:r>
      <w:r>
        <w:fldChar w:fldCharType="begin"/>
      </w:r>
      <w:r>
        <w:instrText xml:space="preserve"> PAGEREF _Toc11733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_Toc25058 </w:instrText>
      </w:r>
      <w:r>
        <w:fldChar w:fldCharType="separate"/>
      </w:r>
      <w:r>
        <w:rPr>
          <w:rFonts w:hint="eastAsia"/>
          <w:bCs/>
          <w:szCs w:val="32"/>
        </w:rPr>
        <w:t>6.3.1市场概况</w:t>
      </w:r>
      <w:r>
        <w:tab/>
      </w:r>
      <w:r>
        <w:fldChar w:fldCharType="begin"/>
      </w:r>
      <w:r>
        <w:instrText xml:space="preserve"> PAGEREF _Toc25058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_Toc14063 </w:instrText>
      </w:r>
      <w:r>
        <w:fldChar w:fldCharType="separate"/>
      </w:r>
      <w:r>
        <w:rPr>
          <w:rFonts w:hint="eastAsia"/>
          <w:bCs/>
          <w:szCs w:val="32"/>
        </w:rPr>
        <w:t>6.3.2市场需求分析</w:t>
      </w:r>
      <w:r>
        <w:tab/>
      </w:r>
      <w:r>
        <w:fldChar w:fldCharType="begin"/>
      </w:r>
      <w:r>
        <w:instrText xml:space="preserve"> PAGEREF _Toc14063 \h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_Toc3996 </w:instrText>
      </w:r>
      <w:r>
        <w:fldChar w:fldCharType="separate"/>
      </w:r>
      <w:r>
        <w:rPr>
          <w:rFonts w:hint="eastAsia"/>
          <w:bCs/>
          <w:szCs w:val="32"/>
        </w:rPr>
        <w:t>6.3.3市场环境分析</w:t>
      </w:r>
      <w:r>
        <w:tab/>
      </w:r>
      <w:r>
        <w:fldChar w:fldCharType="begin"/>
      </w:r>
      <w:r>
        <w:instrText xml:space="preserve"> PAGEREF _Toc3996 \h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_Toc15304 </w:instrText>
      </w:r>
      <w:r>
        <w:fldChar w:fldCharType="separate"/>
      </w:r>
      <w:r>
        <w:rPr>
          <w:rFonts w:hint="eastAsia"/>
          <w:bCs/>
          <w:szCs w:val="32"/>
        </w:rPr>
        <w:t>6.3.3市场预测分析</w:t>
      </w:r>
      <w:r>
        <w:tab/>
      </w:r>
      <w:r>
        <w:fldChar w:fldCharType="begin"/>
      </w:r>
      <w:r>
        <w:instrText xml:space="preserve"> PAGEREF _Toc15304 \h </w:instrText>
      </w:r>
      <w:r>
        <w:fldChar w:fldCharType="separate"/>
      </w:r>
      <w:r>
        <w:t>20</w:t>
      </w:r>
      <w:r>
        <w:fldChar w:fldCharType="end"/>
      </w:r>
      <w:r>
        <w:fldChar w:fldCharType="end"/>
      </w:r>
    </w:p>
    <w:p>
      <w:pPr>
        <w:pStyle w:val="9"/>
        <w:tabs>
          <w:tab w:val="right" w:leader="dot" w:pos="8306"/>
          <w:tab w:val="clear" w:pos="8296"/>
        </w:tabs>
      </w:pPr>
      <w:r>
        <w:fldChar w:fldCharType="begin"/>
      </w:r>
      <w:r>
        <w:instrText xml:space="preserve"> HYPERLINK \l _Toc7062 </w:instrText>
      </w:r>
      <w:r>
        <w:fldChar w:fldCharType="separate"/>
      </w:r>
      <w:r>
        <w:rPr>
          <w:rFonts w:hint="eastAsia"/>
        </w:rPr>
        <w:t>7技术可行性(技术风险评价)</w:t>
      </w:r>
      <w:r>
        <w:tab/>
      </w:r>
      <w:r>
        <w:fldChar w:fldCharType="begin"/>
      </w:r>
      <w:r>
        <w:instrText xml:space="preserve"> PAGEREF _Toc7062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_Toc31339 </w:instrText>
      </w:r>
      <w:r>
        <w:fldChar w:fldCharType="separate"/>
      </w:r>
      <w:r>
        <w:rPr>
          <w:rFonts w:hint="eastAsia"/>
        </w:rPr>
        <w:t>7.1.1 概述</w:t>
      </w:r>
      <w:r>
        <w:tab/>
      </w:r>
      <w:r>
        <w:fldChar w:fldCharType="begin"/>
      </w:r>
      <w:r>
        <w:instrText xml:space="preserve"> PAGEREF _Toc31339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_Toc8613 </w:instrText>
      </w:r>
      <w:r>
        <w:fldChar w:fldCharType="separate"/>
      </w:r>
      <w:r>
        <w:rPr>
          <w:rFonts w:hint="eastAsia"/>
        </w:rPr>
        <w:t>7.1.2 前端</w:t>
      </w:r>
      <w:r>
        <w:tab/>
      </w:r>
      <w:r>
        <w:fldChar w:fldCharType="begin"/>
      </w:r>
      <w:r>
        <w:instrText xml:space="preserve"> PAGEREF _Toc8613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_Toc25977 </w:instrText>
      </w:r>
      <w:r>
        <w:fldChar w:fldCharType="separate"/>
      </w:r>
      <w:r>
        <w:rPr>
          <w:rFonts w:hint="eastAsia"/>
        </w:rPr>
        <w:t>7.1.3 后端</w:t>
      </w:r>
      <w:r>
        <w:tab/>
      </w:r>
      <w:r>
        <w:fldChar w:fldCharType="begin"/>
      </w:r>
      <w:r>
        <w:instrText xml:space="preserve"> PAGEREF _Toc25977 \h </w:instrText>
      </w:r>
      <w:r>
        <w:fldChar w:fldCharType="separate"/>
      </w:r>
      <w:r>
        <w:t>22</w:t>
      </w:r>
      <w:r>
        <w:fldChar w:fldCharType="end"/>
      </w:r>
      <w:r>
        <w:fldChar w:fldCharType="end"/>
      </w:r>
    </w:p>
    <w:p>
      <w:pPr>
        <w:pStyle w:val="9"/>
        <w:tabs>
          <w:tab w:val="right" w:leader="dot" w:pos="8306"/>
          <w:tab w:val="clear" w:pos="8296"/>
        </w:tabs>
      </w:pPr>
      <w:r>
        <w:fldChar w:fldCharType="begin"/>
      </w:r>
      <w:r>
        <w:instrText xml:space="preserve"> HYPERLINK \l _Toc8035 </w:instrText>
      </w:r>
      <w:r>
        <w:fldChar w:fldCharType="separate"/>
      </w:r>
      <w:r>
        <w:rPr>
          <w:rFonts w:hint="eastAsia"/>
        </w:rPr>
        <w:t>8法律可行性</w:t>
      </w:r>
      <w:r>
        <w:tab/>
      </w:r>
      <w:r>
        <w:fldChar w:fldCharType="begin"/>
      </w:r>
      <w:r>
        <w:instrText xml:space="preserve"> PAGEREF _Toc8035 \h </w:instrText>
      </w:r>
      <w:r>
        <w:fldChar w:fldCharType="separate"/>
      </w:r>
      <w:r>
        <w:t>22</w:t>
      </w:r>
      <w:r>
        <w:fldChar w:fldCharType="end"/>
      </w:r>
      <w:r>
        <w:fldChar w:fldCharType="end"/>
      </w:r>
    </w:p>
    <w:p>
      <w:pPr>
        <w:pStyle w:val="9"/>
        <w:tabs>
          <w:tab w:val="right" w:leader="dot" w:pos="8306"/>
          <w:tab w:val="clear" w:pos="8296"/>
        </w:tabs>
      </w:pPr>
      <w:r>
        <w:fldChar w:fldCharType="begin"/>
      </w:r>
      <w:r>
        <w:instrText xml:space="preserve"> HYPERLINK \l _Toc2983 </w:instrText>
      </w:r>
      <w:r>
        <w:fldChar w:fldCharType="separate"/>
      </w:r>
      <w:r>
        <w:rPr>
          <w:rFonts w:hint="eastAsia"/>
        </w:rPr>
        <w:t>9用户使用可行性</w:t>
      </w:r>
      <w:r>
        <w:tab/>
      </w:r>
      <w:r>
        <w:fldChar w:fldCharType="begin"/>
      </w:r>
      <w:r>
        <w:instrText xml:space="preserve"> PAGEREF _Toc2983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_Toc14919 </w:instrText>
      </w:r>
      <w:r>
        <w:fldChar w:fldCharType="separate"/>
      </w:r>
      <w:r>
        <w:rPr>
          <w:rFonts w:hint="eastAsia"/>
        </w:rPr>
        <w:t>9.1 基本素养</w:t>
      </w:r>
      <w:r>
        <w:tab/>
      </w:r>
      <w:r>
        <w:fldChar w:fldCharType="begin"/>
      </w:r>
      <w:r>
        <w:instrText xml:space="preserve"> PAGEREF _Toc14919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_Toc20437 </w:instrText>
      </w:r>
      <w:r>
        <w:fldChar w:fldCharType="separate"/>
      </w:r>
      <w:r>
        <w:rPr>
          <w:rFonts w:hint="eastAsia"/>
        </w:rPr>
        <w:t>9.2 提升素养</w:t>
      </w:r>
      <w:r>
        <w:tab/>
      </w:r>
      <w:r>
        <w:fldChar w:fldCharType="begin"/>
      </w:r>
      <w:r>
        <w:instrText xml:space="preserve"> PAGEREF _Toc20437 \h </w:instrText>
      </w:r>
      <w:r>
        <w:fldChar w:fldCharType="separate"/>
      </w:r>
      <w:r>
        <w:t>23</w:t>
      </w:r>
      <w:r>
        <w:fldChar w:fldCharType="end"/>
      </w:r>
      <w:r>
        <w:fldChar w:fldCharType="end"/>
      </w:r>
    </w:p>
    <w:p>
      <w:pPr>
        <w:ind w:firstLine="420"/>
      </w:pPr>
      <w:r>
        <w:fldChar w:fldCharType="end"/>
      </w:r>
    </w:p>
    <w:p>
      <w:r>
        <w:br w:type="page"/>
      </w:r>
      <w:bookmarkStart w:id="182" w:name="_GoBack"/>
      <w:bookmarkEnd w:id="182"/>
    </w:p>
    <w:p>
      <w:pPr>
        <w:pStyle w:val="2"/>
      </w:pPr>
      <w:bookmarkStart w:id="0" w:name="_Toc235842518"/>
      <w:bookmarkStart w:id="1" w:name="_Toc235938030"/>
      <w:bookmarkStart w:id="2" w:name="_Toc235842270"/>
      <w:bookmarkStart w:id="3" w:name="_Toc8229"/>
      <w:bookmarkStart w:id="4" w:name="_Toc235842547"/>
      <w:bookmarkStart w:id="5" w:name="_Toc235938059"/>
      <w:bookmarkStart w:id="6" w:name="_Toc235842299"/>
      <w:r>
        <w:rPr>
          <w:rFonts w:hint="eastAsia"/>
        </w:rPr>
        <w:t>1引言</w:t>
      </w:r>
      <w:bookmarkEnd w:id="0"/>
      <w:bookmarkEnd w:id="1"/>
      <w:bookmarkEnd w:id="2"/>
      <w:bookmarkEnd w:id="3"/>
    </w:p>
    <w:p>
      <w:pPr>
        <w:pStyle w:val="3"/>
      </w:pPr>
      <w:bookmarkStart w:id="7" w:name="_Toc235842519"/>
      <w:bookmarkStart w:id="8" w:name="_Toc235842271"/>
      <w:bookmarkStart w:id="9" w:name="_Toc235938031"/>
      <w:bookmarkStart w:id="10" w:name="_Toc26192"/>
      <w:r>
        <w:rPr>
          <w:rFonts w:hint="eastAsia"/>
        </w:rPr>
        <w:t>1.1标识</w:t>
      </w:r>
      <w:bookmarkEnd w:id="7"/>
      <w:bookmarkEnd w:id="8"/>
      <w:bookmarkEnd w:id="9"/>
      <w:bookmarkEnd w:id="10"/>
    </w:p>
    <w:p>
      <w:pPr>
        <w:ind w:firstLine="0" w:firstLineChars="0"/>
      </w:pPr>
      <w:bookmarkStart w:id="11" w:name="_Toc235842272"/>
      <w:bookmarkStart w:id="12" w:name="_Toc235842520"/>
      <w:bookmarkStart w:id="13" w:name="_Toc235938032"/>
      <w:r>
        <w:rPr>
          <w:rFonts w:hint="eastAsia"/>
        </w:rPr>
        <w:t>软件名称：LearnLark</w:t>
      </w:r>
    </w:p>
    <w:p>
      <w:pPr>
        <w:ind w:firstLine="0" w:firstLineChars="0"/>
      </w:pPr>
      <w:r>
        <w:rPr>
          <w:rFonts w:hint="eastAsia"/>
        </w:rPr>
        <w:t>标题：LearnLark软件</w:t>
      </w:r>
    </w:p>
    <w:p>
      <w:pPr>
        <w:ind w:firstLine="0" w:firstLineChars="0"/>
      </w:pPr>
      <w:r>
        <w:rPr>
          <w:rFonts w:hint="eastAsia"/>
        </w:rPr>
        <w:t>缩略词语：LL</w:t>
      </w:r>
    </w:p>
    <w:p>
      <w:pPr>
        <w:ind w:firstLine="0" w:firstLineChars="0"/>
      </w:pPr>
      <w:r>
        <w:rPr>
          <w:rFonts w:hint="eastAsia"/>
        </w:rPr>
        <w:t>版本号：</w:t>
      </w:r>
    </w:p>
    <w:p>
      <w:pPr>
        <w:ind w:firstLine="420" w:firstLineChars="0"/>
      </w:pPr>
      <w:r>
        <w:rPr>
          <w:rFonts w:hint="eastAsia"/>
        </w:rPr>
        <w:t>内部测试版采用1.0以下版本号，公共测试版采用1.0到2.0之间的版本号，发行版采用2.0以上。小数点前数字表示主版本号，小数点后的第二位的是副版本号，表示在当前主版本的基础上又提供了一些功能扩充和完善，第三位，表示当前版本的修正，就是在当前主副版本的基础上发布第几次修复bug的版本。例如0.2.1表示内部测试的第二个副版本，并进行了一次bug修复。</w:t>
      </w:r>
    </w:p>
    <w:p>
      <w:pPr>
        <w:ind w:firstLine="0" w:firstLineChars="0"/>
      </w:pPr>
      <w:r>
        <w:rPr>
          <w:rFonts w:hint="eastAsia"/>
        </w:rPr>
        <w:t>发行号：</w:t>
      </w:r>
    </w:p>
    <w:p>
      <w:pPr>
        <w:ind w:firstLine="420" w:firstLineChars="0"/>
      </w:pPr>
      <w:r>
        <w:rPr>
          <w:rFonts w:hint="eastAsia"/>
        </w:rPr>
        <w:t>Alpha（α）：内部测试版，α是希腊字母的第一个，表示最早的版本，内部交流或者专业测试人员测试用，Bug较多，普通用户不需要安装。</w:t>
      </w:r>
    </w:p>
    <w:p>
      <w:pPr>
        <w:ind w:firstLine="420" w:firstLineChars="0"/>
      </w:pPr>
      <w:r>
        <w:rPr>
          <w:rFonts w:hint="eastAsia"/>
        </w:rPr>
        <w:t>Beta（β）：公开测试版，β是希腊字母的第二个，这个版本比alpha版发布晚一些，专业爱好者或者忠诚用户大规模测试用，存在一些缺陷，该版本也不适合一般用户安装。</w:t>
      </w:r>
    </w:p>
    <w:p>
      <w:pPr>
        <w:ind w:firstLine="420" w:firstLineChars="0"/>
      </w:pPr>
      <w:r>
        <w:rPr>
          <w:rFonts w:hint="eastAsia"/>
        </w:rPr>
        <w:t>Release：这个标识正式发行版本，一般是由RC版本而来。表示经过测试，正式发布的版本，属于可靠稳定的版本。</w:t>
      </w:r>
    </w:p>
    <w:p>
      <w:pPr>
        <w:pStyle w:val="3"/>
      </w:pPr>
      <w:bookmarkStart w:id="14" w:name="_Toc24701"/>
      <w:r>
        <w:rPr>
          <w:rFonts w:hint="eastAsia"/>
        </w:rPr>
        <w:t>1.2背景</w:t>
      </w:r>
      <w:bookmarkEnd w:id="11"/>
      <w:bookmarkEnd w:id="12"/>
      <w:bookmarkEnd w:id="13"/>
      <w:bookmarkEnd w:id="14"/>
    </w:p>
    <w:p>
      <w:pPr>
        <w:ind w:firstLine="420" w:firstLineChars="0"/>
      </w:pPr>
      <w:bookmarkStart w:id="15" w:name="_Toc235842521"/>
      <w:bookmarkStart w:id="16" w:name="_Toc235938033"/>
      <w:bookmarkStart w:id="17" w:name="_Toc235842273"/>
      <w:r>
        <w:rPr>
          <w:rFonts w:hint="eastAsia"/>
        </w:rPr>
        <w:t>随着大数据技术的飞速发展，以Open AI大模型为代表的机器学习技术在全球范围内引发了巨大的变革。Open AI的GPT模式，这一基于海量语料数据训练的强大工具，能够生成与人类自然语言高度相似的文本。GPT的出色表现不仅限于文本生成，更扩展到了代码生成、视频制作、文本问答、图像生成、论文写作、影视创作以及科学实验设计等多个领域，这些原本被认为是人类独有的技能。</w:t>
      </w:r>
    </w:p>
    <w:p>
      <w:pPr>
        <w:ind w:firstLine="420" w:firstLineChars="0"/>
      </w:pPr>
      <w:r>
        <w:rPr>
          <w:rFonts w:hint="eastAsia"/>
        </w:rPr>
        <w:t>然而，GPT的功能仅仅是深度学习应用的一个缩影。深度学习在图像处理、推荐系统、算法决策和语音识别等领域同样展现出了令人瞩目的应用潜力。其卓越的性能和广泛的适用性使得深度学习成为了当代科技发展的重要驱动力。</w:t>
      </w:r>
    </w:p>
    <w:p>
      <w:pPr>
        <w:ind w:firstLine="420" w:firstLineChars="0"/>
      </w:pPr>
      <w:r>
        <w:rPr>
          <w:rFonts w:hint="eastAsia"/>
        </w:rPr>
        <w:t>鉴于深度学习的强大优势，我们的研发组进行了深入调查与探讨，认识到将深度学习技术引入传统学习软件中的必要性。传统的学习软件受限于固定的算法，难以实现个性化学习、精准效果评估等需求，而且容易使学生感到枯燥无味。因此，我们决定开发一款基于深度学习的中小学生课程学习教育平台，旨在为学生提供全面而高效的学习支持与管理服务。</w:t>
      </w:r>
    </w:p>
    <w:p>
      <w:pPr>
        <w:ind w:firstLine="0" w:firstLineChars="0"/>
      </w:pPr>
      <w:r>
        <w:rPr>
          <w:rFonts w:hint="eastAsia"/>
        </w:rPr>
        <w:t>这</w:t>
      </w:r>
      <w:r>
        <w:rPr>
          <w:rFonts w:hint="eastAsia"/>
        </w:rPr>
        <w:tab/>
      </w:r>
      <w:r>
        <w:rPr>
          <w:rFonts w:hint="eastAsia"/>
        </w:rPr>
        <w:t>款教育平台将充分利用深度学习的优势，实现个性化学习资源推荐、学习进度跟踪、游戏化学习等多样化功能。首先，通过深度分析学生的学习习惯、兴趣爱好和学习进度，平台能够为学生推荐最适合的学习资源，从而满足不同学生的个性化需求。其次，平台可以实时跟踪学生的学习进度，为教师提供详细的学生学习报告，帮助他们更好地指导学生学习。最后，通过引入游戏化学习元素，平台能够激发学生的学习兴趣，使学习过程更加轻松愉快。</w:t>
      </w:r>
    </w:p>
    <w:p>
      <w:pPr>
        <w:ind w:firstLine="0" w:firstLineChars="0"/>
      </w:pPr>
      <w:r>
        <w:rPr>
          <w:rFonts w:hint="eastAsia"/>
        </w:rPr>
        <w:t>此外，我们还将不断优化算法，提高平台的推荐准确性和学习效果评估的精准度。</w:t>
      </w:r>
    </w:p>
    <w:p>
      <w:pPr>
        <w:pStyle w:val="3"/>
      </w:pPr>
      <w:bookmarkStart w:id="18" w:name="_Toc21404"/>
      <w:r>
        <w:rPr>
          <w:rFonts w:hint="eastAsia"/>
        </w:rPr>
        <w:t>1.3项目概述</w:t>
      </w:r>
      <w:bookmarkEnd w:id="15"/>
      <w:bookmarkEnd w:id="16"/>
      <w:bookmarkEnd w:id="17"/>
      <w:bookmarkEnd w:id="18"/>
    </w:p>
    <w:p>
      <w:pPr>
        <w:ind w:firstLine="420"/>
      </w:pPr>
      <w:bookmarkStart w:id="19" w:name="_Toc235938034"/>
      <w:bookmarkStart w:id="20" w:name="_Toc235842522"/>
      <w:bookmarkStart w:id="21" w:name="_Toc235842274"/>
      <w:r>
        <w:rPr>
          <w:rFonts w:hint="eastAsia"/>
        </w:rPr>
        <w:t>本项目是一款精心打造的课程学习教育平台，专门为中小学生量身定制，力求为学生、教师和家长提供一站式的学习支持和管理服务。我们的愿景是帮助学生更高效地学习，提升学习成绩，培养他们的自主学习能力和终身学习意识。</w:t>
      </w:r>
    </w:p>
    <w:p>
      <w:pPr>
        <w:ind w:firstLine="420"/>
      </w:pPr>
      <w:r>
        <w:rPr>
          <w:rFonts w:hint="eastAsia"/>
        </w:rPr>
        <w:t>在平台的功能设置上，我们充分考虑了学生的学习需求和成长路径。平台将集成个性化课程推荐功能，通过智能算法分析学生的学习习惯和成绩表现，为他们推荐合适的课程和学习资源。同时，平台还提供了多元化的学习资源，包括各类课程视频、习题库、模拟考试等，以满足学生不同学科和不同层次的学习需求。</w:t>
      </w:r>
    </w:p>
    <w:p>
      <w:pPr>
        <w:ind w:firstLine="420"/>
      </w:pPr>
      <w:r>
        <w:rPr>
          <w:rFonts w:hint="eastAsia"/>
        </w:rPr>
        <w:t>除了学习资源，平台还具备学习进度跟踪功能，帮助学生和家长实时了解学生的学习情况，及时调整学习计划和策略。此外，我们还特别设置了互动讨论社区，鼓励学生之间互相交流、分享学习心得和解题技巧，形成良好的学习氛围。</w:t>
      </w:r>
    </w:p>
    <w:p>
      <w:pPr>
        <w:ind w:firstLine="420"/>
      </w:pPr>
      <w:r>
        <w:rPr>
          <w:rFonts w:hint="eastAsia"/>
        </w:rPr>
        <w:t>在技术实现上，本项目采用了先进的前后端技术栈。前端采用Vue.js框架和Vite构建工具，保证了页面的响应速度和用户体验；后端则采用FastAPI框架和LangChain技术，确保数据处理的高效性和准确性。同时，我们还利用Electron桌面应用程序框架，实现了平台的跨平台支持，让学生可以在电脑、平板和手机等多种设备上使用。</w:t>
      </w:r>
    </w:p>
    <w:p>
      <w:pPr>
        <w:ind w:firstLine="420"/>
      </w:pPr>
      <w:r>
        <w:rPr>
          <w:rFonts w:hint="eastAsia"/>
        </w:rPr>
        <w:t>在项目的组织结构上，投资方为小组成员自行投资，需方为中小学生，用户包括学生、教师和家长。目前，开发方由小组成员组成，但我们也积极寻求与各类教育机构合作，共同推动项目的发展。当前，项目的运行现场主要集中在项目开发小组的内部环境，但未来我们计划将运行现场扩展至中小学校园和家庭用户，让更多的学生受益。</w:t>
      </w:r>
    </w:p>
    <w:p>
      <w:pPr>
        <w:ind w:firstLine="420"/>
      </w:pPr>
      <w:r>
        <w:rPr>
          <w:rFonts w:hint="eastAsia"/>
        </w:rPr>
        <w:t>在文档管理方面，我们已经制定了详细的需求规格说明书、设计文档、测试计划和用户手册等相关文档，以确保项目的开发和运营过程规范有序。这些文档不仅为我们提供了明确的项目规划和执行标准，同时也为用户提供了详细的使用指导和帮助。</w:t>
      </w:r>
    </w:p>
    <w:p>
      <w:pPr>
        <w:pStyle w:val="3"/>
      </w:pPr>
      <w:bookmarkStart w:id="22" w:name="_Toc15934"/>
      <w:r>
        <w:rPr>
          <w:rFonts w:hint="eastAsia"/>
        </w:rPr>
        <w:t>1.4文档概述</w:t>
      </w:r>
      <w:bookmarkEnd w:id="19"/>
      <w:bookmarkEnd w:id="20"/>
      <w:bookmarkEnd w:id="21"/>
      <w:bookmarkEnd w:id="22"/>
    </w:p>
    <w:p>
      <w:pPr>
        <w:ind w:firstLine="420"/>
      </w:pPr>
      <w:bookmarkStart w:id="23" w:name="_Toc235842275"/>
      <w:bookmarkStart w:id="24" w:name="_Toc235938035"/>
      <w:bookmarkStart w:id="25" w:name="_Toc235842523"/>
      <w:r>
        <w:rPr>
          <w:rFonts w:hint="eastAsia"/>
        </w:rPr>
        <w:t>本文档是一份关于软件可行性分析的文件，旨在评估项目的可行性。其中包括项目的要求、目标、环境、条件、假定、可选方案、所建议的系统、经济可行性、技术可行性、法律可行性、用户使用可行性等内容。在整个文档中，涉及的信息属于项目的敏感信息和商业机密，因此需要严格保密。只有项目相关人员可以查阅和访问该文档，未经授权的外部人员不得查看。在处理和存储文档时，必须采取适当的安全措施，包括加密、访问控制和安全存储，以确保文档的保密性和私密性不受到威胁。</w:t>
      </w:r>
    </w:p>
    <w:p>
      <w:pPr>
        <w:ind w:firstLine="420"/>
      </w:pPr>
      <w:r>
        <w:rPr>
          <w:rFonts w:hint="eastAsia"/>
        </w:rPr>
        <w:t>文档中的引言部分包括标识信息、背景、项目概述和文档概述，为读者提供对整个文档内容的整体了解。可行性分析的前提部分阐述了进行可行性分析的前提条件，确保评估过程的准确性和全面性。在可选的方案部分，将列出原有方案的优缺点、局限性及存在的问题，探讨可重用的系统与要求之间的差距，并提供可选择的系统方案1和方案2，最终确定选择最终方案的准则。所建议的系统部分将详细说明所建议的系统，包括系统的功能说明、数据流程和处理流程，与原系统的比较，系统的影响和要求等内容，为系统设计提供指导。</w:t>
      </w:r>
    </w:p>
    <w:p>
      <w:pPr>
        <w:ind w:firstLine="420"/>
      </w:pPr>
      <w:r>
        <w:rPr>
          <w:rFonts w:hint="eastAsia"/>
        </w:rPr>
        <w:t>在经济可行性部分，将进行成本-效益分析，包括投资、预期的经济效益、市场预测等内容，以评估项目的经济可行性和潜在收益。技术可行性部分将评估项目的技术风险，并提出技术实施建议，以确保项目的技术可行性和稳定性。法律可行性部分将考虑法律方面的问题，包括法律风险评估和法规遵守，以确保项目的合法性和安全性。用户使用可行性部分将评估用户对系统的接受程度和使用情况，确保系统的用户友好性和实用性。最后的其他与项目有关的问题部分将讨论项目的环境因素、资源需求等，全面评估项目的可行性和实施情况。整个文档将为项目的决策提供重要依据，确保项目的顺利进行和成功实施。</w:t>
      </w:r>
    </w:p>
    <w:p>
      <w:pPr>
        <w:ind w:firstLine="420"/>
      </w:pPr>
      <w:r>
        <w:rPr>
          <w:rFonts w:hint="eastAsia"/>
        </w:rPr>
        <w:t>本文档包含项目的敏感信息和商业机密，因此需要严格保密。只有项目相关人员可以查阅和访问该文档，禁止未经授权的外部人员查看。在处理和存储文档时，必须采取适当的安全措施，包括加密、访问控制和安全存储，以确保文档的保密性和私密性不受到威胁。任何与文档相关的讨论、传输和存储都必须在安全的环境下进行，以防止信息泄露和不当使用。保密性和私密性的要求是为了保护项目的机密信息和确保项目的安全进行。</w:t>
      </w:r>
    </w:p>
    <w:p>
      <w:pPr>
        <w:pStyle w:val="2"/>
      </w:pPr>
      <w:bookmarkStart w:id="26" w:name="_Toc14216"/>
      <w:r>
        <w:rPr>
          <w:rFonts w:hint="eastAsia"/>
        </w:rPr>
        <w:t>2引用文件</w:t>
      </w:r>
      <w:bookmarkEnd w:id="23"/>
      <w:bookmarkEnd w:id="24"/>
      <w:bookmarkEnd w:id="25"/>
      <w:bookmarkEnd w:id="26"/>
    </w:p>
    <w:p>
      <w:pPr>
        <w:ind w:firstLine="0" w:firstLineChars="0"/>
      </w:pPr>
      <w:bookmarkStart w:id="27" w:name="_Toc235938036"/>
      <w:bookmarkStart w:id="28" w:name="_Toc19436"/>
      <w:bookmarkStart w:id="29" w:name="_Toc235938041"/>
      <w:bookmarkStart w:id="30" w:name="_Toc235842529"/>
      <w:bookmarkStart w:id="31" w:name="_Toc235842281"/>
      <w:r>
        <w:rPr>
          <w:rFonts w:hint="eastAsia"/>
        </w:rPr>
        <w:t>（1）可行性分析（FAR）报告模板</w:t>
      </w:r>
    </w:p>
    <w:p>
      <w:pPr>
        <w:ind w:firstLine="0" w:firstLineChars="0"/>
      </w:pPr>
      <w:r>
        <w:rPr>
          <w:rFonts w:hint="eastAsia"/>
        </w:rPr>
        <w:t xml:space="preserve">标准号：GB/T 8567-2006 </w:t>
      </w:r>
    </w:p>
    <w:p>
      <w:pPr>
        <w:ind w:firstLine="0" w:firstLineChars="0"/>
      </w:pPr>
      <w:r>
        <w:rPr>
          <w:rFonts w:hint="eastAsia"/>
        </w:rPr>
        <w:t>中文标准名称：计算机软件文档编制规范</w:t>
      </w:r>
    </w:p>
    <w:p>
      <w:pPr>
        <w:ind w:firstLine="0" w:firstLineChars="0"/>
      </w:pPr>
      <w:r>
        <w:rPr>
          <w:rFonts w:hint="eastAsia"/>
        </w:rPr>
        <w:t>修订版本：第一版</w:t>
      </w:r>
    </w:p>
    <w:p>
      <w:pPr>
        <w:ind w:firstLine="0" w:firstLineChars="0"/>
      </w:pPr>
      <w:r>
        <w:rPr>
          <w:rFonts w:hint="eastAsia"/>
        </w:rPr>
        <w:t>日期：2006-03-14</w:t>
      </w:r>
    </w:p>
    <w:p>
      <w:pPr>
        <w:pStyle w:val="2"/>
      </w:pPr>
      <w:bookmarkStart w:id="32" w:name="_Toc20615"/>
      <w:r>
        <w:rPr>
          <w:rFonts w:hint="eastAsia"/>
        </w:rPr>
        <w:t>3可行性分析的前提</w:t>
      </w:r>
      <w:bookmarkEnd w:id="27"/>
      <w:bookmarkEnd w:id="28"/>
      <w:bookmarkEnd w:id="32"/>
    </w:p>
    <w:p>
      <w:pPr>
        <w:pStyle w:val="3"/>
      </w:pPr>
      <w:bookmarkStart w:id="33" w:name="_Toc235938037"/>
      <w:bookmarkStart w:id="34" w:name="_Toc235842277"/>
      <w:bookmarkStart w:id="35" w:name="_Toc235842525"/>
      <w:bookmarkStart w:id="36" w:name="_Toc28205"/>
      <w:bookmarkStart w:id="37" w:name="_Toc9639"/>
      <w:r>
        <w:rPr>
          <w:rFonts w:hint="eastAsia"/>
        </w:rPr>
        <w:t>3.1项目的要求</w:t>
      </w:r>
      <w:bookmarkEnd w:id="33"/>
      <w:bookmarkEnd w:id="34"/>
      <w:bookmarkEnd w:id="35"/>
      <w:bookmarkEnd w:id="36"/>
      <w:bookmarkEnd w:id="37"/>
    </w:p>
    <w:p>
      <w:pPr>
        <w:ind w:firstLine="420"/>
      </w:pPr>
      <w:r>
        <w:rPr>
          <w:rFonts w:hint="eastAsia"/>
        </w:rPr>
        <w:t>主要功能：该智能学习推荐管理系统分为“知识学习”、“知识测试”、“任务制定”、“学习记录”四大模块；可以帮助用户合理规划学习任务、基于大模型推荐完成学习，并可视化分析自己的学习状况。</w:t>
      </w:r>
    </w:p>
    <w:p>
      <w:pPr>
        <w:ind w:firstLine="420"/>
      </w:pPr>
      <w:r>
        <w:rPr>
          <w:rFonts w:hint="eastAsia"/>
        </w:rPr>
        <w:t>性能要求：要求性能稳定，不能出现数据丢失等情况，显示数据要完整，对服务器上的数据必须进行及时正确的刷新；大模型响应速度需要足够快。</w:t>
      </w:r>
    </w:p>
    <w:p>
      <w:pPr>
        <w:ind w:firstLine="420"/>
      </w:pPr>
      <w:r>
        <w:rPr>
          <w:rFonts w:hint="eastAsia"/>
        </w:rPr>
        <w:t>输出要求：数据完整、详细，简便，快速，实时，能够准确在前端进行展示。</w:t>
      </w:r>
    </w:p>
    <w:p>
      <w:pPr>
        <w:ind w:firstLine="420"/>
      </w:pPr>
      <w:r>
        <w:rPr>
          <w:rFonts w:hint="eastAsia"/>
        </w:rPr>
        <w:t>输入要求：数据输入包括用户的注册信息、用户的个人信息、用户的学习任务自主规划信息，要求数据输入正确有效，具有合法性和规范性。</w:t>
      </w:r>
    </w:p>
    <w:p>
      <w:pPr>
        <w:ind w:firstLine="420"/>
      </w:pPr>
      <w:r>
        <w:rPr>
          <w:rFonts w:hint="eastAsia"/>
        </w:rPr>
        <w:t>安全与保密要求：要求系统软件有权限功能，普通用户只能够管理自己的数据。</w:t>
      </w:r>
    </w:p>
    <w:p>
      <w:pPr>
        <w:ind w:firstLine="420"/>
      </w:pPr>
      <w:r>
        <w:rPr>
          <w:rFonts w:hint="eastAsia"/>
        </w:rPr>
        <w:t>完成期限：预计两个月，即截止2024年5月20日。</w:t>
      </w:r>
    </w:p>
    <w:p>
      <w:pPr>
        <w:pStyle w:val="3"/>
      </w:pPr>
      <w:bookmarkStart w:id="38" w:name="_Toc235938038"/>
      <w:bookmarkStart w:id="39" w:name="_Toc13817"/>
      <w:bookmarkStart w:id="40" w:name="_Toc235842526"/>
      <w:bookmarkStart w:id="41" w:name="_Toc235842278"/>
      <w:bookmarkStart w:id="42" w:name="_Toc31200"/>
      <w:r>
        <w:rPr>
          <w:rFonts w:hint="eastAsia"/>
        </w:rPr>
        <w:t>3.2项目的目标</w:t>
      </w:r>
      <w:bookmarkEnd w:id="38"/>
      <w:bookmarkEnd w:id="39"/>
      <w:bookmarkEnd w:id="40"/>
      <w:bookmarkEnd w:id="41"/>
      <w:bookmarkEnd w:id="42"/>
    </w:p>
    <w:p>
      <w:pPr>
        <w:ind w:firstLine="420"/>
      </w:pPr>
      <w:r>
        <w:rPr>
          <w:rFonts w:hint="eastAsia"/>
        </w:rPr>
        <w:t>智能学习：通过引入大模型技术，我们将能够根据用户的学习记录、测试情况等信息，为每位中小学生提供定制化的学习内容推荐，帮助他们更快、更有效地学习。</w:t>
      </w:r>
    </w:p>
    <w:p>
      <w:pPr>
        <w:ind w:firstLine="420"/>
      </w:pPr>
      <w:r>
        <w:rPr>
          <w:rFonts w:hint="eastAsia"/>
        </w:rPr>
        <w:t>数据可视化：在学习记录界面通过多种图表数据分析，用户可以清晰全面地分析个人学习情况，更合理制定个人学习计划。</w:t>
      </w:r>
    </w:p>
    <w:p>
      <w:pPr>
        <w:ind w:firstLine="420"/>
      </w:pPr>
      <w:r>
        <w:rPr>
          <w:rFonts w:hint="eastAsia"/>
        </w:rPr>
        <w:t>跨平台学习：利用</w:t>
      </w:r>
      <w:r>
        <w:t>Electron桌面应用程序框架，我们将实现跨平台功能，用户可以在不同设备上无缝切换学习，提高学习的灵活性和便捷性。</w:t>
      </w:r>
    </w:p>
    <w:p>
      <w:pPr>
        <w:pStyle w:val="3"/>
      </w:pPr>
      <w:bookmarkStart w:id="43" w:name="_Toc235842527"/>
      <w:bookmarkStart w:id="44" w:name="_Toc235842279"/>
      <w:bookmarkStart w:id="45" w:name="_Toc235938039"/>
      <w:bookmarkStart w:id="46" w:name="_Toc8155"/>
      <w:bookmarkStart w:id="47" w:name="_Toc9875"/>
      <w:r>
        <w:rPr>
          <w:rFonts w:hint="eastAsia"/>
        </w:rPr>
        <w:t>3.3项目的环境、条件、假定和限制</w:t>
      </w:r>
      <w:bookmarkEnd w:id="43"/>
      <w:bookmarkEnd w:id="44"/>
      <w:bookmarkEnd w:id="45"/>
      <w:bookmarkEnd w:id="46"/>
      <w:bookmarkEnd w:id="47"/>
    </w:p>
    <w:p>
      <w:pPr>
        <w:ind w:firstLine="420"/>
      </w:pPr>
      <w:r>
        <w:rPr>
          <w:rFonts w:hint="eastAsia"/>
        </w:rPr>
        <w:t>建议软件寿命：5年。</w:t>
      </w:r>
    </w:p>
    <w:p>
      <w:pPr>
        <w:ind w:firstLine="420"/>
      </w:pPr>
      <w:r>
        <w:rPr>
          <w:rFonts w:hint="eastAsia"/>
        </w:rPr>
        <w:t>经费来源：自筹资金</w:t>
      </w:r>
    </w:p>
    <w:p>
      <w:pPr>
        <w:ind w:firstLine="420"/>
      </w:pPr>
      <w:r>
        <w:rPr>
          <w:rFonts w:hint="eastAsia"/>
        </w:rPr>
        <w:t>硬件条件：运行环境为云服务器、个人pc</w:t>
      </w:r>
    </w:p>
    <w:p>
      <w:pPr>
        <w:ind w:firstLine="420"/>
      </w:pPr>
      <w:r>
        <w:rPr>
          <w:rFonts w:hint="eastAsia"/>
        </w:rPr>
        <w:t>运行环境：Linux</w:t>
      </w:r>
    </w:p>
    <w:p>
      <w:pPr>
        <w:ind w:firstLine="420"/>
      </w:pPr>
      <w:r>
        <w:rPr>
          <w:rFonts w:hint="eastAsia"/>
        </w:rPr>
        <w:t>数据库：Sqlite3</w:t>
      </w:r>
    </w:p>
    <w:p>
      <w:pPr>
        <w:ind w:firstLine="420"/>
      </w:pPr>
      <w:r>
        <w:rPr>
          <w:rFonts w:hint="eastAsia"/>
        </w:rPr>
        <w:t>投入运行最迟时间：2024/06/20</w:t>
      </w:r>
    </w:p>
    <w:p>
      <w:pPr>
        <w:ind w:firstLine="420"/>
      </w:pPr>
      <w:r>
        <w:rPr>
          <w:rFonts w:hint="eastAsia"/>
        </w:rPr>
        <w:t>法律和政策方面的限制：严禁违反宪法确定的基本原则，严禁危害国家安全 ,泄露国家秘密 ,颠覆国家政权 ,破坏国家统一。严禁损害国家荣誉和利益。严禁传播发布会妨害第三方权益的文件或者信息包括但不限于病毒代码，黑客程序，软件破解注册信息。严禁抄袭剽窃他人作品。</w:t>
      </w:r>
    </w:p>
    <w:p>
      <w:pPr>
        <w:ind w:firstLine="420"/>
      </w:pPr>
      <w:r>
        <w:rPr>
          <w:rFonts w:hint="eastAsia"/>
        </w:rPr>
        <w:t>软件、运行环境和开发环境的条件和限制：</w:t>
      </w:r>
    </w:p>
    <w:p>
      <w:pPr>
        <w:ind w:firstLine="420"/>
      </w:pPr>
      <w:r>
        <w:rPr>
          <w:rFonts w:hint="eastAsia"/>
        </w:rPr>
        <w:t>客户端操作系统：Windows 7或以上的系统、Linux、MacOS</w:t>
      </w:r>
    </w:p>
    <w:p>
      <w:pPr>
        <w:ind w:firstLine="420"/>
      </w:pPr>
      <w:r>
        <w:rPr>
          <w:rFonts w:hint="eastAsia"/>
        </w:rPr>
        <w:t>数据库管理系统：Navicat</w:t>
      </w:r>
    </w:p>
    <w:p>
      <w:pPr>
        <w:ind w:firstLine="420"/>
      </w:pPr>
      <w:r>
        <w:rPr>
          <w:rFonts w:hint="eastAsia"/>
        </w:rPr>
        <w:t>浏览器：Edge 89.0或以上版本</w:t>
      </w:r>
    </w:p>
    <w:p>
      <w:pPr>
        <w:ind w:firstLine="420"/>
      </w:pPr>
      <w:r>
        <w:rPr>
          <w:rFonts w:hint="eastAsia"/>
        </w:rPr>
        <w:t>开发工具需求：</w:t>
      </w:r>
    </w:p>
    <w:p>
      <w:pPr>
        <w:ind w:left="420" w:firstLine="420"/>
      </w:pPr>
      <w:r>
        <w:rPr>
          <w:rFonts w:hint="eastAsia"/>
        </w:rPr>
        <w:t>前端开发工具：Visual Studio Code</w:t>
      </w:r>
    </w:p>
    <w:p>
      <w:pPr>
        <w:ind w:left="420" w:firstLine="420"/>
      </w:pPr>
      <w:r>
        <w:rPr>
          <w:rFonts w:hint="eastAsia"/>
        </w:rPr>
        <w:t>后端开发工具：PyCharm</w:t>
      </w:r>
    </w:p>
    <w:p>
      <w:pPr>
        <w:ind w:left="420" w:firstLine="420"/>
      </w:pPr>
      <w:r>
        <w:rPr>
          <w:rFonts w:hint="eastAsia"/>
        </w:rPr>
        <w:t>数据库管理工具：Navicat</w:t>
      </w:r>
    </w:p>
    <w:p>
      <w:pPr>
        <w:pStyle w:val="3"/>
      </w:pPr>
      <w:bookmarkStart w:id="48" w:name="_Toc235842280"/>
      <w:bookmarkStart w:id="49" w:name="_Toc235938040"/>
      <w:bookmarkStart w:id="50" w:name="_Toc30615"/>
      <w:bookmarkStart w:id="51" w:name="_Toc235842528"/>
      <w:bookmarkStart w:id="52" w:name="_Toc30673"/>
      <w:r>
        <w:rPr>
          <w:rFonts w:hint="eastAsia"/>
        </w:rPr>
        <w:t>3.4进行可行性分析的方法</w:t>
      </w:r>
      <w:bookmarkEnd w:id="48"/>
      <w:bookmarkEnd w:id="49"/>
      <w:bookmarkEnd w:id="50"/>
      <w:bookmarkEnd w:id="51"/>
      <w:bookmarkEnd w:id="52"/>
    </w:p>
    <w:p>
      <w:pPr>
        <w:ind w:firstLine="420"/>
      </w:pPr>
      <w:r>
        <w:rPr>
          <w:rFonts w:hint="eastAsia"/>
        </w:rPr>
        <w:t>本次可行性分析是按照下图所述步骤进行的，即按照复查项目目标和规模，研究目标正使用的系统、导出改进系统、重新定义问题这一循环反复过程进行的。</w:t>
      </w:r>
    </w:p>
    <w:p>
      <w:pPr>
        <w:ind w:firstLine="0" w:firstLineChars="0"/>
      </w:pPr>
      <w:r>
        <w:rPr>
          <w:rFonts w:hint="eastAsia"/>
        </w:rPr>
        <w:object>
          <v:shape id="_x0000_i1025" o:spt="75" type="#_x0000_t75" style="height:169.3pt;width:414.85pt;" o:ole="t" filled="f" o:preferrelative="t" stroked="f" coordsize="21600,21600">
            <v:path/>
            <v:fill on="f" focussize="0,0"/>
            <v:stroke on="f" joinstyle="miter"/>
            <v:imagedata r:id="rId16" o:title=""/>
            <o:lock v:ext="edit" aspectratio="f"/>
            <w10:wrap type="none"/>
            <w10:anchorlock/>
          </v:shape>
          <o:OLEObject Type="Embed" ProgID="Visio.Drawing.15" ShapeID="_x0000_i1025" DrawAspect="Content" ObjectID="_1468075725" r:id="rId15">
            <o:LockedField>false</o:LockedField>
          </o:OLEObject>
        </w:object>
      </w:r>
    </w:p>
    <w:p>
      <w:pPr>
        <w:pStyle w:val="2"/>
      </w:pPr>
      <w:bookmarkStart w:id="53" w:name="_Toc17350"/>
      <w:r>
        <w:rPr>
          <w:rFonts w:hint="eastAsia"/>
        </w:rPr>
        <w:t>4可选的方案</w:t>
      </w:r>
      <w:bookmarkEnd w:id="29"/>
      <w:bookmarkEnd w:id="30"/>
      <w:bookmarkEnd w:id="31"/>
      <w:bookmarkEnd w:id="53"/>
    </w:p>
    <w:p>
      <w:pPr>
        <w:pStyle w:val="3"/>
      </w:pPr>
      <w:bookmarkStart w:id="54" w:name="_Toc235938042"/>
      <w:bookmarkStart w:id="55" w:name="_Toc235842282"/>
      <w:bookmarkStart w:id="56" w:name="_Toc235842530"/>
      <w:bookmarkStart w:id="57" w:name="_Toc4041"/>
      <w:r>
        <w:rPr>
          <w:rFonts w:hint="eastAsia"/>
        </w:rPr>
        <w:t>4.1原有方案的优缺点、局限性及存在的问题</w:t>
      </w:r>
      <w:bookmarkEnd w:id="54"/>
      <w:bookmarkEnd w:id="55"/>
      <w:bookmarkEnd w:id="56"/>
      <w:bookmarkEnd w:id="57"/>
    </w:p>
    <w:p>
      <w:pPr>
        <w:ind w:firstLine="420"/>
      </w:pPr>
      <w:r>
        <w:rPr>
          <w:rFonts w:hint="eastAsia"/>
        </w:rPr>
        <w:t>原有方案虽然在功能设计方面展现出了全面的特性，但其存在的问题却不容忽视。首要的问题在于其复杂度过高，导致开发和维护成本急剧上升。这种复杂性不仅增加了系统的开发难度，还使得后期的维护和更新变得异常繁琐。这种繁琐性进一步导致系统的功能显得陈旧和复杂，使得用户在使用过程中感到困惑和不满。</w:t>
      </w:r>
    </w:p>
    <w:p>
      <w:pPr>
        <w:ind w:firstLine="420"/>
      </w:pPr>
      <w:r>
        <w:rPr>
          <w:rFonts w:hint="eastAsia"/>
        </w:rPr>
        <w:t>尽管原有方案具备了一些基本功能，但其设计和界面已经过时，无法满足现代学习者对于便捷、直观和个性化学习的需求。在现代教育中，学习者更加注重学习体验的舒适性和个性化。他们希望在学习过程中能够得到实时的反馈和个性化的推荐，而原有方案却缺乏这些关键功能，使得学习体验显得单调和缺乏趣味性。</w:t>
      </w:r>
    </w:p>
    <w:p>
      <w:pPr>
        <w:ind w:firstLine="420"/>
      </w:pPr>
      <w:r>
        <w:rPr>
          <w:rFonts w:hint="eastAsia"/>
        </w:rPr>
        <w:t>除了用户体验方面的问题，原有方案的复杂性和维护困难还导致了成本的持续上升。随着系统的不断发展和更新，原有方案需要投入更多的人力和物力来进行维护和升级。这种持续的成本投入不仅增加了企业的经济负担，还可能导致资源的浪费和效率低下。</w:t>
      </w:r>
    </w:p>
    <w:p>
      <w:pPr>
        <w:pStyle w:val="3"/>
      </w:pPr>
      <w:bookmarkStart w:id="58" w:name="_Toc235938043"/>
      <w:bookmarkStart w:id="59" w:name="_Toc235842531"/>
      <w:bookmarkStart w:id="60" w:name="_Toc235842283"/>
      <w:bookmarkStart w:id="61" w:name="_Toc3913"/>
      <w:r>
        <w:rPr>
          <w:rFonts w:hint="eastAsia"/>
        </w:rPr>
        <w:t>4.2可重用的系统，与要求之间的差距</w:t>
      </w:r>
      <w:bookmarkEnd w:id="58"/>
      <w:bookmarkEnd w:id="59"/>
      <w:bookmarkEnd w:id="60"/>
      <w:bookmarkEnd w:id="61"/>
    </w:p>
    <w:p>
      <w:pPr>
        <w:ind w:firstLine="420"/>
      </w:pPr>
      <w:r>
        <w:rPr>
          <w:rFonts w:hint="eastAsia"/>
        </w:rPr>
        <w:t>在学习平台这一背景下，本软件的核心功能不仅仅是提供课程内容，而是涵盖了学习路径规划、个性化推荐、学习进度追踪等多个维度。一个理想的可重用系统应该聚焦于这些关键功能，并努力在每一个细节上都达到卓越的标准。</w:t>
      </w:r>
    </w:p>
    <w:p>
      <w:pPr>
        <w:ind w:firstLine="420"/>
      </w:pPr>
      <w:r>
        <w:rPr>
          <w:rFonts w:hint="eastAsia"/>
        </w:rPr>
        <w:t>以深度学习为基础的推荐算法是现代学习平台的一大特色。这样的算法能够分析用户的学习历史、兴趣爱好和成绩表现，从而为用户推荐最适合他们的课程和学习资源。这种个性化的学习体验不仅提高了用户的学习效率，也大大增强了他们的学习动力。</w:t>
      </w:r>
    </w:p>
    <w:p>
      <w:pPr>
        <w:ind w:firstLine="420"/>
      </w:pPr>
      <w:r>
        <w:rPr>
          <w:rFonts w:hint="eastAsia"/>
        </w:rPr>
        <w:t>然而，仅仅嵌入推荐算法并不足以构建一个完美的系统。我们还需要关注系统的整体效率和用户满意度。冗余的功能不仅增加了系统的复杂性，还可能导致用户在使用过程中的困惑和不满。因此，一个优秀的可重用系统应该通过精简功能、优化界面设计、提高系统响应速度等方式，全面提升用户体验。这样的系统还能够与各种学习设备和平台实现无缝对接，确保用户可以在任何时间、任何地点都能顺畅地进行学习。此外，系统还应该提供丰富的学习分析工具，帮助用户更清楚地了解自己的学习情况，从而及时调整学习策略。</w:t>
      </w:r>
    </w:p>
    <w:p>
      <w:pPr>
        <w:ind w:firstLine="420"/>
      </w:pPr>
      <w:r>
        <w:rPr>
          <w:rFonts w:hint="eastAsia"/>
        </w:rPr>
        <w:t>因此，一个理想的可重用系统应该是一个高度专注、功能强大、用户友好的综合性平台。通过深度学习和大数据分析等技术手段，它能够为用户提供个性化、精准的学习体验和课程推荐。同时，系统还应该关注用户体验和满意度，通过不断优化功能和界面设计来满足用户不断变化的需求。</w:t>
      </w:r>
    </w:p>
    <w:p>
      <w:pPr>
        <w:pStyle w:val="3"/>
      </w:pPr>
      <w:bookmarkStart w:id="62" w:name="_Toc235842284"/>
      <w:bookmarkStart w:id="63" w:name="_Toc235842532"/>
      <w:bookmarkStart w:id="64" w:name="_Toc235938044"/>
      <w:bookmarkStart w:id="65" w:name="_Toc19619"/>
      <w:r>
        <w:rPr>
          <w:rFonts w:hint="eastAsia"/>
        </w:rPr>
        <w:t>4.3可选择的系统方案1</w:t>
      </w:r>
      <w:bookmarkEnd w:id="62"/>
      <w:bookmarkEnd w:id="63"/>
      <w:bookmarkEnd w:id="64"/>
      <w:bookmarkEnd w:id="65"/>
    </w:p>
    <w:p>
      <w:pPr>
        <w:ind w:firstLine="420" w:firstLineChars="0"/>
      </w:pPr>
      <w:r>
        <w:rPr>
          <w:rFonts w:hint="eastAsia"/>
        </w:rPr>
        <w:t>系统方案1是构建基于大数据和深度学习的个性化学习平台。在当今快速发展的信息时代，教育领域的变革已刻不容缓。传统的教育方式已经无法满足学生日益个性化的学习需求。为了应对这一挑战，系统方案1应运而生，致力于通过大数据分析和深度学习技术，构建一个全新的个性化学习平台。</w:t>
      </w:r>
    </w:p>
    <w:p>
      <w:pPr>
        <w:ind w:firstLine="420"/>
      </w:pPr>
      <w:r>
        <w:rPr>
          <w:rFonts w:hint="eastAsia"/>
        </w:rPr>
        <w:t>该平台的核心在于深度学习算法的应用。通过对学生在学习过程中产生的数据和行为模式进行深度挖掘和分析，系统能够精准地把握每位学生的学习特点和需求。基于这些数据，平台可以为每位学生量身定制个性化的课程推荐和学习计划，确保学生在最适合自己的学习路径上不断进步。</w:t>
      </w:r>
    </w:p>
    <w:p>
      <w:pPr>
        <w:ind w:firstLine="420"/>
      </w:pPr>
      <w:r>
        <w:rPr>
          <w:rFonts w:hint="eastAsia"/>
        </w:rPr>
        <w:t>个性化学习不仅有助于提高学生的学习效果，还能激发他们的学习兴趣。传统的“一刀切”的教学方式往往无法满足不同学生的需求，而个性化学习则能够针对每个学生的特点和需求进行精准的教学安排，使每个学生都能在自己的优势领域得到充分的发展。</w:t>
      </w:r>
    </w:p>
    <w:p>
      <w:pPr>
        <w:ind w:firstLine="420"/>
      </w:pPr>
      <w:r>
        <w:rPr>
          <w:rFonts w:hint="eastAsia"/>
        </w:rPr>
        <w:t>在方案1中，我们还将结合可重用系统的思路，对个性化推荐功能进行持续的优化和改进。通过不断迭代和完善，我们确保用户能够轻松获取到最符合其需求的学习资源和内容。这不仅将大大提升用户的学习体验和满意度，还能帮助学生在更短的时间内取得更好的学习效果。</w:t>
      </w:r>
    </w:p>
    <w:p>
      <w:pPr>
        <w:pStyle w:val="3"/>
      </w:pPr>
      <w:bookmarkStart w:id="66" w:name="_Toc235842533"/>
      <w:bookmarkStart w:id="67" w:name="_Toc235938045"/>
      <w:bookmarkStart w:id="68" w:name="_Toc235842285"/>
      <w:bookmarkStart w:id="69" w:name="_Toc28083"/>
      <w:r>
        <w:rPr>
          <w:rFonts w:hint="eastAsia"/>
        </w:rPr>
        <w:t>4.4可选择的系统方案2</w:t>
      </w:r>
      <w:bookmarkEnd w:id="66"/>
      <w:bookmarkEnd w:id="67"/>
      <w:bookmarkEnd w:id="68"/>
      <w:bookmarkEnd w:id="69"/>
    </w:p>
    <w:p>
      <w:pPr>
        <w:ind w:firstLine="420"/>
      </w:pPr>
      <w:r>
        <w:rPr>
          <w:rFonts w:hint="eastAsia"/>
        </w:rPr>
        <w:t>系统方案2是构建多元化学习资源平台。传统的教育方式其形式与模式往往显得相对单一和固定，这种教育模式通常以教师为中心，以讲授为主要方式，学生则处于被动接受知识的状态。然而，随着时代的进步和教育理念的发展，越来越多的人开始意识到这种教育方式的局限性，并寻求更加多元化、个性化的教育模式。</w:t>
      </w:r>
    </w:p>
    <w:p>
      <w:pPr>
        <w:ind w:firstLine="420"/>
      </w:pPr>
      <w:r>
        <w:rPr>
          <w:rFonts w:hint="eastAsia"/>
        </w:rPr>
        <w:t>因此，系统方案2将整合各类学习资源，如视频、文档、练习题等，形成一个全面、丰富的学习资源库。这些资源不仅涵盖了各个学科领域的知识，还包括了从基础知识到专业技能的全方位内容。通过这一平台，学生可以根据自己的兴趣和需求，随时随地进行学习，不再受时间和地点的限制。</w:t>
      </w:r>
    </w:p>
    <w:p>
      <w:pPr>
        <w:ind w:firstLine="420"/>
      </w:pPr>
      <w:r>
        <w:rPr>
          <w:rFonts w:hint="eastAsia"/>
        </w:rPr>
        <w:t>为了满足不同学生的学习需求，系统方案2将提供丰富多样的学习选择。学生可以根据自己的学习进度和能力水平，选择适合自己的学习资源和学习路径。同时，平台还将提供多种学习模式，如自主学习、协作学习、竞技学习等，以满足不同学生的学习风格和喜好。</w:t>
      </w:r>
    </w:p>
    <w:p>
      <w:pPr>
        <w:ind w:firstLine="420"/>
      </w:pPr>
      <w:r>
        <w:rPr>
          <w:rFonts w:hint="eastAsia"/>
        </w:rPr>
        <w:t>系统方案2将致力于构建一个多元化的学习资源平台，通过整合丰富多样的学习资源和创新多样化的学习方式，满足大部分学生的需求，提升学习效果和学习体验。</w:t>
      </w:r>
    </w:p>
    <w:p>
      <w:pPr>
        <w:pStyle w:val="3"/>
      </w:pPr>
      <w:bookmarkStart w:id="70" w:name="_Toc235842286"/>
      <w:bookmarkStart w:id="71" w:name="_Toc235938046"/>
      <w:bookmarkStart w:id="72" w:name="_Toc235842534"/>
      <w:bookmarkStart w:id="73" w:name="_Toc6425"/>
      <w:r>
        <w:rPr>
          <w:rFonts w:hint="eastAsia"/>
        </w:rPr>
        <w:t>4.5选择最终方案的准则</w:t>
      </w:r>
      <w:bookmarkEnd w:id="70"/>
      <w:bookmarkEnd w:id="71"/>
      <w:bookmarkEnd w:id="72"/>
      <w:bookmarkEnd w:id="73"/>
    </w:p>
    <w:p>
      <w:pPr>
        <w:ind w:firstLine="420"/>
      </w:pPr>
      <w:r>
        <w:rPr>
          <w:rFonts w:hint="eastAsia"/>
        </w:rPr>
        <w:t>（1）用户至上：确保方案能够满足用户的需求和期望，提升用户体验，让学生能够轻松使用并获得良好的学习效果。</w:t>
      </w:r>
    </w:p>
    <w:p>
      <w:pPr>
        <w:ind w:firstLine="420"/>
      </w:pPr>
      <w:r>
        <w:rPr>
          <w:rFonts w:hint="eastAsia"/>
        </w:rPr>
        <w:t>（2）安全性：保障系统和用户数据的安全，采取必要的安全措施来防范潜在的风险和威胁，确保学习平台的稳定和可靠性。</w:t>
      </w:r>
    </w:p>
    <w:p>
      <w:pPr>
        <w:ind w:firstLine="420"/>
      </w:pPr>
      <w:r>
        <w:rPr>
          <w:rFonts w:hint="eastAsia"/>
        </w:rPr>
        <w:t>（3）简洁性：设计简洁清晰的界面和功能，简化操作流程，降低学习曲线，提升用户友好性，使学习过程更高效和愉快。</w:t>
      </w:r>
    </w:p>
    <w:p>
      <w:pPr>
        <w:ind w:firstLine="420"/>
      </w:pPr>
      <w:r>
        <w:rPr>
          <w:rFonts w:hint="eastAsia"/>
        </w:rPr>
        <w:t>（4）可扩展性：确保方案具备良好的扩展性，能够适应未来可能的需求变化和扩展计划，保持系统的灵活性和可持续性。</w:t>
      </w:r>
    </w:p>
    <w:p>
      <w:pPr>
        <w:ind w:firstLine="420"/>
      </w:pPr>
      <w:r>
        <w:rPr>
          <w:rFonts w:hint="eastAsia"/>
        </w:rPr>
        <w:t>（5）可维护性：考虑方案的可维护性，设计模块化结构和清晰的代码规范，便于系统维护和更新，降低后续的开发和维护成本。</w:t>
      </w:r>
    </w:p>
    <w:p>
      <w:pPr>
        <w:ind w:firstLine="420"/>
      </w:pPr>
      <w:r>
        <w:rPr>
          <w:rFonts w:hint="eastAsia"/>
        </w:rPr>
        <w:t>（6）可行性：方案需符合项目的预算和时间要求，确保实施过程顺利进行且具有可行性，避免出现过度复杂或无法实现的情况。</w:t>
      </w:r>
    </w:p>
    <w:p>
      <w:pPr>
        <w:pStyle w:val="2"/>
      </w:pPr>
      <w:bookmarkStart w:id="74" w:name="_Toc235842287"/>
      <w:bookmarkStart w:id="75" w:name="_Toc235938047"/>
      <w:bookmarkStart w:id="76" w:name="_Toc235842535"/>
      <w:bookmarkStart w:id="77" w:name="_Toc23891"/>
      <w:r>
        <w:rPr>
          <w:rFonts w:hint="eastAsia"/>
        </w:rPr>
        <w:t>5所建议的系统</w:t>
      </w:r>
      <w:bookmarkEnd w:id="74"/>
      <w:bookmarkEnd w:id="75"/>
      <w:bookmarkEnd w:id="76"/>
      <w:bookmarkEnd w:id="77"/>
    </w:p>
    <w:p>
      <w:pPr>
        <w:pStyle w:val="3"/>
      </w:pPr>
      <w:bookmarkStart w:id="78" w:name="_Toc235842288"/>
      <w:bookmarkStart w:id="79" w:name="_Toc235938048"/>
      <w:bookmarkStart w:id="80" w:name="_Toc235842536"/>
      <w:bookmarkStart w:id="81" w:name="_Toc9940"/>
      <w:r>
        <w:rPr>
          <w:rFonts w:hint="eastAsia"/>
        </w:rPr>
        <w:t>5.1对所建议的系统的说明</w:t>
      </w:r>
      <w:bookmarkEnd w:id="78"/>
      <w:bookmarkEnd w:id="79"/>
      <w:bookmarkEnd w:id="80"/>
      <w:bookmarkEnd w:id="81"/>
    </w:p>
    <w:p>
      <w:pPr>
        <w:ind w:firstLine="420"/>
      </w:pPr>
      <w:r>
        <w:rPr>
          <w:rFonts w:hint="eastAsia"/>
        </w:rPr>
        <w:t>根据最终方案选择的六大准则，建议采取方案1。</w:t>
      </w:r>
    </w:p>
    <w:p>
      <w:pPr>
        <w:ind w:firstLine="420"/>
      </w:pPr>
      <w:r>
        <w:rPr>
          <w:rFonts w:hint="eastAsia"/>
        </w:rPr>
        <w:t>方案1通过深度学习算法和大数据分析，能够精准地满足每位用户的学习需求和期望。通过量身定制的课程推荐和学习计划，学生可以轻松使用平台，并获得良好的学习效果，提升用户体验。同时，方案1采取必要的安全措施，保障系统和用户数据的安全。从数据收集到存储和处理，都将严格遵循安全标准，防范潜在的风险和威胁，确保学习平台的稳定和可靠性。</w:t>
      </w:r>
    </w:p>
    <w:p>
      <w:pPr>
        <w:ind w:firstLine="420"/>
      </w:pPr>
      <w:r>
        <w:rPr>
          <w:rFonts w:hint="eastAsia"/>
        </w:rPr>
        <w:t>此外，方案1设计简洁清晰的界面和功能，简化操作流程，降低学习曲线。通过用户友好的界面和操作方式，使学习过程更高效和愉快，提升用户友好性。个性化学习平台将具备良好的扩展性，能够适应未来可能的需求变化和扩展计划。系统将采用灵活的架构设计，以应对未来的发展和需求变化，保持系统的灵活性和可持续性。</w:t>
      </w:r>
    </w:p>
    <w:p>
      <w:pPr>
        <w:ind w:firstLine="420"/>
      </w:pPr>
      <w:r>
        <w:rPr>
          <w:rFonts w:hint="eastAsia"/>
        </w:rPr>
        <w:t>方案1考虑到可维护性，设计模块化结构和清晰的代码规范。这将有助于系统的维护和更新，降低后续的开发和维护成本，确保系统长期稳定运行。符合项目的预算和时间要求，确保实施过程顺利进行且具有可行性。系统开发过程将严格控制在可接受的成本和时间范围内，避免出现过度复杂或无法实现的情况，确保项目的成功实施。</w:t>
      </w:r>
    </w:p>
    <w:p>
      <w:pPr>
        <w:pStyle w:val="3"/>
      </w:pPr>
      <w:bookmarkStart w:id="82" w:name="_Toc235842537"/>
      <w:bookmarkStart w:id="83" w:name="_Toc235938049"/>
      <w:bookmarkStart w:id="84" w:name="_Toc235842289"/>
      <w:bookmarkStart w:id="85" w:name="_Toc2938"/>
      <w:r>
        <w:rPr>
          <w:rFonts w:hint="eastAsia"/>
        </w:rPr>
        <w:t>5.2数据流程和处理流程</w:t>
      </w:r>
      <w:bookmarkEnd w:id="82"/>
      <w:bookmarkEnd w:id="83"/>
      <w:bookmarkEnd w:id="84"/>
      <w:bookmarkEnd w:id="85"/>
    </w:p>
    <w:p>
      <w:pPr>
        <w:ind w:firstLine="420"/>
        <w:jc w:val="center"/>
        <w:rPr>
          <w:szCs w:val="21"/>
        </w:rPr>
      </w:pPr>
      <w:r>
        <w:rPr>
          <w:szCs w:val="21"/>
        </w:rPr>
        <w:drawing>
          <wp:inline distT="0" distB="0" distL="114300" distR="114300">
            <wp:extent cx="3400425" cy="2884805"/>
            <wp:effectExtent l="0" t="0" r="13335" b="1079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7"/>
                    <a:stretch>
                      <a:fillRect/>
                    </a:stretch>
                  </pic:blipFill>
                  <pic:spPr>
                    <a:xfrm>
                      <a:off x="0" y="0"/>
                      <a:ext cx="3400425" cy="2884805"/>
                    </a:xfrm>
                    <a:prstGeom prst="rect">
                      <a:avLst/>
                    </a:prstGeom>
                    <a:noFill/>
                    <a:ln>
                      <a:noFill/>
                    </a:ln>
                  </pic:spPr>
                </pic:pic>
              </a:graphicData>
            </a:graphic>
          </wp:inline>
        </w:drawing>
      </w:r>
    </w:p>
    <w:p>
      <w:pPr>
        <w:ind w:firstLine="420"/>
      </w:pPr>
    </w:p>
    <w:p>
      <w:pPr>
        <w:pStyle w:val="3"/>
      </w:pPr>
      <w:bookmarkStart w:id="86" w:name="_Toc235938050"/>
      <w:bookmarkStart w:id="87" w:name="_Toc235842290"/>
      <w:bookmarkStart w:id="88" w:name="_Toc235842538"/>
      <w:bookmarkStart w:id="89" w:name="_Toc20222"/>
      <w:r>
        <w:rPr>
          <w:rFonts w:hint="eastAsia"/>
        </w:rPr>
        <w:t>5.3与原系统的比较(若有原系统)</w:t>
      </w:r>
      <w:bookmarkEnd w:id="86"/>
      <w:bookmarkEnd w:id="87"/>
      <w:bookmarkEnd w:id="88"/>
      <w:bookmarkEnd w:id="89"/>
    </w:p>
    <w:p>
      <w:pPr>
        <w:ind w:firstLine="420"/>
      </w:pPr>
    </w:p>
    <w:p>
      <w:pPr>
        <w:ind w:firstLine="420"/>
      </w:pPr>
      <w:r>
        <w:rPr>
          <w:rFonts w:hint="eastAsia"/>
        </w:rPr>
        <w:t>原有方案存在复杂度过高的问题，导致了开发和维护成本的急剧上升。这种复杂性不仅增加了系统的开发难度，还使得后期的维护和更新变得异常繁琐。用户在使用过程中也感受到了这种复杂性，导致了困惑和不满。我们的方案1通过深度学习算法和大数据分析，避免了系统过度复杂的问题。深度学习技术能够根据学生的数据和行为模式，实现个性化的学习推荐和计划，从而降低了系统的复杂度，使得用户体验更为流畅。</w:t>
      </w:r>
    </w:p>
    <w:p>
      <w:pPr>
        <w:ind w:firstLine="420"/>
      </w:pPr>
      <w:r>
        <w:rPr>
          <w:rFonts w:hint="eastAsia"/>
        </w:rPr>
        <w:t>同时，原有方案的设计和界面已经过时，无法满足现代学习者对于便捷、直观和个性化学习的需求。现代学习者更加注重学习体验的舒适性和个性化，而原有方案则无法提供这些关键功能，导致学习体验显得单调和缺乏趣味性。方案1致力于构建一个个性化学习平台，通过深度学习技术实现个性化的课程推荐和学习计划。这种个性化的学习方式能够提高学生的学习效果和兴趣，从而满足现代学习者对于学习体验的需求。</w:t>
      </w:r>
    </w:p>
    <w:p>
      <w:pPr>
        <w:ind w:firstLine="420"/>
      </w:pPr>
      <w:r>
        <w:rPr>
          <w:rFonts w:hint="eastAsia"/>
        </w:rPr>
        <w:t>此外，原有方案的复杂性和维护困难导致了成本的持续上升。随着系统的不断发展和更新，需要投入更多的人力和物力来进行维护和升级，增加了企业的经济负担，可能导致资源的浪费和效率低下。方案1在设计上考虑了可维护性和可持续性，通过模块化结构和清晰的代码规范，降低了后续的开发和维护成本。这种设计能够有效地减少企业的经济负担，并提高系统的稳定性和可持续性。</w:t>
      </w:r>
    </w:p>
    <w:p>
      <w:pPr>
        <w:ind w:firstLine="420"/>
      </w:pPr>
      <w:r>
        <w:rPr>
          <w:rFonts w:hint="eastAsia"/>
        </w:rPr>
        <w:t>方案1通过简化复杂度、提供个性化学习体验以及降低维护成本等方面的优势，能够有效地解决原有方案存在的问题，提升学习平台的质量和效率，满足现代学习者对于学习体验的需求。</w:t>
      </w:r>
    </w:p>
    <w:p>
      <w:pPr>
        <w:pStyle w:val="3"/>
      </w:pPr>
      <w:bookmarkStart w:id="90" w:name="_Toc235842539"/>
      <w:bookmarkStart w:id="91" w:name="_Toc235938051"/>
      <w:bookmarkStart w:id="92" w:name="_Toc235842291"/>
      <w:bookmarkStart w:id="93" w:name="_Toc20797"/>
      <w:r>
        <w:rPr>
          <w:rFonts w:hint="eastAsia"/>
        </w:rPr>
        <w:t>5.4影响(或要求)</w:t>
      </w:r>
      <w:bookmarkEnd w:id="90"/>
      <w:bookmarkEnd w:id="91"/>
      <w:bookmarkEnd w:id="92"/>
      <w:bookmarkEnd w:id="93"/>
    </w:p>
    <w:p>
      <w:pPr>
        <w:pStyle w:val="4"/>
      </w:pPr>
      <w:bookmarkStart w:id="94" w:name="_Toc235842292"/>
      <w:bookmarkStart w:id="95" w:name="_Toc235938052"/>
      <w:bookmarkStart w:id="96" w:name="_Toc235842540"/>
      <w:bookmarkStart w:id="97" w:name="_Toc16525"/>
      <w:r>
        <w:rPr>
          <w:rFonts w:hint="eastAsia"/>
        </w:rPr>
        <w:t>5.4.1设备</w:t>
      </w:r>
      <w:bookmarkEnd w:id="94"/>
      <w:bookmarkEnd w:id="95"/>
      <w:bookmarkEnd w:id="96"/>
      <w:bookmarkEnd w:id="97"/>
    </w:p>
    <w:p>
      <w:pPr>
        <w:ind w:firstLine="420"/>
      </w:pPr>
      <w:r>
        <w:rPr>
          <w:rFonts w:hint="eastAsia"/>
        </w:rPr>
        <w:t>本产品专为中小学生量身定制，，通过大数据分析和深度学习技术，能够精准地把握每位学生的学习特点和需求。无需复杂的操作步骤，只需简单使用手机或电脑即可轻松操作软件。这种用户友好的设计理念，使得中小学生能够更轻松地利用平台进行个性化学习，提升学习效果和学习体验。</w:t>
      </w:r>
    </w:p>
    <w:p>
      <w:pPr>
        <w:pStyle w:val="4"/>
      </w:pPr>
      <w:bookmarkStart w:id="98" w:name="_Toc235842293"/>
      <w:bookmarkStart w:id="99" w:name="_Toc235938053"/>
      <w:bookmarkStart w:id="100" w:name="_Toc235842541"/>
      <w:bookmarkStart w:id="101" w:name="_Toc15148"/>
      <w:r>
        <w:rPr>
          <w:rFonts w:hint="eastAsia"/>
        </w:rPr>
        <w:t>5.4.2软件</w:t>
      </w:r>
      <w:bookmarkEnd w:id="98"/>
      <w:bookmarkEnd w:id="99"/>
      <w:bookmarkEnd w:id="100"/>
      <w:bookmarkEnd w:id="101"/>
    </w:p>
    <w:p>
      <w:pPr>
        <w:ind w:firstLine="420"/>
      </w:pPr>
      <w:r>
        <w:rPr>
          <w:rFonts w:hint="eastAsia"/>
        </w:rPr>
        <w:t>软件的大致功能要求如下：</w:t>
      </w:r>
    </w:p>
    <w:p>
      <w:pPr>
        <w:ind w:firstLine="420"/>
      </w:pPr>
      <w:r>
        <w:rPr>
          <w:rFonts w:hint="eastAsia"/>
        </w:rPr>
        <w:t>（1）用户登录与注册：学生通过注册账号或登录系统，进入个性化学习平台。</w:t>
      </w:r>
    </w:p>
    <w:p>
      <w:pPr>
        <w:ind w:firstLine="420"/>
      </w:pPr>
      <w:r>
        <w:rPr>
          <w:rFonts w:hint="eastAsia"/>
        </w:rPr>
        <w:t>（2）个性化学习任务规划：用户进入系统后，可以根据自己的学习需求和目标，利用“任务制定”模块规划个性化的学习任务。用户可以设定学习目标、选择学习内容和制定学习计划。</w:t>
      </w:r>
    </w:p>
    <w:p>
      <w:pPr>
        <w:ind w:firstLine="420"/>
      </w:pPr>
      <w:r>
        <w:rPr>
          <w:rFonts w:hint="eastAsia"/>
        </w:rPr>
        <w:t>（</w:t>
      </w:r>
      <w:r>
        <w:t>3</w:t>
      </w:r>
      <w:r>
        <w:rPr>
          <w:rFonts w:hint="eastAsia"/>
        </w:rPr>
        <w:t>）知识学习：在“知识学习”模块中，用户可以浏览平台提供的各类学习资源，包括课程、教材、视频等。根据个人兴趣和学习需求，选择合适的学习内容进行学习。</w:t>
      </w:r>
    </w:p>
    <w:p>
      <w:pPr>
        <w:ind w:firstLine="420"/>
      </w:pPr>
      <w:r>
        <w:rPr>
          <w:rFonts w:hint="eastAsia"/>
        </w:rPr>
        <w:t>（</w:t>
      </w:r>
      <w:r>
        <w:t>4</w:t>
      </w:r>
      <w:r>
        <w:rPr>
          <w:rFonts w:hint="eastAsia"/>
        </w:rPr>
        <w:t>）知识测试：平台提供了“知识测试”模块，用户可以在此进行知识测试和练习，检验自己的学习成果，并及时发现和弥补学习中的不足之处。</w:t>
      </w:r>
    </w:p>
    <w:p>
      <w:pPr>
        <w:ind w:firstLine="420"/>
      </w:pPr>
      <w:r>
        <w:rPr>
          <w:rFonts w:hint="eastAsia"/>
        </w:rPr>
        <w:t>（</w:t>
      </w:r>
      <w:r>
        <w:t>5</w:t>
      </w:r>
      <w:r>
        <w:rPr>
          <w:rFonts w:hint="eastAsia"/>
        </w:rPr>
        <w:t>）学习记录与分析：平台会记录用户的学习行为和学习数据，包括学习时间、学习内容、学习进度等。通过“学习记录”模块，用户可以查看自己的学习历史和学习情况，并进行数据可视化分析，了解自己的学习状况和趋势。</w:t>
      </w:r>
    </w:p>
    <w:p>
      <w:pPr>
        <w:ind w:firstLine="420"/>
      </w:pPr>
      <w:r>
        <w:rPr>
          <w:rFonts w:hint="eastAsia"/>
        </w:rPr>
        <w:t>（</w:t>
      </w:r>
      <w:r>
        <w:t>6</w:t>
      </w:r>
      <w:r>
        <w:rPr>
          <w:rFonts w:hint="eastAsia"/>
        </w:rPr>
        <w:t>）智能学习推荐：根据用户的学习记录和行为模式，平台利用大数据分析和深度学习技术，为用户提供个性化的学习推荐。用户可以根据推荐内容选择适合自己的学习资源，并在学习过程中获得更好的学习体验和效果。</w:t>
      </w:r>
    </w:p>
    <w:p>
      <w:pPr>
        <w:pStyle w:val="4"/>
      </w:pPr>
      <w:bookmarkStart w:id="102" w:name="_Toc235842542"/>
      <w:bookmarkStart w:id="103" w:name="_Toc235938054"/>
      <w:bookmarkStart w:id="104" w:name="_Toc235842294"/>
      <w:bookmarkStart w:id="105" w:name="_Toc12688"/>
      <w:r>
        <w:rPr>
          <w:rFonts w:hint="eastAsia"/>
        </w:rPr>
        <w:t>5.4.3运行</w:t>
      </w:r>
      <w:bookmarkEnd w:id="102"/>
      <w:bookmarkEnd w:id="103"/>
      <w:bookmarkEnd w:id="104"/>
      <w:bookmarkEnd w:id="105"/>
    </w:p>
    <w:p>
      <w:pPr>
        <w:ind w:firstLine="420"/>
      </w:pPr>
      <w:r>
        <w:rPr>
          <w:rFonts w:hint="eastAsia"/>
        </w:rPr>
        <w:t>（1）用户需要按照软件操作手册以及提供的相关配套材料进行操作，这意味着用户需要严格遵循规定的步骤和方法，以确保个性化学习平台能够正常运行并达到预期的效果。如果用户未按照规定使用，可能会导致个性化学习平台出现异常或无法正常使用，无法获得最佳的学习体验和效果。</w:t>
      </w:r>
    </w:p>
    <w:p>
      <w:pPr>
        <w:ind w:firstLine="420"/>
      </w:pPr>
      <w:r>
        <w:rPr>
          <w:rFonts w:hint="eastAsia"/>
        </w:rPr>
        <w:t>（2）对输入过程数据预处理过程无影响。数据预处理的过过程通常是在软件内部通过大数据分析和深度学习技术进行的，用户无法直接影响或干预。因此，用户在使用个性化学习平台时，无需关心数据预处理的具体过程，只需正常进行相关的操作即可获得个性化的学习体验。</w:t>
      </w:r>
    </w:p>
    <w:p>
      <w:pPr>
        <w:ind w:firstLine="420"/>
      </w:pPr>
      <w:r>
        <w:rPr>
          <w:rFonts w:hint="eastAsia"/>
        </w:rPr>
        <w:t>（3）软件的运行对输出的处理过程也无影响。无论用户如何操作软件，输出的处理过程都是在软件内部完成的，用户无法直接影响或干预。软件通过大数据分析和深度学习技术对用户输入的数据进行分析和处理，以满足用户的个性化学习需求。这个输出的处理过程是在后台自动进行的，用户只需关注操作界面，而无需担心对输出处理过程的影响。因此，用户在使用个性化学习平台时，可以放心地依赖软件内部的处理过程，以获取相应的输出结果和反馈信息。</w:t>
      </w:r>
    </w:p>
    <w:p>
      <w:pPr>
        <w:pStyle w:val="4"/>
      </w:pPr>
      <w:bookmarkStart w:id="106" w:name="_Toc235938055"/>
      <w:bookmarkStart w:id="107" w:name="_Toc235842295"/>
      <w:bookmarkStart w:id="108" w:name="_Toc235842543"/>
      <w:bookmarkStart w:id="109" w:name="_Toc7115"/>
      <w:r>
        <w:rPr>
          <w:rFonts w:hint="eastAsia"/>
        </w:rPr>
        <w:t>5.4.4开发</w:t>
      </w:r>
      <w:bookmarkEnd w:id="106"/>
      <w:bookmarkEnd w:id="107"/>
      <w:bookmarkEnd w:id="108"/>
      <w:bookmarkEnd w:id="109"/>
    </w:p>
    <w:p>
      <w:pPr>
        <w:ind w:firstLine="420"/>
      </w:pPr>
      <w:r>
        <w:rPr>
          <w:rFonts w:hint="eastAsia"/>
        </w:rPr>
        <w:t>基于现有的框架，软件较为容易进行开发与维护，采用了模块化结构和清晰的代码规范，使得代码易于理解、修改和扩展。因此，即使在后续开发过程中需要对系统进行更新、优化或添加新功能，开发人员也能够更轻松地进行操作，减少了开发周期和维护成本。这样的设计有助于保持系统的稳定性和可持续性，为未来的发展和扩展提供了良好的基础。</w:t>
      </w:r>
    </w:p>
    <w:p>
      <w:pPr>
        <w:pStyle w:val="4"/>
      </w:pPr>
      <w:bookmarkStart w:id="110" w:name="_Toc235938056"/>
      <w:bookmarkStart w:id="111" w:name="_Toc235842296"/>
      <w:bookmarkStart w:id="112" w:name="_Toc235842544"/>
      <w:bookmarkStart w:id="113" w:name="_Toc13391"/>
      <w:r>
        <w:rPr>
          <w:rFonts w:hint="eastAsia"/>
        </w:rPr>
        <w:t>5.4.5环境</w:t>
      </w:r>
      <w:bookmarkEnd w:id="110"/>
      <w:bookmarkEnd w:id="111"/>
      <w:bookmarkEnd w:id="112"/>
      <w:bookmarkEnd w:id="113"/>
    </w:p>
    <w:p>
      <w:pPr>
        <w:ind w:firstLine="420"/>
      </w:pPr>
      <w:r>
        <w:rPr>
          <w:rFonts w:hint="eastAsia"/>
        </w:rPr>
        <w:t>对环境的影响主要是来自软件生态与客户的影响。</w:t>
      </w:r>
    </w:p>
    <w:p>
      <w:pPr>
        <w:ind w:firstLine="420"/>
      </w:pPr>
      <w:r>
        <w:rPr>
          <w:rFonts w:hint="eastAsia"/>
        </w:rPr>
        <w:t>引入个性化学习平台将为学校软件应用范围带来拓展。个性化学习平台可以作为学校的重要学习工具，与现有的学校软件环境相结合，为师生提供更加全面、便捷的学习服务和支持，将为现有的学习环境带来改善。学生可以根据自己的兴趣和学习需求，自由选择学习资源和学习路径，提高学习的针对性和效率。这将有助于激发学生的学习兴趣，提升学习动力。</w:t>
      </w:r>
    </w:p>
    <w:p>
      <w:pPr>
        <w:ind w:firstLine="420"/>
      </w:pPr>
      <w:r>
        <w:rPr>
          <w:rFonts w:hint="eastAsia"/>
        </w:rPr>
        <w:t>个性化学习平台将提供更加丰富、多样化的学习资源和学习方式，为学生提供更加个性化、灵活的学习体验。学生可以根据自己的学习进度和喜好，选择适合自己的学习内容和学习方式，使学习过程更加愉快和有效。通过深度学习算法和大数据分析，个性化学习平台能够精准地把握每位学生的学习特点和需求，为其量身定制个性化的课程推荐和学习计划。这将有助于提高学生的学习效果，使其在最适合自己的学习路径上不断进步。</w:t>
      </w:r>
    </w:p>
    <w:p>
      <w:pPr>
        <w:pStyle w:val="4"/>
      </w:pPr>
      <w:bookmarkStart w:id="114" w:name="_Toc235938057"/>
      <w:bookmarkStart w:id="115" w:name="_Toc235842297"/>
      <w:bookmarkStart w:id="116" w:name="_Toc235842545"/>
      <w:bookmarkStart w:id="117" w:name="_Toc26326"/>
      <w:r>
        <w:rPr>
          <w:rFonts w:hint="eastAsia"/>
        </w:rPr>
        <w:t>5.4.6经费</w:t>
      </w:r>
      <w:bookmarkEnd w:id="114"/>
      <w:bookmarkEnd w:id="115"/>
      <w:bookmarkEnd w:id="116"/>
      <w:bookmarkEnd w:id="117"/>
    </w:p>
    <w:p>
      <w:pPr>
        <w:ind w:firstLine="420"/>
      </w:pPr>
      <w:r>
        <w:rPr>
          <w:rFonts w:hint="eastAsia"/>
        </w:rPr>
        <w:t>个性化学习平台的经费主要来源于学生自筹。</w:t>
      </w:r>
    </w:p>
    <w:p>
      <w:pPr>
        <w:ind w:firstLine="0" w:firstLineChars="0"/>
      </w:pPr>
      <w:r>
        <w:rPr>
          <w:rFonts w:hint="eastAsia"/>
        </w:rPr>
        <w:drawing>
          <wp:inline distT="0" distB="0" distL="0" distR="0">
            <wp:extent cx="5274310" cy="3076575"/>
            <wp:effectExtent l="0" t="0" r="889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4"/>
      </w:pPr>
      <w:bookmarkStart w:id="118" w:name="_Toc235842546"/>
      <w:bookmarkStart w:id="119" w:name="_Toc235938058"/>
      <w:bookmarkStart w:id="120" w:name="_Toc235842298"/>
      <w:bookmarkStart w:id="121" w:name="_Toc5626"/>
      <w:r>
        <w:rPr>
          <w:rFonts w:hint="eastAsia"/>
        </w:rPr>
        <w:t>5.5局限性</w:t>
      </w:r>
      <w:bookmarkEnd w:id="118"/>
      <w:bookmarkEnd w:id="119"/>
      <w:bookmarkEnd w:id="120"/>
      <w:bookmarkEnd w:id="121"/>
    </w:p>
    <w:p>
      <w:pPr>
        <w:ind w:firstLine="420"/>
      </w:pPr>
      <w:r>
        <w:rPr>
          <w:rFonts w:hint="eastAsia"/>
        </w:rPr>
        <w:t>（1）数据隐私和安全性问题：尽管个性化学习平台需要收集大量学生数据以提供个性化服务，但如果数据管理不当，存在泄露、滥用或被未经授权的访问的风险，可能引发用户的隐私担忧和法律纠纷，损害平台声誉并降低用户信任度。</w:t>
      </w:r>
    </w:p>
    <w:p>
      <w:pPr>
        <w:ind w:firstLine="420"/>
      </w:pPr>
      <w:r>
        <w:rPr>
          <w:rFonts w:hint="eastAsia"/>
        </w:rPr>
        <w:t>（2）技术依赖和复杂性：依赖于大数据分析和深度学习技术，如果对这些技术过于依赖，可能会陷入对外部技术服务商的依赖。若技术供应商发生问题，如服务中断、价格上涨或服务质量下降，可能会严重影响个性化学习平台的运行和稳定性。</w:t>
      </w:r>
    </w:p>
    <w:p>
      <w:pPr>
        <w:ind w:firstLine="420"/>
      </w:pPr>
      <w:r>
        <w:rPr>
          <w:rFonts w:hint="eastAsia"/>
        </w:rPr>
        <w:t>（3）个性化学习的限制：尽管个性化学习能够满足学生的个性化需求，但如果系统过于依赖学生已有的兴趣和偏好进行推荐，可能会导致学生陷入信息茧房，只获取与自身兴趣相关的内容，而忽视了其他领域的知识，从而导致学生的知识结构不够全面，影响其综合素养的培养。</w:t>
      </w:r>
    </w:p>
    <w:p>
      <w:pPr>
        <w:ind w:firstLine="420"/>
      </w:pPr>
      <w:r>
        <w:rPr>
          <w:rFonts w:hint="eastAsia"/>
        </w:rPr>
        <w:t>（4）过度依赖技术：如果个性化学习平台过于依赖技术而忽视了教育的人文关怀和综合素养培养，可能会使得学习过程过于机械化和单一化，缺乏对学生综合发展的关注。教育不仅是知识传授，更是人格塑造和全面发展的过程，过度依赖技术可能忽视了这一重要方面。6经济可行性(成本</w:t>
      </w:r>
      <w:r>
        <w:t>----</w:t>
      </w:r>
      <w:r>
        <w:rPr>
          <w:rFonts w:hint="eastAsia"/>
        </w:rPr>
        <w:t>效益分析)</w:t>
      </w:r>
      <w:bookmarkEnd w:id="4"/>
      <w:bookmarkEnd w:id="5"/>
      <w:bookmarkEnd w:id="6"/>
    </w:p>
    <w:p>
      <w:pPr>
        <w:pStyle w:val="3"/>
      </w:pPr>
      <w:bookmarkStart w:id="122" w:name="_Toc235842300"/>
      <w:bookmarkStart w:id="123" w:name="_Toc235842548"/>
      <w:bookmarkStart w:id="124" w:name="_Toc235938060"/>
      <w:bookmarkStart w:id="125" w:name="_Toc17297"/>
      <w:r>
        <w:rPr>
          <w:rFonts w:hint="eastAsia"/>
        </w:rPr>
        <w:t>6.1投资</w:t>
      </w:r>
      <w:bookmarkEnd w:id="122"/>
      <w:bookmarkEnd w:id="123"/>
      <w:bookmarkEnd w:id="124"/>
      <w:bookmarkEnd w:id="125"/>
    </w:p>
    <w:p>
      <w:pPr>
        <w:ind w:firstLine="420"/>
      </w:pPr>
      <w:r>
        <w:rPr>
          <w:rFonts w:hint="eastAsia"/>
        </w:rPr>
        <w:t>智慧学习系统是一款旨在为初中生和小学生提供个性化学习服务的2C用户端软件。下面将对该系统的投资进行详细分析，包括基本建设投资(如开发环境、设备、软件和资料等)，其他一次性和非一次性投资(如技术管理费、培训费、管理费、人员工资、奖金和差旅费等)。</w:t>
      </w:r>
    </w:p>
    <w:p>
      <w:pPr>
        <w:keepNext/>
        <w:keepLines/>
        <w:spacing w:before="260" w:after="260" w:line="415" w:lineRule="auto"/>
        <w:ind w:firstLine="0" w:firstLineChars="0"/>
        <w:outlineLvl w:val="2"/>
        <w:rPr>
          <w:b/>
          <w:bCs/>
          <w:sz w:val="32"/>
          <w:szCs w:val="32"/>
        </w:rPr>
      </w:pPr>
      <w:bookmarkStart w:id="126" w:name="_Toc7223"/>
      <w:r>
        <w:rPr>
          <w:rFonts w:hint="eastAsia"/>
          <w:b/>
          <w:bCs/>
          <w:sz w:val="32"/>
          <w:szCs w:val="32"/>
        </w:rPr>
        <w:t>6.1.1基本建设投资</w:t>
      </w:r>
      <w:bookmarkEnd w:id="126"/>
    </w:p>
    <w:p>
      <w:pPr>
        <w:ind w:firstLine="420"/>
      </w:pPr>
      <w:r>
        <w:rPr>
          <w:rFonts w:hint="eastAsia"/>
        </w:rPr>
        <w:t>基础建设投资是系统开发和运营过程中不可或缺的一环，它涵盖了开发环境、设备、软件和资料等多个方面的成本支出。在项目启动阶段，对基础建设的充分投入是确保项目顺利进行和顺利完成的关键因素之一。具体来说，本项目的基本建设投资包括以下几个方面：</w:t>
      </w:r>
    </w:p>
    <w:p>
      <w:pPr>
        <w:ind w:firstLine="0" w:firstLineChars="0"/>
        <w:rPr>
          <w:b/>
          <w:bCs/>
        </w:rPr>
      </w:pPr>
      <w:r>
        <w:rPr>
          <w:rFonts w:hint="eastAsia"/>
          <w:b/>
          <w:bCs/>
        </w:rPr>
        <w:t>（1）开发环境</w:t>
      </w:r>
    </w:p>
    <w:p>
      <w:pPr>
        <w:ind w:firstLine="420"/>
      </w:pPr>
      <w:r>
        <w:rPr>
          <w:rFonts w:hint="eastAsia"/>
        </w:rPr>
        <w:t>在构建稳定的开发环境方面，我们需要考虑到开发团队所需的各类工具和环境。这包括了现代化的开发工具、集成开发环境（IDE）、版本控制系统等。为了确保开发过程的高效性和可靠性，我们预计投资金额约为100元。这笔投资将用于购置各类专业软件和工具，以确保开发团队能够在稳定、高效的环境中开展工作。</w:t>
      </w:r>
    </w:p>
    <w:p>
      <w:pPr>
        <w:ind w:firstLine="0" w:firstLineChars="0"/>
        <w:rPr>
          <w:b/>
          <w:bCs/>
        </w:rPr>
      </w:pPr>
      <w:r>
        <w:rPr>
          <w:rFonts w:hint="eastAsia"/>
          <w:b/>
          <w:bCs/>
        </w:rPr>
        <w:t>（2）设备</w:t>
      </w:r>
    </w:p>
    <w:p>
      <w:pPr>
        <w:ind w:firstLine="420"/>
      </w:pPr>
      <w:r>
        <w:rPr>
          <w:rFonts w:hint="eastAsia"/>
        </w:rPr>
        <w:t>开发团队需要适用的硬件设备是基础建设投资中的重要一环。这些设备包括开发机、测试机等硬件设备，为团队成员提供稳定、高效的工作平台。预计投资金额约为150元。这部分投资将用于购置高性能的开发和测试设备，以确保团队成员能够在良好的硬件环境中进行开发和测试工作。</w:t>
      </w:r>
    </w:p>
    <w:p>
      <w:pPr>
        <w:ind w:firstLine="0" w:firstLineChars="0"/>
        <w:rPr>
          <w:b/>
          <w:bCs/>
        </w:rPr>
      </w:pPr>
      <w:r>
        <w:rPr>
          <w:rFonts w:hint="eastAsia"/>
          <w:b/>
          <w:bCs/>
        </w:rPr>
        <w:t>（3）软件</w:t>
      </w:r>
    </w:p>
    <w:p>
      <w:pPr>
        <w:ind w:firstLine="420"/>
      </w:pPr>
      <w:r>
        <w:rPr>
          <w:rFonts w:hint="eastAsia"/>
        </w:rPr>
        <w:t>购买开发所需的软件工具和许可证是基础建设中的关键一环。这些软件包括操作系统、数据库、开发框架等。预计投资金额约为80元。这笔投资将用于购置各类专业软件许可证，以确保开发团队能够在合法、正版的软件环境中进行工作。</w:t>
      </w:r>
    </w:p>
    <w:p>
      <w:pPr>
        <w:ind w:firstLine="0" w:firstLineChars="0"/>
        <w:rPr>
          <w:b/>
          <w:bCs/>
        </w:rPr>
      </w:pPr>
      <w:r>
        <w:rPr>
          <w:rFonts w:hint="eastAsia"/>
          <w:b/>
          <w:bCs/>
        </w:rPr>
        <w:t>（4）资料</w:t>
      </w:r>
    </w:p>
    <w:p>
      <w:pPr>
        <w:ind w:firstLine="420"/>
      </w:pPr>
      <w:r>
        <w:rPr>
          <w:rFonts w:hint="eastAsia"/>
        </w:rPr>
        <w:t>在项目开发过程中，相关的学习资料、文档、数据集和图书等也是必不可少的。这些资料将为开发团队提供必要的参考和支持。预计投资金额约为50元。这笔投资将用于购置各类学习资料、参考文档和数据集，以帮助团队成员更好地理解和解决项目中的问题。</w:t>
      </w:r>
    </w:p>
    <w:p>
      <w:pPr>
        <w:ind w:firstLine="420"/>
      </w:pPr>
      <w:r>
        <w:rPr>
          <w:rFonts w:hint="eastAsia"/>
        </w:rPr>
        <w:t>综上所述，总计基础建设投资约为380元。这些投资将为项目的顺利进行和顺利完成提供重要的基础保障，确保项目团队能够在稳定、高效的环境中进行工作，从而实现项目目标和任务。</w:t>
      </w:r>
    </w:p>
    <w:p>
      <w:pPr>
        <w:keepNext/>
        <w:keepLines/>
        <w:spacing w:before="260" w:after="260" w:line="415" w:lineRule="auto"/>
        <w:ind w:firstLine="0" w:firstLineChars="0"/>
        <w:outlineLvl w:val="2"/>
        <w:rPr>
          <w:b/>
          <w:bCs/>
          <w:sz w:val="32"/>
          <w:szCs w:val="32"/>
        </w:rPr>
      </w:pPr>
      <w:bookmarkStart w:id="127" w:name="_Toc30388"/>
      <w:r>
        <w:rPr>
          <w:rFonts w:hint="eastAsia"/>
          <w:b/>
          <w:bCs/>
          <w:sz w:val="32"/>
          <w:szCs w:val="32"/>
        </w:rPr>
        <w:t>6.1.2一次性和非一次性投资</w:t>
      </w:r>
      <w:bookmarkEnd w:id="127"/>
    </w:p>
    <w:p>
      <w:pPr>
        <w:ind w:firstLine="420"/>
      </w:pPr>
      <w:r>
        <w:rPr>
          <w:rFonts w:hint="eastAsia"/>
        </w:rPr>
        <w:t>一次性投资和非一次性投资是系统开发和运营过程中的重要支出，涵盖了多个方面的费用，包括技术管理、培训、管理费用以及人员成本等。具体来说，本项目的一次性和非一次性投资包括以下几个方面：</w:t>
      </w:r>
    </w:p>
    <w:p>
      <w:pPr>
        <w:ind w:firstLine="0" w:firstLineChars="0"/>
        <w:rPr>
          <w:b/>
          <w:bCs/>
        </w:rPr>
      </w:pPr>
      <w:r>
        <w:rPr>
          <w:rFonts w:hint="eastAsia"/>
          <w:b/>
          <w:bCs/>
        </w:rPr>
        <w:t xml:space="preserve">（1）技术管理费 </w:t>
      </w:r>
    </w:p>
    <w:p>
      <w:pPr>
        <w:ind w:firstLine="420"/>
      </w:pPr>
      <w:r>
        <w:rPr>
          <w:rFonts w:hint="eastAsia"/>
        </w:rPr>
        <w:t>这部分支出包括系统维护费用、服务器托管费用、安全审计费用等。预计投资金额为100元。技术管理是系统运营过程中至关重要的一环，确保系统的稳定性、安全性和可靠性，因此对技术管理的投资是必不可少的。</w:t>
      </w:r>
    </w:p>
    <w:p>
      <w:pPr>
        <w:ind w:firstLine="0" w:firstLineChars="0"/>
        <w:rPr>
          <w:b/>
          <w:bCs/>
        </w:rPr>
      </w:pPr>
      <w:r>
        <w:rPr>
          <w:rFonts w:hint="eastAsia"/>
          <w:b/>
          <w:bCs/>
        </w:rPr>
        <w:t>（2）培训费</w:t>
      </w:r>
    </w:p>
    <w:p>
      <w:pPr>
        <w:ind w:firstLine="420"/>
      </w:pPr>
      <w:r>
        <w:rPr>
          <w:rFonts w:hint="eastAsia"/>
        </w:rPr>
        <w:t>这部分支出用于培训开发团队成员和运维人员，以及向用户提供的培训费用。预计投资金额为100元。通过培训，团队成员能够更好地掌握系统开发和运维技能，提高工作效率和质量，同时为用户提供更好的使用体验。</w:t>
      </w:r>
    </w:p>
    <w:p>
      <w:pPr>
        <w:ind w:firstLine="0" w:firstLineChars="0"/>
        <w:rPr>
          <w:b/>
          <w:bCs/>
        </w:rPr>
      </w:pPr>
      <w:r>
        <w:rPr>
          <w:rFonts w:hint="eastAsia"/>
          <w:b/>
          <w:bCs/>
        </w:rPr>
        <w:t>（3）管理费</w:t>
      </w:r>
    </w:p>
    <w:p>
      <w:pPr>
        <w:ind w:firstLine="420"/>
      </w:pPr>
      <w:r>
        <w:rPr>
          <w:rFonts w:hint="eastAsia"/>
        </w:rPr>
        <w:t>这部分支出包括项目管理费用、行政管理费用、财务管理费用等。预计投资金额为150元。管理费用是保障项目顺利进行和管理高效运作的重要支出，它涵盖了项目管理人员的薪酬、办公费用等多个方面。</w:t>
      </w:r>
    </w:p>
    <w:p>
      <w:pPr>
        <w:ind w:firstLine="0" w:firstLineChars="0"/>
        <w:rPr>
          <w:b/>
          <w:bCs/>
        </w:rPr>
      </w:pPr>
      <w:r>
        <w:rPr>
          <w:rFonts w:hint="eastAsia"/>
          <w:b/>
          <w:bCs/>
        </w:rPr>
        <w:t>（4）人员工资、奖金和差旅费</w:t>
      </w:r>
    </w:p>
    <w:p>
      <w:pPr>
        <w:ind w:firstLine="420"/>
      </w:pPr>
      <w:r>
        <w:rPr>
          <w:rFonts w:hint="eastAsia"/>
        </w:rPr>
        <w:t>这部分支出是非常重要的一项投资，包括开发团队成员的工资、项目奖金和差旅费用。预计投资金额为150元。人员成本是系统开发和运营过程中的重要支出之一，直接关系到团队成员的积极性和工作质量，同时也是保障项目顺利进行的基础。</w:t>
      </w:r>
    </w:p>
    <w:p>
      <w:pPr>
        <w:ind w:firstLine="420"/>
      </w:pPr>
      <w:r>
        <w:rPr>
          <w:rFonts w:hint="eastAsia"/>
        </w:rPr>
        <w:t>综上所述，总计一次性和非一次性投资为500元。这些支出涵盖了系统开发和运营过程中的各个方面，为项目的顺利进行和顺利运营提供了充分的保障和支持。</w:t>
      </w:r>
    </w:p>
    <w:p>
      <w:pPr>
        <w:keepNext/>
        <w:keepLines/>
        <w:spacing w:before="260" w:after="260" w:line="415" w:lineRule="auto"/>
        <w:ind w:firstLine="0" w:firstLineChars="0"/>
        <w:outlineLvl w:val="2"/>
      </w:pPr>
      <w:bookmarkStart w:id="128" w:name="_Toc24539"/>
      <w:r>
        <w:rPr>
          <w:rFonts w:hint="eastAsia"/>
          <w:b/>
          <w:bCs/>
          <w:sz w:val="32"/>
          <w:szCs w:val="32"/>
        </w:rPr>
        <w:t>6.1.3总体投资</w:t>
      </w:r>
      <w:bookmarkEnd w:id="128"/>
    </w:p>
    <w:p>
      <w:pPr>
        <w:ind w:firstLine="420"/>
      </w:pPr>
      <w:r>
        <w:rPr>
          <w:rFonts w:hint="eastAsia"/>
        </w:rPr>
        <w:t>综合考虑基本建设投资和一次性与非一次性投资，智慧学习系统的总投资金额为880元。这些投资将用于系统的开发、运营和推广，以确保系统的顺利上线和运行。</w:t>
      </w:r>
    </w:p>
    <w:p>
      <w:pPr>
        <w:pStyle w:val="3"/>
      </w:pPr>
      <w:bookmarkStart w:id="129" w:name="_Toc235842549"/>
      <w:bookmarkStart w:id="130" w:name="_Toc235938061"/>
      <w:bookmarkStart w:id="131" w:name="_Toc235842301"/>
      <w:bookmarkStart w:id="132" w:name="_Toc2238"/>
      <w:r>
        <w:rPr>
          <w:rFonts w:hint="eastAsia"/>
        </w:rPr>
        <w:t>6.2预期的经济效益</w:t>
      </w:r>
      <w:bookmarkEnd w:id="129"/>
      <w:bookmarkEnd w:id="130"/>
      <w:bookmarkEnd w:id="131"/>
      <w:bookmarkEnd w:id="132"/>
    </w:p>
    <w:p>
      <w:pPr>
        <w:ind w:firstLine="420"/>
      </w:pPr>
      <w:r>
        <w:rPr>
          <w:rFonts w:hint="eastAsia"/>
        </w:rPr>
        <w:t>本报告旨在对智慧学习系统进行经济效益分析，以评估其可行性和潜在盈利能力。智慧学习系统是一款面向初中生和小学生的2C用户端软件，提供知识学习、知识测试、任务制定和学习记录等功能。我们将分析一次性收益、非一次性收益、不可定量的收益、收益/投资比、投资回收周期等方面，以全面评估该系统的经济效益。</w:t>
      </w:r>
    </w:p>
    <w:p>
      <w:pPr>
        <w:pStyle w:val="4"/>
      </w:pPr>
      <w:bookmarkStart w:id="133" w:name="_Toc235842302"/>
      <w:bookmarkStart w:id="134" w:name="_Toc235842550"/>
      <w:bookmarkStart w:id="135" w:name="_Toc235938062"/>
      <w:bookmarkStart w:id="136" w:name="_Toc13953"/>
      <w:bookmarkStart w:id="137" w:name="_Hlk161231212"/>
      <w:r>
        <w:rPr>
          <w:rFonts w:hint="eastAsia"/>
        </w:rPr>
        <w:t>6.2.1一次性收益</w:t>
      </w:r>
      <w:bookmarkEnd w:id="133"/>
      <w:bookmarkEnd w:id="134"/>
      <w:bookmarkEnd w:id="135"/>
      <w:bookmarkEnd w:id="136"/>
    </w:p>
    <w:p>
      <w:pPr>
        <w:ind w:firstLine="420"/>
      </w:pPr>
      <w:r>
        <w:rPr>
          <w:rFonts w:hint="eastAsia"/>
        </w:rPr>
        <w:t>一次性收益是指系统开发和推广过程中一次性获得的收益，主要包括软件销售收入、服务费等。</w:t>
      </w:r>
    </w:p>
    <w:p>
      <w:pPr>
        <w:ind w:firstLine="0" w:firstLineChars="0"/>
        <w:rPr>
          <w:b/>
          <w:bCs/>
        </w:rPr>
      </w:pPr>
      <w:r>
        <w:rPr>
          <w:rFonts w:hint="eastAsia"/>
          <w:b/>
          <w:bCs/>
        </w:rPr>
        <w:t>（1）软件销售收入</w:t>
      </w:r>
    </w:p>
    <w:p>
      <w:pPr>
        <w:ind w:firstLine="420"/>
      </w:pPr>
      <w:r>
        <w:rPr>
          <w:rFonts w:hint="eastAsia"/>
        </w:rPr>
        <w:t>智慧学习系统作为一款收费软件，可以通过用户购买软件的方式获得一次性收入。根据市场调研数据和定价策略，预计每位用户购买软件的价格为XX元。在首年推广中，预计能够吸引XX位用户购买软件。因此，软件销售收入可计算为：</w:t>
      </w:r>
    </w:p>
    <w:p>
      <w:pPr>
        <w:ind w:firstLine="420"/>
        <w:rPr>
          <w:i/>
        </w:rPr>
      </w:pPr>
      <m:oMathPara>
        <m:oMath>
          <m:r>
            <m:rPr/>
            <w:rPr>
              <w:rFonts w:hint="eastAsia" w:ascii="Cambria Math" w:hAnsi="Cambria Math"/>
            </w:rPr>
            <m:t>软件销售收入</m:t>
          </m:r>
          <m:r>
            <m:rPr/>
            <w:rPr>
              <w:rFonts w:ascii="Cambria Math" w:hAnsi="Cambria Math"/>
            </w:rPr>
            <m:t>=</m:t>
          </m:r>
          <m:r>
            <m:rPr/>
            <w:rPr>
              <w:rFonts w:hint="eastAsia" w:ascii="Cambria Math" w:hAnsi="Cambria Math"/>
            </w:rPr>
            <m:t>单价</m:t>
          </m:r>
          <m:r>
            <m:rPr/>
            <w:rPr>
              <w:rFonts w:ascii="Cambria Math" w:hAnsi="Cambria Math"/>
            </w:rPr>
            <m:t>×</m:t>
          </m:r>
          <m:r>
            <m:rPr/>
            <w:rPr>
              <w:rFonts w:hint="eastAsia" w:ascii="Cambria Math" w:hAnsi="Cambria Math"/>
            </w:rPr>
            <m:t>预期用户数</m:t>
          </m:r>
        </m:oMath>
      </m:oMathPara>
    </w:p>
    <w:p>
      <w:pPr>
        <w:ind w:firstLine="0" w:firstLineChars="0"/>
        <w:rPr>
          <w:b/>
          <w:bCs/>
        </w:rPr>
      </w:pPr>
      <w:r>
        <w:rPr>
          <w:rFonts w:hint="eastAsia"/>
          <w:b/>
          <w:bCs/>
        </w:rPr>
        <w:t>（2）服务费收入</w:t>
      </w:r>
    </w:p>
    <w:p>
      <w:pPr>
        <w:ind w:firstLine="420"/>
      </w:pPr>
      <w:r>
        <w:rPr>
          <w:rFonts w:hint="eastAsia"/>
        </w:rPr>
        <w:t>除了软件销售收入，智慧学习系统还可以提供增值服务，如VIP会员服务、定制化服务等，以获取额外的服务费收入。根据市场需求和用户付费意愿，可以设定不同档次的服务费用，提供不同的增值服务。假设有XX%的用户愿意购买增值服务，每位用户平均增值服务费用为XX元，则服务费收入可计算为：</w:t>
      </w:r>
    </w:p>
    <w:p>
      <w:pPr>
        <w:ind w:firstLine="420"/>
      </w:pPr>
      <m:oMathPara>
        <m:oMath>
          <m:r>
            <m:rPr/>
            <w:rPr>
              <w:rFonts w:hint="eastAsia" w:ascii="Cambria Math" w:hAnsi="Cambria Math"/>
            </w:rPr>
            <m:t>服务费收入</m:t>
          </m:r>
          <m:r>
            <m:rPr/>
            <w:rPr>
              <w:rFonts w:ascii="Cambria Math" w:hAnsi="Cambria Math"/>
            </w:rPr>
            <m:t>=</m:t>
          </m:r>
          <m:r>
            <m:rPr/>
            <w:rPr>
              <w:rFonts w:hint="eastAsia" w:ascii="Cambria Math" w:hAnsi="Cambria Math"/>
            </w:rPr>
            <m:t>预期用户数</m:t>
          </m:r>
          <m:r>
            <m:rPr/>
            <w:rPr>
              <w:rFonts w:ascii="Cambria Math" w:hAnsi="Cambria Math"/>
            </w:rPr>
            <m:t>×</m:t>
          </m:r>
          <m:r>
            <m:rPr/>
            <w:rPr>
              <w:rFonts w:hint="eastAsia" w:ascii="Cambria Math" w:hAnsi="Cambria Math"/>
            </w:rPr>
            <m:t>用户购买增设服务比例</m:t>
          </m:r>
          <m:r>
            <m:rPr/>
            <w:rPr>
              <w:rFonts w:ascii="Cambria Math" w:hAnsi="Cambria Math"/>
            </w:rPr>
            <m:t>×</m:t>
          </m:r>
          <m:r>
            <m:rPr/>
            <w:rPr>
              <w:rFonts w:hint="eastAsia" w:ascii="Cambria Math" w:hAnsi="Cambria Math"/>
            </w:rPr>
            <m:t>平均增值服务费用</m:t>
          </m:r>
        </m:oMath>
      </m:oMathPara>
    </w:p>
    <w:p>
      <w:pPr>
        <w:ind w:firstLine="420"/>
      </w:pPr>
    </w:p>
    <w:p>
      <w:pPr>
        <w:ind w:firstLine="420"/>
      </w:pPr>
      <w:r>
        <w:rPr>
          <w:rFonts w:hint="eastAsia"/>
        </w:rPr>
        <w:t>综上所述，通过软件销售收入和服务费收入两个渠道，智慧学习系统在首年推广中可获得的一次性收益将为市场调研数据和定价策略所决定，并且将为系统开发和推广过程提供重要的资金支持。</w:t>
      </w:r>
    </w:p>
    <w:bookmarkEnd w:id="137"/>
    <w:p>
      <w:pPr>
        <w:pStyle w:val="4"/>
      </w:pPr>
      <w:bookmarkStart w:id="138" w:name="_Toc235842551"/>
      <w:bookmarkStart w:id="139" w:name="_Toc235938063"/>
      <w:bookmarkStart w:id="140" w:name="_Toc235842303"/>
      <w:bookmarkStart w:id="141" w:name="_Toc29603"/>
      <w:r>
        <w:rPr>
          <w:rFonts w:hint="eastAsia"/>
        </w:rPr>
        <w:t>6.2.2非一次性收益</w:t>
      </w:r>
      <w:bookmarkEnd w:id="138"/>
      <w:bookmarkEnd w:id="139"/>
      <w:bookmarkEnd w:id="140"/>
      <w:bookmarkEnd w:id="141"/>
    </w:p>
    <w:p>
      <w:pPr>
        <w:ind w:firstLine="420"/>
      </w:pPr>
      <w:r>
        <w:rPr>
          <w:rFonts w:hint="eastAsia"/>
        </w:rPr>
        <w:t>非一次性收益是指系统运营和维护过程中持续获得的收益，主要包括会员续费收入、广告收入、数据分析收入等。</w:t>
      </w:r>
    </w:p>
    <w:p>
      <w:pPr>
        <w:ind w:firstLine="0" w:firstLineChars="0"/>
        <w:rPr>
          <w:b/>
          <w:bCs/>
        </w:rPr>
      </w:pPr>
      <w:r>
        <w:rPr>
          <w:rFonts w:hint="eastAsia"/>
          <w:b/>
          <w:bCs/>
        </w:rPr>
        <w:t>（1）</w:t>
      </w:r>
      <w:r>
        <w:rPr>
          <w:b/>
          <w:bCs/>
        </w:rPr>
        <w:t>会员续费收入</w:t>
      </w:r>
    </w:p>
    <w:p>
      <w:pPr>
        <w:ind w:firstLine="420"/>
      </w:pPr>
      <w:r>
        <w:t>智慧学习系统提供多种会员制服务，用户可根据需求选择不同的会员套餐，享受不同的特权和服务。基于市场调研和用户行为预测，我们可以估算出每位用户的平均会员续费周期和续费比例。假设平均会员续费周期为XX个月，续费比例为XX%，则会员续费收入可计算为：</w:t>
      </w:r>
    </w:p>
    <w:p>
      <w:pPr>
        <w:ind w:firstLine="420"/>
      </w:pPr>
      <m:oMathPara>
        <m:oMath>
          <m:r>
            <m:rPr/>
            <w:rPr>
              <w:rFonts w:hint="eastAsia" w:ascii="Cambria Math" w:hAnsi="Cambria Math"/>
            </w:rPr>
            <m:t>会员续费收入</m:t>
          </m:r>
          <m:r>
            <m:rPr/>
            <w:rPr>
              <w:rFonts w:ascii="Cambria Math" w:hAnsi="Cambria Math"/>
            </w:rPr>
            <m:t>=</m:t>
          </m:r>
          <m:r>
            <m:rPr/>
            <w:rPr>
              <w:rFonts w:hint="eastAsia" w:ascii="Cambria Math" w:hAnsi="Cambria Math"/>
            </w:rPr>
            <m:t>预期用户数</m:t>
          </m:r>
          <m:r>
            <m:rPr/>
            <w:rPr>
              <w:rFonts w:ascii="Cambria Math" w:hAnsi="Cambria Math"/>
            </w:rPr>
            <m:t>×</m:t>
          </m:r>
          <m:r>
            <m:rPr/>
            <w:rPr>
              <w:rFonts w:hint="eastAsia" w:ascii="Cambria Math" w:hAnsi="Cambria Math"/>
            </w:rPr>
            <m:t>续费比例</m:t>
          </m:r>
          <m:r>
            <m:rPr/>
            <w:rPr>
              <w:rFonts w:ascii="Cambria Math" w:hAnsi="Cambria Math"/>
            </w:rPr>
            <m:t>×</m:t>
          </m:r>
          <m:r>
            <m:rPr/>
            <w:rPr>
              <w:rFonts w:hint="eastAsia" w:ascii="Cambria Math" w:hAnsi="Cambria Math"/>
            </w:rPr>
            <m:t>月均会员费用</m:t>
          </m:r>
        </m:oMath>
      </m:oMathPara>
    </w:p>
    <w:p>
      <w:pPr>
        <w:ind w:firstLine="0" w:firstLineChars="0"/>
        <w:rPr>
          <w:b/>
          <w:bCs/>
        </w:rPr>
      </w:pPr>
      <w:r>
        <w:rPr>
          <w:rFonts w:hint="eastAsia"/>
          <w:b/>
          <w:bCs/>
        </w:rPr>
        <w:t>（2）</w:t>
      </w:r>
      <w:r>
        <w:rPr>
          <w:b/>
          <w:bCs/>
        </w:rPr>
        <w:t>广告收入</w:t>
      </w:r>
    </w:p>
    <w:p>
      <w:pPr>
        <w:ind w:firstLine="420"/>
      </w:pPr>
      <w:r>
        <w:t>智慧学习系统可以通过投放广告获取额外收益。根据用户规模和广告投放效果，我们可以估算出每月的广告收入。假设每个活跃用户每月平均点击广告XX次，每次点击广告收入XX元，则广告收入可计算为：</w:t>
      </w:r>
    </w:p>
    <w:p>
      <w:pPr>
        <w:ind w:firstLine="420"/>
      </w:pPr>
      <m:oMathPara>
        <m:oMath>
          <m:r>
            <m:rPr/>
            <w:rPr>
              <w:rFonts w:hint="eastAsia" w:ascii="Cambria Math" w:hAnsi="Cambria Math"/>
            </w:rPr>
            <m:t>广告收入</m:t>
          </m:r>
          <m:r>
            <m:rPr/>
            <w:rPr>
              <w:rFonts w:ascii="Cambria Math" w:hAnsi="Cambria Math"/>
            </w:rPr>
            <m:t>=</m:t>
          </m:r>
          <m:r>
            <m:rPr/>
            <w:rPr>
              <w:rFonts w:hint="eastAsia" w:ascii="Cambria Math" w:hAnsi="Cambria Math"/>
            </w:rPr>
            <m:t>预期用户数</m:t>
          </m:r>
          <m:r>
            <m:rPr/>
            <w:rPr>
              <w:rFonts w:ascii="Cambria Math" w:hAnsi="Cambria Math"/>
            </w:rPr>
            <m:t>×</m:t>
          </m:r>
          <m:r>
            <m:rPr/>
            <w:rPr>
              <w:rFonts w:hint="eastAsia" w:ascii="Cambria Math" w:hAnsi="Cambria Math"/>
            </w:rPr>
            <m:t>月均点击广告次数</m:t>
          </m:r>
          <m:r>
            <m:rPr/>
            <w:rPr>
              <w:rFonts w:ascii="Cambria Math" w:hAnsi="Cambria Math"/>
            </w:rPr>
            <m:t>×</m:t>
          </m:r>
          <m:r>
            <m:rPr/>
            <w:rPr>
              <w:rFonts w:hint="eastAsia" w:ascii="Cambria Math" w:hAnsi="Cambria Math"/>
            </w:rPr>
            <m:t>每次广告收入</m:t>
          </m:r>
        </m:oMath>
      </m:oMathPara>
    </w:p>
    <w:p>
      <w:pPr>
        <w:ind w:firstLine="0" w:firstLineChars="0"/>
        <w:rPr>
          <w:b/>
          <w:bCs/>
        </w:rPr>
      </w:pPr>
      <w:r>
        <w:rPr>
          <w:rFonts w:hint="eastAsia"/>
          <w:b/>
          <w:bCs/>
        </w:rPr>
        <w:t>（3）</w:t>
      </w:r>
      <w:r>
        <w:rPr>
          <w:b/>
          <w:bCs/>
        </w:rPr>
        <w:t>数据分析收入</w:t>
      </w:r>
    </w:p>
    <w:p>
      <w:pPr>
        <w:ind w:firstLine="420"/>
      </w:pPr>
      <w:r>
        <w:t>智慧学习系统利用用户学习行为数据进行数据分析，并将分析结果提供给教育机构、家长等相关方，以获取数据分析服务费。根据市场需求和数据分析定价策略，我们可以估算出数据分析服务的收入。假设每位用户每月平均购买数据分析服务XX次，每次服务费用XX元，则数据分析收入可计算为：</w:t>
      </w:r>
    </w:p>
    <w:p>
      <w:pPr>
        <w:ind w:firstLine="420"/>
      </w:pPr>
      <m:oMathPara>
        <m:oMath>
          <m:r>
            <m:rPr/>
            <w:rPr>
              <w:rFonts w:hint="eastAsia" w:ascii="Cambria Math" w:hAnsi="Cambria Math"/>
            </w:rPr>
            <m:t>数据分析收入</m:t>
          </m:r>
          <m:r>
            <m:rPr/>
            <w:rPr>
              <w:rFonts w:ascii="Cambria Math" w:hAnsi="Cambria Math"/>
            </w:rPr>
            <m:t>=</m:t>
          </m:r>
          <m:r>
            <m:rPr/>
            <w:rPr>
              <w:rFonts w:hint="eastAsia" w:ascii="Cambria Math" w:hAnsi="Cambria Math"/>
            </w:rPr>
            <m:t>预期用户数</m:t>
          </m:r>
          <m:r>
            <m:rPr/>
            <w:rPr>
              <w:rFonts w:ascii="Cambria Math" w:hAnsi="Cambria Math"/>
            </w:rPr>
            <m:t>×</m:t>
          </m:r>
          <m:r>
            <m:rPr/>
            <w:rPr>
              <w:rFonts w:hint="eastAsia" w:ascii="Cambria Math" w:hAnsi="Cambria Math"/>
            </w:rPr>
            <m:t>月均购买服务次数</m:t>
          </m:r>
          <m:r>
            <m:rPr/>
            <w:rPr>
              <w:rFonts w:ascii="Cambria Math" w:hAnsi="Cambria Math"/>
            </w:rPr>
            <m:t>×</m:t>
          </m:r>
          <m:r>
            <m:rPr/>
            <w:rPr>
              <w:rFonts w:hint="eastAsia" w:ascii="Cambria Math" w:hAnsi="Cambria Math"/>
            </w:rPr>
            <m:t>每次服务费用</m:t>
          </m:r>
        </m:oMath>
      </m:oMathPara>
    </w:p>
    <w:p>
      <w:pPr>
        <w:ind w:firstLine="420"/>
      </w:pPr>
    </w:p>
    <w:p>
      <w:pPr>
        <w:ind w:firstLine="420"/>
      </w:pPr>
      <w:r>
        <w:rPr>
          <w:rFonts w:hint="eastAsia"/>
        </w:rPr>
        <w:t>综上所述</w:t>
      </w:r>
      <w:r>
        <w:t>，通过会员续费收入、广告收入和数据分析收入三个渠道，智慧学习系统在收入方面将得到更加多元化和稳定的支持，进一步提升系统的可持续发展能力。</w:t>
      </w:r>
    </w:p>
    <w:p>
      <w:pPr>
        <w:pStyle w:val="4"/>
      </w:pPr>
      <w:bookmarkStart w:id="142" w:name="_Toc235842552"/>
      <w:bookmarkStart w:id="143" w:name="_Toc235842304"/>
      <w:bookmarkStart w:id="144" w:name="_Toc235938064"/>
      <w:bookmarkStart w:id="145" w:name="_Toc27116"/>
      <w:r>
        <w:rPr>
          <w:rFonts w:hint="eastAsia"/>
        </w:rPr>
        <w:t>6.2.3不可定量的收益</w:t>
      </w:r>
      <w:bookmarkEnd w:id="142"/>
      <w:bookmarkEnd w:id="143"/>
      <w:bookmarkEnd w:id="144"/>
      <w:bookmarkEnd w:id="145"/>
    </w:p>
    <w:p>
      <w:pPr>
        <w:ind w:firstLine="420"/>
      </w:pPr>
      <w:r>
        <w:rPr>
          <w:rFonts w:hint="eastAsia"/>
        </w:rPr>
        <w:t>不可定量的收益指的是系统带来的间接收益，如品牌提升、用户口碑等，无法直接量化，但对系统的长期发展具有重要影响。</w:t>
      </w:r>
      <w:r>
        <w:rPr>
          <w:b/>
          <w:bCs/>
        </w:rPr>
        <w:br w:type="textWrapping"/>
      </w:r>
      <w:r>
        <w:rPr>
          <w:rFonts w:hint="eastAsia"/>
          <w:b/>
          <w:bCs/>
        </w:rPr>
        <w:t>（1）</w:t>
      </w:r>
      <w:r>
        <w:rPr>
          <w:b/>
          <w:bCs/>
        </w:rPr>
        <w:t>品牌提升</w:t>
      </w:r>
    </w:p>
    <w:p>
      <w:pPr>
        <w:ind w:firstLine="420"/>
      </w:pPr>
      <w:r>
        <w:t>智慧学习系统的推广和运营将有助于提升公司在教育行业中的品牌知名度和影响力。通过系统的全面展示和用户体验，公司的品牌形象将得到加强和扩展，进而吸引更多用户和合作伙伴的关注与信任。品牌提升不仅将带来直接的用户增长，还将为公司在竞争激烈的市场中树立起更具竞争力的地位，为长期发展奠定坚实基础。</w:t>
      </w:r>
    </w:p>
    <w:p>
      <w:pPr>
        <w:ind w:firstLine="0" w:firstLineChars="0"/>
        <w:rPr>
          <w:b/>
          <w:bCs/>
        </w:rPr>
      </w:pPr>
      <w:r>
        <w:rPr>
          <w:rFonts w:hint="eastAsia"/>
          <w:b/>
          <w:bCs/>
        </w:rPr>
        <w:t>（2）</w:t>
      </w:r>
      <w:r>
        <w:rPr>
          <w:b/>
          <w:bCs/>
        </w:rPr>
        <w:t>用户口碑</w:t>
      </w:r>
    </w:p>
    <w:p>
      <w:pPr>
        <w:ind w:firstLine="420"/>
      </w:pPr>
      <w:r>
        <w:t>用户对智慧学习系统的良好评价和口碑将成为公司发展的重要助力。用户口碑是由用户真实的使用体验和感受所产生的，它不仅会吸引更多潜在用户的关注和信任，还会促进现有用户的忠诚度和活跃度。通过积极引导和管理用户口碑，公司可以在市场上建立起良好的口碑形象，进而吸引更多的用户群体，为系统的长期发展提供可持续的动力和支持。</w:t>
      </w:r>
    </w:p>
    <w:p>
      <w:pPr>
        <w:pStyle w:val="4"/>
      </w:pPr>
      <w:bookmarkStart w:id="146" w:name="_Toc235938065"/>
      <w:bookmarkStart w:id="147" w:name="_Toc235842305"/>
      <w:bookmarkStart w:id="148" w:name="_Toc235842553"/>
      <w:bookmarkStart w:id="149" w:name="_Toc15161"/>
      <w:r>
        <w:rPr>
          <w:rFonts w:hint="eastAsia"/>
        </w:rPr>
        <w:t>6.2.4收益/投资比</w:t>
      </w:r>
      <w:bookmarkEnd w:id="146"/>
      <w:bookmarkEnd w:id="147"/>
      <w:bookmarkEnd w:id="148"/>
      <w:bookmarkEnd w:id="149"/>
    </w:p>
    <w:p>
      <w:pPr>
        <w:ind w:firstLine="420"/>
      </w:pPr>
      <w:r>
        <w:t>收益/投资比是用于评估投资项目经济效益的重要指标，其计算方法为总收益与总投资之比。</w:t>
      </w:r>
      <w:r>
        <w:rPr>
          <w:rFonts w:hint="eastAsia"/>
        </w:rPr>
        <w:t>计算公式如下：</w:t>
      </w:r>
    </w:p>
    <w:p>
      <w:pPr>
        <w:ind w:firstLine="420"/>
      </w:pPr>
      <m:oMathPara>
        <m:oMath>
          <m:r>
            <m:rPr/>
            <w:rPr>
              <w:rFonts w:hint="eastAsia" w:ascii="Cambria Math" w:hAnsi="Cambria Math"/>
            </w:rPr>
            <m:t>收益</m:t>
          </m:r>
          <m:r>
            <m:rPr/>
            <w:rPr>
              <w:rFonts w:ascii="Cambria Math" w:hAnsi="Cambria Math"/>
            </w:rPr>
            <m:t>/</m:t>
          </m:r>
          <m:r>
            <m:rPr/>
            <w:rPr>
              <w:rFonts w:hint="eastAsia" w:ascii="Cambria Math" w:hAnsi="Cambria Math"/>
            </w:rPr>
            <m:t>投资比</m:t>
          </m:r>
          <m:r>
            <m:rPr/>
            <w:rPr>
              <w:rFonts w:ascii="Cambria Math" w:hAnsi="Cambria Math"/>
            </w:rPr>
            <m:t>=</m:t>
          </m:r>
          <m:f>
            <m:fPr>
              <m:ctrlPr>
                <w:rPr>
                  <w:rFonts w:ascii="Cambria Math" w:hAnsi="Cambria Math"/>
                  <w:i/>
                </w:rPr>
              </m:ctrlPr>
            </m:fPr>
            <m:num>
              <m:r>
                <m:rPr/>
                <w:rPr>
                  <w:rFonts w:hint="eastAsia" w:ascii="Cambria Math" w:hAnsi="Cambria Math"/>
                </w:rPr>
                <m:t>总收益</m:t>
              </m:r>
              <m:ctrlPr>
                <w:rPr>
                  <w:rFonts w:ascii="Cambria Math" w:hAnsi="Cambria Math"/>
                  <w:i/>
                </w:rPr>
              </m:ctrlPr>
            </m:num>
            <m:den>
              <m:r>
                <m:rPr/>
                <w:rPr>
                  <w:rFonts w:hint="eastAsia" w:ascii="Cambria Math" w:hAnsi="Cambria Math"/>
                </w:rPr>
                <m:t>总投资</m:t>
              </m:r>
              <m:ctrlPr>
                <w:rPr>
                  <w:rFonts w:ascii="Cambria Math" w:hAnsi="Cambria Math"/>
                  <w:i/>
                </w:rPr>
              </m:ctrlPr>
            </m:den>
          </m:f>
        </m:oMath>
      </m:oMathPara>
    </w:p>
    <w:p>
      <w:pPr>
        <w:ind w:firstLine="420"/>
      </w:pPr>
      <w:r>
        <w:t>收益/投资比是衡量投资项目经济效益的关键指标之一。当收益/投资比越高时，意味着单位投资所带来的收益越多，投资项目的经济效益越好，投资回报率也越高。因此，较高的收益/投资比通常被视为投资项目吸引力和可行性的重要指标之一。投资者可以通过比较不同投资项目的收益/投资比来做出更明智的投资决策，选择那些具有较高收益/投资比的项目，以获取更大的投资回报和经济效益。</w:t>
      </w:r>
    </w:p>
    <w:p>
      <w:pPr>
        <w:pStyle w:val="4"/>
      </w:pPr>
      <w:bookmarkStart w:id="150" w:name="_Toc235842554"/>
      <w:bookmarkStart w:id="151" w:name="_Toc235842306"/>
      <w:bookmarkStart w:id="152" w:name="_Toc235938066"/>
      <w:bookmarkStart w:id="153" w:name="_Toc13132"/>
      <w:bookmarkStart w:id="154" w:name="_Hlk161248396"/>
      <w:r>
        <w:rPr>
          <w:rFonts w:hint="eastAsia"/>
        </w:rPr>
        <w:t>6.2.5投资回收周期</w:t>
      </w:r>
      <w:bookmarkEnd w:id="150"/>
      <w:bookmarkEnd w:id="151"/>
      <w:bookmarkEnd w:id="152"/>
      <w:bookmarkEnd w:id="153"/>
    </w:p>
    <w:bookmarkEnd w:id="154"/>
    <w:p>
      <w:pPr>
        <w:ind w:firstLine="420"/>
      </w:pPr>
      <w:r>
        <w:rPr>
          <w:rFonts w:hint="eastAsia"/>
        </w:rPr>
        <w:t>投资回收周期，可以用来计算项目投产后在正常生产经营条件下的收益额和计提的折旧额、无形资产摊销额用来收回项目总投资所需的时间，与行业基准投资回收周期对比来分析项目投资财务效益，是衡量投资回报速度的重要指标。投资回收期的计算公式如下:</w:t>
      </w:r>
    </w:p>
    <w:p>
      <w:pPr>
        <w:ind w:firstLine="420"/>
      </w:pPr>
      <m:oMathPara>
        <m:oMath>
          <m:nary>
            <m:naryPr>
              <m:chr m:val="∑"/>
              <m:limLoc m:val="undOvr"/>
              <m:ctrlPr>
                <w:rPr>
                  <w:rFonts w:ascii="Cambria Math" w:hAnsi="Cambria Math"/>
                  <w:i/>
                </w:rPr>
              </m:ctrlPr>
            </m:naryPr>
            <m:sub>
              <m:r>
                <m:rPr/>
                <w:rPr>
                  <w:rFonts w:ascii="Cambria Math" w:hAnsi="Cambria Math"/>
                </w:rPr>
                <m:t>t=1</m:t>
              </m:r>
              <m:ctrlPr>
                <w:rPr>
                  <w:rFonts w:ascii="Cambria Math" w:hAnsi="Cambria Math"/>
                  <w:i/>
                </w:rPr>
              </m:ctrlPr>
            </m:sub>
            <m:sup>
              <m:r>
                <m:rPr/>
                <w:rPr>
                  <w:rFonts w:ascii="Cambria Math" w:hAnsi="Cambria Math"/>
                </w:rPr>
                <m:t>r</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=0</m:t>
          </m:r>
        </m:oMath>
      </m:oMathPara>
    </w:p>
    <w:p>
      <w:pPr>
        <w:ind w:firstLine="420"/>
      </w:pPr>
      <w:r>
        <w:rPr>
          <w:rFonts w:hint="eastAsia"/>
        </w:rPr>
        <w:t>式中T为投资回收周期，</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为t时期的现金流入量，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为初始投资额。</w:t>
      </w:r>
    </w:p>
    <w:p>
      <w:pPr>
        <w:ind w:firstLine="420"/>
      </w:pPr>
      <w:r>
        <w:rPr>
          <w:rFonts w:hint="eastAsia"/>
        </w:rPr>
        <w:t>若投资项目各期现金流量相等，那么投资回收周期的计算可以简化为：</w:t>
      </w:r>
    </w:p>
    <w:p>
      <w:pPr>
        <w:ind w:firstLine="420"/>
      </w:pPr>
      <m:oMathPara>
        <m:oMath>
          <m:r>
            <m:rPr/>
            <w:rPr>
              <w:rFonts w:hint="eastAsia" w:ascii="Cambria Math" w:hAnsi="Cambria Math"/>
            </w:rPr>
            <m:t>投资回收周期</m:t>
          </m:r>
          <m:r>
            <m:rPr/>
            <w:rPr>
              <w:rFonts w:ascii="Cambria Math" w:hAnsi="Cambria Math"/>
            </w:rPr>
            <m:t>=</m:t>
          </m:r>
          <m:f>
            <m:fPr>
              <m:ctrlPr>
                <w:rPr>
                  <w:rFonts w:ascii="Cambria Math" w:hAnsi="Cambria Math"/>
                  <w:i/>
                </w:rPr>
              </m:ctrlPr>
            </m:fPr>
            <m:num>
              <m:r>
                <m:rPr/>
                <w:rPr>
                  <w:rFonts w:hint="eastAsia" w:ascii="Cambria Math" w:hAnsi="Cambria Math"/>
                </w:rPr>
                <m:t>投资的初始投资额</m:t>
              </m:r>
              <m:ctrlPr>
                <w:rPr>
                  <w:rFonts w:ascii="Cambria Math" w:hAnsi="Cambria Math"/>
                  <w:i/>
                </w:rPr>
              </m:ctrlPr>
            </m:num>
            <m:den>
              <m:r>
                <m:rPr/>
                <w:rPr>
                  <w:rFonts w:hint="eastAsia" w:ascii="Cambria Math" w:hAnsi="Cambria Math"/>
                </w:rPr>
                <m:t>一期的现金流量</m:t>
              </m:r>
              <m:ctrlPr>
                <w:rPr>
                  <w:rFonts w:ascii="Cambria Math" w:hAnsi="Cambria Math"/>
                  <w:i/>
                </w:rPr>
              </m:ctrlPr>
            </m:den>
          </m:f>
        </m:oMath>
      </m:oMathPara>
    </w:p>
    <w:p>
      <w:pPr>
        <w:ind w:firstLine="420"/>
      </w:pPr>
      <w:r>
        <w:rPr>
          <w:rFonts w:hint="eastAsia"/>
        </w:rPr>
        <w:t>如果投资项目投产后每年产生的净现金流入量不等，则需逐年累加，最后计算出投资回收期。可以表示为:</w:t>
      </w:r>
    </w:p>
    <w:p>
      <w:pPr>
        <w:ind w:firstLine="420"/>
      </w:pPr>
      <m:oMathPara>
        <m:oMath>
          <m:r>
            <m:rPr/>
            <w:rPr>
              <w:rFonts w:hint="eastAsia" w:ascii="Cambria Math" w:hAnsi="Cambria Math"/>
            </w:rPr>
            <m:t>投资回收周期</m:t>
          </m:r>
          <m:r>
            <m:rPr/>
            <w:rPr>
              <w:rFonts w:ascii="Cambria Math" w:hAnsi="Cambria Math"/>
            </w:rPr>
            <m:t>=</m:t>
          </m:r>
          <m:f>
            <m:fPr>
              <m:ctrlPr>
                <w:rPr>
                  <w:rFonts w:ascii="Cambria Math" w:hAnsi="Cambria Math"/>
                  <w:i/>
                </w:rPr>
              </m:ctrlPr>
            </m:fPr>
            <m:num>
              <m:r>
                <m:rPr/>
                <w:rPr>
                  <w:rFonts w:hint="eastAsia" w:ascii="Cambria Math" w:hAnsi="Cambria Math"/>
                </w:rPr>
                <m:t>项目总投资</m:t>
              </m:r>
              <m:ctrlPr>
                <w:rPr>
                  <w:rFonts w:ascii="Cambria Math" w:hAnsi="Cambria Math"/>
                  <w:i/>
                </w:rPr>
              </m:ctrlPr>
            </m:num>
            <m:den>
              <m:r>
                <m:rPr/>
                <w:rPr>
                  <w:rFonts w:hint="eastAsia" w:ascii="Cambria Math" w:hAnsi="Cambria Math"/>
                </w:rPr>
                <m:t>年收益额</m:t>
              </m:r>
              <m:r>
                <m:rPr/>
                <w:rPr>
                  <w:rFonts w:ascii="Cambria Math" w:hAnsi="Cambria Math"/>
                </w:rPr>
                <m:t>+</m:t>
              </m:r>
              <m:r>
                <m:rPr/>
                <w:rPr>
                  <w:rFonts w:hint="eastAsia" w:ascii="Cambria Math" w:hAnsi="Cambria Math"/>
                </w:rPr>
                <m:t>年计提折旧额</m:t>
              </m:r>
              <m:r>
                <m:rPr/>
                <w:rPr>
                  <w:rFonts w:ascii="Cambria Math" w:hAnsi="Cambria Math"/>
                </w:rPr>
                <m:t>+</m:t>
              </m:r>
              <m:r>
                <m:rPr/>
                <w:rPr>
                  <w:rFonts w:hint="eastAsia" w:ascii="Cambria Math" w:hAnsi="Cambria Math"/>
                </w:rPr>
                <m:t>年无形资产摊销额</m:t>
              </m:r>
              <m:ctrlPr>
                <w:rPr>
                  <w:rFonts w:ascii="Cambria Math" w:hAnsi="Cambria Math"/>
                  <w:i/>
                </w:rPr>
              </m:ctrlPr>
            </m:den>
          </m:f>
        </m:oMath>
      </m:oMathPara>
    </w:p>
    <w:p>
      <w:pPr>
        <w:ind w:firstLine="420"/>
      </w:pPr>
      <w:r>
        <w:rPr>
          <w:rFonts w:hint="eastAsia"/>
        </w:rPr>
        <w:t>式中项目总投资是包括项目建设期间借款利息的总投资。年收益额是项目投产后达到设计年产量后第一个年度所获得收益额和计提的折旧额、无形资产摊销额。年收益额可按税前利润和税后利润计算，目前一般都按年税前利润计算。在计算投资回收周期时，之所以在年收益额外还要加上计提折旧额和无形资产摊销额，是因为折旧额和摊销额是重新购置固定资产和添新资产的资金来源，它虽不是项目的收益，但是它是用以补偿固定资产和无形资产投资的，所以也应将它与收益额一起作为收回的投资。上式算得的投资回收期是从投产之日开始计算的。如按建设期初算起，还要加上建设期。</w:t>
      </w:r>
    </w:p>
    <w:p>
      <w:pPr>
        <w:ind w:firstLine="420"/>
      </w:pPr>
      <w:r>
        <w:t>投资回收周期越短，意味着投资项目的投资回报速度越快，风险相对较低。较短的投资回收周期通常被视为投资项目吸引力和可行性的重要指标之一。这是因为投资者希望能够在较短的时间内获得投资回报，以降低投资风险并实现资金的有效利用。通过比较不同投资项目的投资回收周期，投资者可以更好地评估投资项目的回报速度和风险水平，并做出相应的投资决策。</w:t>
      </w:r>
    </w:p>
    <w:p>
      <w:pPr>
        <w:pStyle w:val="3"/>
      </w:pPr>
      <w:bookmarkStart w:id="155" w:name="_Toc235938067"/>
      <w:bookmarkStart w:id="156" w:name="_Toc235842555"/>
      <w:bookmarkStart w:id="157" w:name="_Toc235842307"/>
      <w:bookmarkStart w:id="158" w:name="_Toc11733"/>
      <w:r>
        <w:rPr>
          <w:rFonts w:hint="eastAsia"/>
        </w:rPr>
        <w:t>6.3市场预测</w:t>
      </w:r>
      <w:bookmarkEnd w:id="155"/>
      <w:bookmarkEnd w:id="156"/>
      <w:bookmarkEnd w:id="157"/>
      <w:bookmarkEnd w:id="158"/>
    </w:p>
    <w:p>
      <w:pPr>
        <w:ind w:firstLine="420"/>
      </w:pPr>
      <w:r>
        <w:t>本</w:t>
      </w:r>
      <w:r>
        <w:rPr>
          <w:rFonts w:hint="eastAsia"/>
        </w:rPr>
        <w:t>部分</w:t>
      </w:r>
      <w:r>
        <w:t>旨在对智慧学习系统的市场进行预测分析，</w:t>
      </w:r>
      <w:r>
        <w:rPr>
          <w:rFonts w:hint="eastAsia"/>
        </w:rPr>
        <w:t>包括市场概况分析、市场需求分析、市场环境分析以及市场预测分析，</w:t>
      </w:r>
      <w:r>
        <w:t>以全面了解市场潜力和未来发展趋势。</w:t>
      </w:r>
    </w:p>
    <w:p>
      <w:pPr>
        <w:keepNext/>
        <w:keepLines/>
        <w:spacing w:before="260" w:after="260" w:line="415" w:lineRule="auto"/>
        <w:ind w:firstLine="0" w:firstLineChars="0"/>
        <w:outlineLvl w:val="2"/>
        <w:rPr>
          <w:b/>
          <w:bCs/>
          <w:sz w:val="32"/>
          <w:szCs w:val="32"/>
        </w:rPr>
      </w:pPr>
      <w:bookmarkStart w:id="159" w:name="_Toc25058"/>
      <w:r>
        <w:rPr>
          <w:rFonts w:hint="eastAsia"/>
          <w:b/>
          <w:bCs/>
          <w:sz w:val="32"/>
          <w:szCs w:val="32"/>
        </w:rPr>
        <w:t>6.3.1市场概况</w:t>
      </w:r>
      <w:bookmarkEnd w:id="159"/>
    </w:p>
    <w:p>
      <w:pPr>
        <w:ind w:firstLine="0" w:firstLineChars="0"/>
        <w:rPr>
          <w:b/>
          <w:bCs/>
        </w:rPr>
      </w:pPr>
      <w:r>
        <w:rPr>
          <w:rFonts w:hint="eastAsia"/>
          <w:b/>
          <w:bCs/>
        </w:rPr>
        <w:t>（1）</w:t>
      </w:r>
      <w:r>
        <w:rPr>
          <w:b/>
          <w:bCs/>
        </w:rPr>
        <w:t>教育市场规模分析</w:t>
      </w:r>
    </w:p>
    <w:p>
      <w:pPr>
        <w:ind w:firstLine="420"/>
      </w:pPr>
      <w:r>
        <w:rPr>
          <w:rFonts w:hint="eastAsia"/>
        </w:rPr>
        <w:t>近年来，</w:t>
      </w:r>
      <w:r>
        <w:t>教育市场</w:t>
      </w:r>
      <w:r>
        <w:rPr>
          <w:rFonts w:hint="eastAsia"/>
        </w:rPr>
        <w:t>成长为</w:t>
      </w:r>
      <w:r>
        <w:t>一个庞大而具有持续增长潜力的市场。根据最新统计数据显示，中国初中生和小学生的总人数近年来呈现稳步增长的趋势，预计未来仍将保持增长。这一趋势不仅反映了教育事业的重要性和人口基数的稳定增长，也为教育产业的发展提供了坚实的市场基础。</w:t>
      </w:r>
    </w:p>
    <w:p>
      <w:pPr>
        <w:ind w:firstLine="0" w:firstLineChars="0"/>
        <w:rPr>
          <w:b/>
          <w:bCs/>
        </w:rPr>
      </w:pPr>
      <w:r>
        <w:rPr>
          <w:rFonts w:hint="eastAsia"/>
          <w:b/>
          <w:bCs/>
        </w:rPr>
        <w:t>（2）</w:t>
      </w:r>
      <w:r>
        <w:rPr>
          <w:b/>
          <w:bCs/>
        </w:rPr>
        <w:t>智能教育市场趋势分析</w:t>
      </w:r>
    </w:p>
    <w:p>
      <w:pPr>
        <w:ind w:firstLine="420"/>
      </w:pPr>
      <w:r>
        <w:t>随着信息技术的不断发展和智能设备的普及，智能教育市场正在迅速崛起。在当今数字化时代，家长和学生对于智能学习工具的需求日益增加，他们希望通过先进的科技手段来提高学习效率和质量。这一趋势为智慧学习系统的发展提供了良好的契机。智慧学习系统结合了教育理论和先进的信息技术，为学生提供了个性化、高效率的学习体验，满足了现代学习者对于个性化学习和数字化教育的需求，具有广阔的市场前景和发展空间。</w:t>
      </w:r>
    </w:p>
    <w:p>
      <w:pPr>
        <w:keepNext/>
        <w:keepLines/>
        <w:spacing w:before="260" w:after="260" w:line="415" w:lineRule="auto"/>
        <w:ind w:firstLine="0" w:firstLineChars="0"/>
        <w:outlineLvl w:val="2"/>
        <w:rPr>
          <w:b/>
          <w:bCs/>
          <w:sz w:val="32"/>
          <w:szCs w:val="32"/>
        </w:rPr>
      </w:pPr>
      <w:bookmarkStart w:id="160" w:name="_Toc14063"/>
      <w:r>
        <w:rPr>
          <w:rFonts w:hint="eastAsia"/>
          <w:b/>
          <w:bCs/>
          <w:sz w:val="32"/>
          <w:szCs w:val="32"/>
        </w:rPr>
        <w:t>6.3.2市场需求分析</w:t>
      </w:r>
      <w:bookmarkEnd w:id="160"/>
    </w:p>
    <w:p>
      <w:pPr>
        <w:ind w:firstLine="0" w:firstLineChars="0"/>
        <w:rPr>
          <w:b/>
          <w:bCs/>
        </w:rPr>
      </w:pPr>
      <w:r>
        <w:rPr>
          <w:rFonts w:hint="eastAsia"/>
          <w:b/>
          <w:bCs/>
        </w:rPr>
        <w:t>（1）用户需求分析</w:t>
      </w:r>
    </w:p>
    <w:p>
      <w:pPr>
        <w:ind w:firstLine="420"/>
      </w:pPr>
      <w:r>
        <w:rPr>
          <w:rFonts w:hint="eastAsia"/>
        </w:rPr>
        <w:t>智慧学习系统的主要用户群体是初中生和小学生，他们对于学习的需求主要包括以下几个方面：</w:t>
      </w:r>
    </w:p>
    <w:p>
      <w:pPr>
        <w:pStyle w:val="25"/>
        <w:numPr>
          <w:ilvl w:val="0"/>
          <w:numId w:val="1"/>
        </w:numPr>
        <w:ind w:firstLineChars="0"/>
      </w:pPr>
      <w:r>
        <w:rPr>
          <w:rFonts w:hint="eastAsia"/>
        </w:rPr>
        <w:t>方便易用的学习工具： 用户希望使用一个方便、易于操作的学习工具来辅助他们的学习过程，使学习变得更加高效和便捷。</w:t>
      </w:r>
    </w:p>
    <w:p>
      <w:pPr>
        <w:pStyle w:val="25"/>
        <w:numPr>
          <w:ilvl w:val="0"/>
          <w:numId w:val="1"/>
        </w:numPr>
        <w:ind w:firstLineChars="0"/>
      </w:pPr>
      <w:r>
        <w:rPr>
          <w:rFonts w:hint="eastAsia"/>
        </w:rPr>
        <w:t>有趣和有效率的学习过程： 学生们希望学习过程不再枯燥乏味，而是能够通过吸引人的学习方式和趣味性的内容，使学习变得更加有趣和有效率。</w:t>
      </w:r>
    </w:p>
    <w:p>
      <w:pPr>
        <w:pStyle w:val="25"/>
        <w:numPr>
          <w:ilvl w:val="0"/>
          <w:numId w:val="1"/>
        </w:numPr>
        <w:ind w:firstLineChars="0"/>
      </w:pPr>
      <w:r>
        <w:rPr>
          <w:rFonts w:hint="eastAsia"/>
        </w:rPr>
        <w:t>个性化的学习内容和任务安排： 不同的学生都有自己不同的学习习惯和水平，因此他们希望学习系统能够根据个人的学习需求和能力水平，提供个性化的学习内容和任务安排，以更好地满足他们的学习需求。</w:t>
      </w:r>
    </w:p>
    <w:p>
      <w:pPr>
        <w:pStyle w:val="25"/>
        <w:numPr>
          <w:ilvl w:val="0"/>
          <w:numId w:val="1"/>
        </w:numPr>
        <w:ind w:firstLineChars="0"/>
      </w:pPr>
      <w:r>
        <w:rPr>
          <w:rFonts w:hint="eastAsia"/>
        </w:rPr>
        <w:t>了解学习进步和提高学习动力： 用户需要了解自己的学习进步情况，并通过及时的反馈和鼓励来提高学习动力和积极性，从而更好地推动学习的持续进步和提高。</w:t>
      </w:r>
    </w:p>
    <w:p>
      <w:pPr>
        <w:ind w:firstLine="0" w:firstLineChars="0"/>
        <w:rPr>
          <w:b/>
          <w:bCs/>
        </w:rPr>
      </w:pPr>
      <w:r>
        <w:rPr>
          <w:rFonts w:hint="eastAsia"/>
          <w:b/>
          <w:bCs/>
        </w:rPr>
        <w:t>（2）市场调研分析</w:t>
      </w:r>
    </w:p>
    <w:p>
      <w:pPr>
        <w:ind w:firstLine="420"/>
      </w:pPr>
      <w:r>
        <w:rPr>
          <w:rFonts w:hint="eastAsia"/>
        </w:rPr>
        <w:t>通过对智能教育市场的深入调研，我们可以了解当前市场上存在的主要问题和用户需求。这包括对竞争对手的分析、用户调查和需求分析等，从而更好地把握市场动态，为智慧学习系统的功能和特点的设计提供有力支持，以满足用户的实际需求，提高系统的竞争力和市场占有率。</w:t>
      </w:r>
    </w:p>
    <w:p>
      <w:pPr>
        <w:keepNext/>
        <w:keepLines/>
        <w:spacing w:before="260" w:after="260" w:line="415" w:lineRule="auto"/>
        <w:ind w:firstLine="0" w:firstLineChars="0"/>
        <w:outlineLvl w:val="2"/>
        <w:rPr>
          <w:b/>
          <w:bCs/>
          <w:sz w:val="32"/>
          <w:szCs w:val="32"/>
        </w:rPr>
      </w:pPr>
      <w:bookmarkStart w:id="161" w:name="_Toc3996"/>
      <w:bookmarkStart w:id="162" w:name="_Hlk161249483"/>
      <w:r>
        <w:rPr>
          <w:rFonts w:hint="eastAsia"/>
          <w:b/>
          <w:bCs/>
          <w:sz w:val="32"/>
          <w:szCs w:val="32"/>
        </w:rPr>
        <w:t>6.3.3市场环境分析</w:t>
      </w:r>
      <w:bookmarkEnd w:id="161"/>
    </w:p>
    <w:bookmarkEnd w:id="162"/>
    <w:p>
      <w:pPr>
        <w:ind w:firstLine="0" w:firstLineChars="0"/>
        <w:rPr>
          <w:b/>
          <w:bCs/>
        </w:rPr>
      </w:pPr>
      <w:r>
        <w:rPr>
          <w:rFonts w:hint="eastAsia"/>
          <w:b/>
          <w:bCs/>
        </w:rPr>
        <w:t>（1）竞争分析</w:t>
      </w:r>
    </w:p>
    <w:p>
      <w:pPr>
        <w:ind w:firstLine="420"/>
      </w:pPr>
      <w:r>
        <w:rPr>
          <w:rFonts w:hint="eastAsia"/>
        </w:rPr>
        <w:t>当前智能教育市场竞争激烈，已经涌现出了众多的竞争对手，包括在线教育平台、教育App等。这些竞争对手提供了各种类型的智能学习产品和服务，形成了多元化的竞争格局。竞争对手之间存在着功能、内容、用户体验等方面的差异化竞争，通过不断推出新的功能和服务，以吸引用户和提升市场份额。因此，智慧学习系统需要在竞争激烈的市场中不断创新，提高产品的差异化竞争优势，以赢得用户的青睐。</w:t>
      </w:r>
    </w:p>
    <w:p>
      <w:pPr>
        <w:ind w:firstLine="0" w:firstLineChars="0"/>
        <w:rPr>
          <w:b/>
          <w:bCs/>
        </w:rPr>
      </w:pPr>
      <w:r>
        <w:rPr>
          <w:rFonts w:hint="eastAsia"/>
          <w:b/>
          <w:bCs/>
        </w:rPr>
        <w:t>（2）市场机会</w:t>
      </w:r>
    </w:p>
    <w:p>
      <w:pPr>
        <w:ind w:firstLine="420"/>
      </w:pPr>
      <w:r>
        <w:rPr>
          <w:rFonts w:hint="eastAsia"/>
        </w:rPr>
        <w:t>尽管市场竞争激烈，但智慧学习系统仍然具有良好的市场机会：</w:t>
      </w:r>
    </w:p>
    <w:p>
      <w:pPr>
        <w:pStyle w:val="25"/>
        <w:numPr>
          <w:ilvl w:val="0"/>
          <w:numId w:val="2"/>
        </w:numPr>
        <w:ind w:firstLineChars="0"/>
      </w:pPr>
      <w:r>
        <w:rPr>
          <w:rFonts w:hint="eastAsia"/>
        </w:rPr>
        <w:t>专注于初中生和小学生的学习需求：针对特定用户群体的需求，提供定制化的智能学习解决方案，有助于建立起用户忠诚度和口碑。</w:t>
      </w:r>
    </w:p>
    <w:p>
      <w:pPr>
        <w:pStyle w:val="25"/>
        <w:numPr>
          <w:ilvl w:val="0"/>
          <w:numId w:val="2"/>
        </w:numPr>
        <w:ind w:firstLineChars="0"/>
      </w:pPr>
      <w:r>
        <w:rPr>
          <w:rFonts w:hint="eastAsia"/>
        </w:rPr>
        <w:t>结合先进的大数据分析和人工智能技术：利用大数据分析和人工智能技术，为用户提供个性化的学习服务，根据用户的学习情况和特点，进行精准推荐和指导，提升用户体验和学习效果。</w:t>
      </w:r>
    </w:p>
    <w:p>
      <w:pPr>
        <w:pStyle w:val="25"/>
        <w:numPr>
          <w:ilvl w:val="0"/>
          <w:numId w:val="2"/>
        </w:numPr>
        <w:ind w:firstLineChars="0"/>
      </w:pPr>
      <w:r>
        <w:rPr>
          <w:rFonts w:hint="eastAsia"/>
        </w:rPr>
        <w:t>创新的学习任务制定和学习记录功能：通过创新的学习任务制定和学习记录功能，帮助用户更好地管理学习进度和成果，激发学习动力，提高用户满意度和忠诚度，进而树立良好的品牌形象。</w:t>
      </w:r>
    </w:p>
    <w:p>
      <w:pPr>
        <w:keepNext/>
        <w:keepLines/>
        <w:spacing w:before="260" w:after="260" w:line="415" w:lineRule="auto"/>
        <w:ind w:firstLine="0" w:firstLineChars="0"/>
        <w:outlineLvl w:val="2"/>
        <w:rPr>
          <w:b/>
          <w:bCs/>
          <w:sz w:val="32"/>
          <w:szCs w:val="32"/>
        </w:rPr>
      </w:pPr>
      <w:bookmarkStart w:id="163" w:name="_Toc15304"/>
      <w:r>
        <w:rPr>
          <w:rFonts w:hint="eastAsia"/>
          <w:b/>
          <w:bCs/>
          <w:sz w:val="32"/>
          <w:szCs w:val="32"/>
        </w:rPr>
        <w:t>6.3.3市场预测分析</w:t>
      </w:r>
      <w:bookmarkEnd w:id="163"/>
    </w:p>
    <w:p>
      <w:pPr>
        <w:ind w:firstLine="0" w:firstLineChars="0"/>
      </w:pPr>
      <w:r>
        <w:rPr>
          <w:rFonts w:hint="eastAsia"/>
          <w:b/>
          <w:bCs/>
        </w:rPr>
        <w:t>（1）市场规模预测</w:t>
      </w:r>
    </w:p>
    <w:p>
      <w:pPr>
        <w:ind w:firstLine="420"/>
      </w:pPr>
      <w:r>
        <w:rPr>
          <w:rFonts w:hint="eastAsia"/>
        </w:rPr>
        <w:t>基于当前市场规模和发展趋势，预计未来智能教育市场将继续保持快速增长，尤其是初中生和小学生市场规模仍将保持增长趋势。随着科技智能化的不断推进和教育需求的不断增加，智能教育市场将持续扩大。未来，随着更多教育机构和家长意识到智能教育的重要性，并采用智慧学习系统来提升教学效果，市场规模有望进一步扩大。</w:t>
      </w:r>
    </w:p>
    <w:p>
      <w:pPr>
        <w:ind w:firstLine="0" w:firstLineChars="0"/>
        <w:rPr>
          <w:b/>
          <w:bCs/>
        </w:rPr>
      </w:pPr>
      <w:r>
        <w:rPr>
          <w:rFonts w:hint="eastAsia"/>
          <w:b/>
          <w:bCs/>
        </w:rPr>
        <w:t>（2）用户增长预测</w:t>
      </w:r>
    </w:p>
    <w:p>
      <w:pPr>
        <w:ind w:firstLine="420"/>
      </w:pPr>
      <w:r>
        <w:rPr>
          <w:rFonts w:hint="eastAsia"/>
        </w:rPr>
        <w:t>随着智慧学习系统的推广和用户口碑的传播，预计用户数量将呈现逐步增长的态势。通过市场营销和产品优化，可进一步提高用户增长速度。随着系统功能的不断丰富和用户体验的持续改善，吸引更多用户加入到智慧学习系统的使用者队伍中。同时，用户对于个性化、高效率学习工具的需求不断增加，也将推动智慧学习系统用户数量的增长。因此，通过有效的市场推广和用户服务，智慧学习系统有望在未来实现稳健的用户增长。</w:t>
      </w:r>
    </w:p>
    <w:p>
      <w:pPr>
        <w:pStyle w:val="2"/>
      </w:pPr>
      <w:bookmarkStart w:id="164" w:name="_Toc7062"/>
      <w:r>
        <w:rPr>
          <w:rFonts w:hint="eastAsia"/>
        </w:rPr>
        <w:t>7技术可行性(技术风险评价)</w:t>
      </w:r>
      <w:bookmarkEnd w:id="164"/>
    </w:p>
    <w:p>
      <w:pPr>
        <w:pStyle w:val="3"/>
      </w:pPr>
      <w:bookmarkStart w:id="165" w:name="_Toc31339"/>
      <w:bookmarkStart w:id="166" w:name="_Toc235938069"/>
      <w:bookmarkStart w:id="167" w:name="_Toc235842557"/>
      <w:bookmarkStart w:id="168" w:name="_Toc235842309"/>
      <w:r>
        <w:rPr>
          <w:rFonts w:hint="eastAsia"/>
        </w:rPr>
        <w:t>7.1.1 概述</w:t>
      </w:r>
      <w:bookmarkEnd w:id="165"/>
    </w:p>
    <w:p>
      <w:pPr>
        <w:ind w:firstLine="420"/>
        <w:rPr>
          <w:rStyle w:val="15"/>
          <w:rFonts w:ascii="Segoe UI" w:hAnsi="Segoe UI" w:cs="Segoe UI"/>
          <w:b w:val="0"/>
          <w:szCs w:val="21"/>
        </w:rPr>
      </w:pPr>
      <w:r>
        <w:t>智慧学习教育平台的实现技术有多种，</w:t>
      </w:r>
      <w:r>
        <w:rPr>
          <w:rStyle w:val="15"/>
          <w:rFonts w:hint="eastAsia" w:ascii="Segoe UI" w:hAnsi="Segoe UI" w:cs="Segoe UI"/>
          <w:b w:val="0"/>
          <w:szCs w:val="21"/>
        </w:rPr>
        <w:t>该项目由五人进行开发，其中两人进行前端的开发，三人进行后端的开发。</w:t>
      </w:r>
    </w:p>
    <w:p>
      <w:pPr>
        <w:pStyle w:val="3"/>
      </w:pPr>
      <w:bookmarkStart w:id="169" w:name="_Toc8613"/>
      <w:r>
        <w:rPr>
          <w:rFonts w:hint="eastAsia"/>
        </w:rPr>
        <w:t>7.1.2 前端</w:t>
      </w:r>
      <w:bookmarkEnd w:id="169"/>
    </w:p>
    <w:p>
      <w:pPr>
        <w:ind w:firstLine="420"/>
        <w:rPr>
          <w:kern w:val="0"/>
        </w:rPr>
      </w:pPr>
      <w:r>
        <w:rPr>
          <w:kern w:val="0"/>
        </w:rPr>
        <w:t>Vue是一种流行的JavaScript框架，用于构建交互式的Web界面。它具有简洁的语法、响应式数据绑定和组件化的特性，使得开发者能够快速构建现代化的Web应用。Vue可以实现前端开发中的各种功能，包括数据绑定、组件化、路由管理、状态管理等，同时支持插件和第三方库的集成，为开发者提供了丰富的工具和生态系统。Electron是一个开源的桌面应用开发框架，基于Web技术（HTML、CSS、JavaScript）构建跨平台的桌面应用程序。Electron可以实现各种桌面应用程序，包括编辑器、通讯工具、音乐播放器等。它提供了丰富的API和功能，如窗口管理、菜单栏、文件系统访问等，同时支持打包发布应用到不同的操作系统（如Windows、MacOS、Linux）。</w:t>
      </w:r>
    </w:p>
    <w:p>
      <w:pPr>
        <w:ind w:firstLine="420"/>
        <w:rPr>
          <w:rStyle w:val="15"/>
          <w:rFonts w:ascii="宋体" w:hAnsi="宋体" w:cs="Segoe UI"/>
          <w:b w:val="0"/>
          <w:bCs w:val="0"/>
          <w:kern w:val="0"/>
          <w:szCs w:val="21"/>
        </w:rPr>
      </w:pPr>
      <w:r>
        <w:rPr>
          <w:kern w:val="0"/>
        </w:rPr>
        <w:t>TypeScript是一种由微软开发的开源编程语言，通过TypeScript，开发者可以编写更加健壮、可维护的代码，并在编译时发现潜在的错误。TypeScript可以实现类型安全、接口定义、类继承、泛型等功能，使得代码更加可读性和可维护性。同时，TypeScript可以编译为标准的JavaScript代码，在浏览器中运行。Axios是一个基于Promise的HTTP客户端，用于在浏览器和Node.js中发送HTTP请求。它支持在浏览器中使用XMLHttpRequest或者在Node.js中使用http模块发送请求，提供了简洁的API和丰富的功能。Axios可以实现HTTP请求的发送、响应的处理、拦截器、取消请求等功能，同时支持Promise API，使得处理异步请求更加方便和可靠。</w:t>
      </w:r>
    </w:p>
    <w:p>
      <w:pPr>
        <w:ind w:firstLine="420"/>
        <w:rPr>
          <w:kern w:val="0"/>
        </w:rPr>
      </w:pPr>
      <w:r>
        <w:rPr>
          <w:shd w:val="clear" w:color="auto" w:fill="FFFFFF"/>
        </w:rPr>
        <w:t>整个开发过程的</w:t>
      </w:r>
      <w:r>
        <w:rPr>
          <w:rStyle w:val="15"/>
          <w:rFonts w:hint="eastAsia" w:ascii="Segoe UI" w:hAnsi="Segoe UI" w:cs="Segoe UI"/>
          <w:b w:val="0"/>
          <w:szCs w:val="21"/>
        </w:rPr>
        <w:t>前端使用</w:t>
      </w:r>
      <w:r>
        <w:rPr>
          <w:rStyle w:val="15"/>
          <w:rFonts w:hint="eastAsia" w:ascii="宋体" w:hAnsi="宋体" w:cs="Segoe UI"/>
          <w:b w:val="0"/>
          <w:szCs w:val="21"/>
        </w:rPr>
        <w:t>Vue</w:t>
      </w:r>
      <w:r>
        <w:rPr>
          <w:rStyle w:val="15"/>
          <w:rFonts w:hint="eastAsia" w:ascii="Segoe UI" w:hAnsi="Segoe UI" w:cs="Segoe UI"/>
          <w:b w:val="0"/>
          <w:szCs w:val="21"/>
        </w:rPr>
        <w:t>框架，</w:t>
      </w:r>
      <w:r>
        <w:rPr>
          <w:shd w:val="clear" w:color="auto" w:fill="FFFFFF"/>
        </w:rPr>
        <w:t>使用HTML、CSS、JavaScript等技术构建立交互界面，构</w:t>
      </w:r>
      <w:r>
        <w:rPr>
          <w:rFonts w:ascii="Segoe UI" w:hAnsi="Segoe UI"/>
          <w:shd w:val="clear" w:color="auto" w:fill="FFFFFF"/>
        </w:rPr>
        <w:t>建跨平台的桌面应用程序</w:t>
      </w:r>
      <w:r>
        <w:rPr>
          <w:shd w:val="clear" w:color="auto" w:fill="FFFFFF"/>
        </w:rPr>
        <w:t>。用到JavaScript的超集TypeScript，为JavaScript添加了静态类型检查和其他新特性。</w:t>
      </w:r>
      <w:r>
        <w:rPr>
          <w:kern w:val="0"/>
        </w:rPr>
        <w:t>TypeScript可以实现类型安全、接口定义、类继承、泛型等功能，使得代码更加可读性和可维护性。</w:t>
      </w:r>
      <w:r>
        <w:rPr>
          <w:shd w:val="clear" w:color="auto" w:fill="FFFFFF"/>
        </w:rPr>
        <w:t>通过Axios发送HTTP请求，与后端进行数据交互，并根据响应结果更新页面内容。通过这种方式，可以实现前端应用的交互逻辑，提供更好的用户体验和性能。在前端与前后端交互的角度具有可行性。</w:t>
      </w:r>
    </w:p>
    <w:p>
      <w:pPr>
        <w:pStyle w:val="3"/>
      </w:pPr>
      <w:bookmarkStart w:id="170" w:name="_Toc25977"/>
      <w:r>
        <w:rPr>
          <w:rFonts w:hint="eastAsia"/>
        </w:rPr>
        <w:t>7.1.3 后端</w:t>
      </w:r>
      <w:bookmarkEnd w:id="170"/>
    </w:p>
    <w:p>
      <w:pPr>
        <w:ind w:firstLine="420"/>
        <w:rPr>
          <w:shd w:val="clear" w:color="auto" w:fill="FFFFFF"/>
        </w:rPr>
      </w:pPr>
      <w:r>
        <w:rPr>
          <w:shd w:val="clear" w:color="auto" w:fill="FFFFFF"/>
        </w:rPr>
        <w:t>FastAPI是一个现代化的Python Web框架，用于构建高性能的Web应用程序。它基于Python类型提示和标准的Python类型注解，提供了快速的性能、自动的文档生成和强大的交互式API。FastAPI支持异步请求处理，使得处理大量请求时能够获得更好的性能表现</w:t>
      </w:r>
    </w:p>
    <w:p>
      <w:pPr>
        <w:ind w:firstLine="420"/>
        <w:rPr>
          <w:shd w:val="clear" w:color="auto" w:fill="FFFFFF"/>
        </w:rPr>
      </w:pPr>
      <w:r>
        <w:rPr>
          <w:kern w:val="0"/>
        </w:rPr>
        <w:t>SQLAlchemy是一个Python的SQL工具包和对象关系映射（ORM）库，用于简化数据库操作。它允许开发者使用Python代码来表示数据库结构和操作数据，而不必直接编写SQL语句。SQLAlchemy提供了灵活的查询语言和ORM功能，支持多种数据库后端。SQLite是一个轻量级的嵌入式数据库引擎，支持标准的SQL语法和事务处理。SQLite通常用于开发和测试环境中，或者对于小型应用程序来说是一个很好的选择。它不需要单独的服务器进程，数据存储在一个单独的文件中，适合于简单的数据库需求。</w:t>
      </w:r>
      <w:r>
        <w:rPr>
          <w:shd w:val="clear" w:color="auto" w:fill="FFFFFF"/>
        </w:rPr>
        <w:t>Uvicorn是一个ASGI（Asynchronous Server Gateway Interface）服务器，用于运行ASGI应用程序</w:t>
      </w:r>
    </w:p>
    <w:p>
      <w:pPr>
        <w:ind w:firstLine="420"/>
        <w:rPr>
          <w:shd w:val="clear" w:color="auto" w:fill="FFFFFF"/>
        </w:rPr>
      </w:pPr>
      <w:r>
        <w:rPr>
          <w:shd w:val="clear" w:color="auto" w:fill="FFFFFF"/>
        </w:rPr>
        <w:t>整个开发过程的后端利用</w:t>
      </w:r>
      <w:r>
        <w:rPr>
          <w:rFonts w:hint="eastAsia"/>
          <w:shd w:val="clear" w:color="auto" w:fill="FFFFFF"/>
        </w:rPr>
        <w:t>FastAPI</w:t>
      </w:r>
      <w:r>
        <w:rPr>
          <w:shd w:val="clear" w:color="auto" w:fill="FFFFFF"/>
        </w:rPr>
        <w:t>结合SQLAlchemy和SQLite构建可扩展的后端数据库系统，实现数据库管理。使用Uvicorn运行FastAPI应用程序，结合Nginx进行反向代理和负载均衡。使用SQLite数据库存储用户信息、课程内容等数据。配置SSL证书实现HTTPS加密通信，使用JWT实现用户认证和授权。因此在后端也具有可行性。</w:t>
      </w:r>
    </w:p>
    <w:p>
      <w:pPr>
        <w:pStyle w:val="2"/>
      </w:pPr>
      <w:bookmarkStart w:id="171" w:name="_Toc8035"/>
      <w:r>
        <w:rPr>
          <w:rFonts w:hint="eastAsia"/>
        </w:rPr>
        <w:t>8法律可行性</w:t>
      </w:r>
      <w:bookmarkEnd w:id="166"/>
      <w:bookmarkEnd w:id="167"/>
      <w:bookmarkEnd w:id="168"/>
      <w:bookmarkEnd w:id="171"/>
    </w:p>
    <w:p>
      <w:pPr>
        <w:pStyle w:val="11"/>
        <w:ind w:firstLine="420"/>
        <w:rPr>
          <w:rStyle w:val="15"/>
          <w:rFonts w:ascii="Segoe UI" w:hAnsi="Segoe UI" w:cs="Segoe UI"/>
          <w:b w:val="0"/>
          <w:sz w:val="21"/>
          <w:szCs w:val="21"/>
        </w:rPr>
      </w:pPr>
      <w:r>
        <w:rPr>
          <w:rStyle w:val="15"/>
          <w:rFonts w:hint="eastAsia" w:ascii="Segoe UI" w:hAnsi="Segoe UI" w:cs="Segoe UI"/>
          <w:b w:val="0"/>
          <w:kern w:val="2"/>
          <w:sz w:val="21"/>
          <w:szCs w:val="21"/>
        </w:rPr>
        <w:t>在建立智慧学习平台时，我们采取以下措施以确保其具有法律可行性。</w:t>
      </w:r>
    </w:p>
    <w:p>
      <w:pPr>
        <w:numPr>
          <w:ilvl w:val="0"/>
          <w:numId w:val="1"/>
        </w:numPr>
        <w:ind w:firstLine="200" w:firstLineChars="0"/>
        <w:rPr>
          <w:rStyle w:val="15"/>
          <w:rFonts w:ascii="宋体" w:hAnsi="宋体" w:cs="宋体"/>
          <w:b w:val="0"/>
          <w:bCs w:val="0"/>
          <w:szCs w:val="21"/>
        </w:rPr>
      </w:pPr>
      <w:r>
        <w:rPr>
          <w:rStyle w:val="15"/>
          <w:rFonts w:hint="eastAsia" w:ascii="Segoe UI" w:hAnsi="Segoe UI" w:cs="Segoe UI"/>
          <w:b w:val="0"/>
          <w:szCs w:val="21"/>
        </w:rPr>
        <w:t>所有学习资料均由正当途径进行正版购买，</w:t>
      </w:r>
      <w:r>
        <w:t>确保平台上的学习内容、教材、知识产权等的合法性和保护。</w:t>
      </w:r>
    </w:p>
    <w:p>
      <w:pPr>
        <w:numPr>
          <w:ilvl w:val="0"/>
          <w:numId w:val="1"/>
        </w:numPr>
        <w:ind w:firstLine="200" w:firstLineChars="0"/>
      </w:pPr>
      <w:r>
        <w:t>在用户输入自己的信息后妥善保护用户的个人信息和数据隐私，防止数据泄露或滥用，遵守相关的数据保护法律和隐私政策。</w:t>
      </w:r>
    </w:p>
    <w:p>
      <w:pPr>
        <w:numPr>
          <w:ilvl w:val="0"/>
          <w:numId w:val="1"/>
        </w:numPr>
        <w:ind w:firstLine="200" w:firstLineChars="0"/>
      </w:pPr>
      <w:r>
        <w:t>保护包括公平的用户评估、个人信息保护、消费者权益等的用户权益，遵守相关的消费者保护法律和规定。</w:t>
      </w:r>
    </w:p>
    <w:p>
      <w:pPr>
        <w:numPr>
          <w:ilvl w:val="0"/>
          <w:numId w:val="1"/>
        </w:numPr>
        <w:ind w:firstLine="200" w:firstLineChars="0"/>
        <w:rPr>
          <w:rStyle w:val="15"/>
          <w:b w:val="0"/>
        </w:rPr>
      </w:pPr>
      <w:r>
        <w:t>建立合理的协议，在用户注册</w:t>
      </w:r>
      <w:r>
        <w:rPr>
          <w:rFonts w:hint="eastAsia"/>
        </w:rPr>
        <w:t>时</w:t>
      </w:r>
      <w:r>
        <w:t>加以注明，明确平台与用户、合作伙伴之间的关系和责任，规范各方的权利和义务。</w:t>
      </w:r>
    </w:p>
    <w:p>
      <w:pPr>
        <w:ind w:firstLine="420"/>
      </w:pPr>
    </w:p>
    <w:p>
      <w:pPr>
        <w:pStyle w:val="2"/>
      </w:pPr>
      <w:bookmarkStart w:id="172" w:name="_Toc235842310"/>
      <w:bookmarkStart w:id="173" w:name="_Toc235842558"/>
      <w:bookmarkStart w:id="174" w:name="_Toc235938070"/>
      <w:bookmarkStart w:id="175" w:name="_Toc2983"/>
      <w:r>
        <w:rPr>
          <w:rFonts w:hint="eastAsia"/>
        </w:rPr>
        <w:t>9用户使用可行性</w:t>
      </w:r>
      <w:bookmarkEnd w:id="172"/>
      <w:bookmarkEnd w:id="173"/>
      <w:bookmarkEnd w:id="174"/>
      <w:bookmarkEnd w:id="175"/>
    </w:p>
    <w:p>
      <w:pPr>
        <w:pStyle w:val="3"/>
      </w:pPr>
      <w:bookmarkStart w:id="176" w:name="_Toc14919"/>
      <w:bookmarkStart w:id="177" w:name="_Toc235938071"/>
      <w:bookmarkStart w:id="178" w:name="_Toc235842559"/>
      <w:bookmarkStart w:id="179" w:name="_Toc235938436"/>
      <w:bookmarkStart w:id="180" w:name="_Toc235842311"/>
      <w:r>
        <w:rPr>
          <w:rFonts w:hint="eastAsia"/>
        </w:rPr>
        <w:t>9.1 基本素养</w:t>
      </w:r>
      <w:bookmarkEnd w:id="176"/>
    </w:p>
    <w:p>
      <w:pPr>
        <w:ind w:firstLine="420"/>
        <w:rPr>
          <w:shd w:val="clear" w:color="auto" w:fill="FFFFFF"/>
        </w:rPr>
      </w:pPr>
      <w:r>
        <w:rPr>
          <w:shd w:val="clear" w:color="auto" w:fill="FFFFFF"/>
        </w:rPr>
        <w:t>我们所开发的学习教育平台面向用户为中小学生个人，因此界面设计与功能设计尽可能简单易懂，以实用的原则进行开发，各个年龄段的初中生、小学生都可以很方便地操作使用。使用该平台的中小学生只需要具备最基本的学习素养如阅读能力</w:t>
      </w:r>
      <w:r>
        <w:rPr>
          <w:rFonts w:hint="eastAsia"/>
          <w:shd w:val="clear" w:color="auto" w:fill="FFFFFF"/>
        </w:rPr>
        <w:t>，</w:t>
      </w:r>
      <w:r>
        <w:rPr>
          <w:shd w:val="clear" w:color="auto" w:fill="FFFFFF"/>
        </w:rPr>
        <w:t>同时需要具备基本的电子产品操作技能，包括使用互联网、使用电脑或平板或手机的软件等。因此该平台具有用户使用可行性。</w:t>
      </w:r>
    </w:p>
    <w:p>
      <w:pPr>
        <w:pStyle w:val="3"/>
      </w:pPr>
      <w:bookmarkStart w:id="181" w:name="_Toc20437"/>
      <w:r>
        <w:rPr>
          <w:rFonts w:hint="eastAsia"/>
        </w:rPr>
        <w:t>9.2 提升素养</w:t>
      </w:r>
      <w:bookmarkEnd w:id="181"/>
    </w:p>
    <w:p>
      <w:pPr>
        <w:ind w:firstLine="420"/>
      </w:pPr>
      <w:r>
        <w:t>除使用该软件的最基本素养外，如果想更好地发挥该平台的作用，</w:t>
      </w:r>
      <w:r>
        <w:rPr>
          <w:shd w:val="clear" w:color="auto" w:fill="FFFFFF"/>
        </w:rPr>
        <w:t>中小学生需要具备自主学习的能力，包括制定学习计划、自我管理学习进度、解决学习问题等，能够在智慧学习平台上独立进行学习。</w:t>
      </w:r>
      <w:r>
        <w:t>同时</w:t>
      </w:r>
      <w:r>
        <w:rPr>
          <w:shd w:val="clear" w:color="auto" w:fill="FFFFFF"/>
        </w:rPr>
        <w:t>需要具备良好的信息素养，包括信息检索能力、信息评估能力、信息利用能力等，能够在智慧学习平台上获取有效的学习资源。</w:t>
      </w:r>
      <w:bookmarkEnd w:id="177"/>
      <w:bookmarkEnd w:id="178"/>
      <w:bookmarkEnd w:id="179"/>
      <w:bookmarkEnd w:id="180"/>
    </w:p>
    <w:p>
      <w:pPr>
        <w:ind w:firstLine="0" w:firstLineChars="0"/>
      </w:pPr>
    </w:p>
    <w:sectPr>
      <w:footerReference r:id="rId12"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B155EC"/>
    <w:multiLevelType w:val="multilevel"/>
    <w:tmpl w:val="15B155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20087B97"/>
    <w:multiLevelType w:val="multilevel"/>
    <w:tmpl w:val="20087B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U5Y2MzMDZhNGY5OGUwYTllYTVlMGQ3YTMyNGVlYWQifQ=="/>
  </w:docVars>
  <w:rsids>
    <w:rsidRoot w:val="00DB659A"/>
    <w:rsid w:val="000465F8"/>
    <w:rsid w:val="00084850"/>
    <w:rsid w:val="00133B1F"/>
    <w:rsid w:val="00160585"/>
    <w:rsid w:val="002537E2"/>
    <w:rsid w:val="00263531"/>
    <w:rsid w:val="002E650C"/>
    <w:rsid w:val="00340D7E"/>
    <w:rsid w:val="00395B31"/>
    <w:rsid w:val="003B19B1"/>
    <w:rsid w:val="00415C8B"/>
    <w:rsid w:val="00460438"/>
    <w:rsid w:val="004B4ECE"/>
    <w:rsid w:val="004D79E4"/>
    <w:rsid w:val="00506053"/>
    <w:rsid w:val="005103F5"/>
    <w:rsid w:val="005105A4"/>
    <w:rsid w:val="00516DD7"/>
    <w:rsid w:val="0054057C"/>
    <w:rsid w:val="005B7E01"/>
    <w:rsid w:val="005E2898"/>
    <w:rsid w:val="006037C1"/>
    <w:rsid w:val="00605958"/>
    <w:rsid w:val="00612691"/>
    <w:rsid w:val="00657296"/>
    <w:rsid w:val="006A74C7"/>
    <w:rsid w:val="006B50F9"/>
    <w:rsid w:val="006B5C0C"/>
    <w:rsid w:val="006D596D"/>
    <w:rsid w:val="006E07EB"/>
    <w:rsid w:val="00734EC7"/>
    <w:rsid w:val="00736F3D"/>
    <w:rsid w:val="00797620"/>
    <w:rsid w:val="007A5FCB"/>
    <w:rsid w:val="007D3398"/>
    <w:rsid w:val="0081139C"/>
    <w:rsid w:val="0082199D"/>
    <w:rsid w:val="00825943"/>
    <w:rsid w:val="00880E31"/>
    <w:rsid w:val="008B21E8"/>
    <w:rsid w:val="008B72A4"/>
    <w:rsid w:val="008E5CF6"/>
    <w:rsid w:val="00922D89"/>
    <w:rsid w:val="00950E2D"/>
    <w:rsid w:val="009535E5"/>
    <w:rsid w:val="00976759"/>
    <w:rsid w:val="009B3834"/>
    <w:rsid w:val="009B682A"/>
    <w:rsid w:val="009B6CC5"/>
    <w:rsid w:val="009C1CDB"/>
    <w:rsid w:val="009C6FE4"/>
    <w:rsid w:val="00A27EB1"/>
    <w:rsid w:val="00A365D5"/>
    <w:rsid w:val="00A51A75"/>
    <w:rsid w:val="00AA558F"/>
    <w:rsid w:val="00AB2123"/>
    <w:rsid w:val="00AC29A9"/>
    <w:rsid w:val="00AE4897"/>
    <w:rsid w:val="00B07EEB"/>
    <w:rsid w:val="00B13508"/>
    <w:rsid w:val="00B1795B"/>
    <w:rsid w:val="00B257C3"/>
    <w:rsid w:val="00B2610C"/>
    <w:rsid w:val="00B730D4"/>
    <w:rsid w:val="00B82CA2"/>
    <w:rsid w:val="00BB0AED"/>
    <w:rsid w:val="00BB1C40"/>
    <w:rsid w:val="00BB1F1E"/>
    <w:rsid w:val="00BE2145"/>
    <w:rsid w:val="00C0598C"/>
    <w:rsid w:val="00C16621"/>
    <w:rsid w:val="00C340CD"/>
    <w:rsid w:val="00C86B32"/>
    <w:rsid w:val="00C87A1F"/>
    <w:rsid w:val="00CB6C22"/>
    <w:rsid w:val="00CD4532"/>
    <w:rsid w:val="00CE5643"/>
    <w:rsid w:val="00D43474"/>
    <w:rsid w:val="00D84FC6"/>
    <w:rsid w:val="00D93AEA"/>
    <w:rsid w:val="00DB659A"/>
    <w:rsid w:val="00DF0901"/>
    <w:rsid w:val="00DF7992"/>
    <w:rsid w:val="00E36E79"/>
    <w:rsid w:val="00E73FD1"/>
    <w:rsid w:val="00EC6A64"/>
    <w:rsid w:val="00ED009E"/>
    <w:rsid w:val="00F27F09"/>
    <w:rsid w:val="00F40DCF"/>
    <w:rsid w:val="00F72D95"/>
    <w:rsid w:val="00FC7F6D"/>
    <w:rsid w:val="00FD34DB"/>
    <w:rsid w:val="00FE446D"/>
    <w:rsid w:val="14B7657F"/>
    <w:rsid w:val="15C20E0A"/>
    <w:rsid w:val="37B9410D"/>
    <w:rsid w:val="48D32C81"/>
    <w:rsid w:val="619B205F"/>
    <w:rsid w:val="727D1D88"/>
    <w:rsid w:val="756C69A5"/>
    <w:rsid w:val="79122C39"/>
    <w:rsid w:val="7C936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autoRedefine/>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18"/>
    <w:autoRedefine/>
    <w:qFormat/>
    <w:uiPriority w:val="9"/>
    <w:pPr>
      <w:keepNext/>
      <w:keepLines/>
      <w:spacing w:before="260" w:after="260" w:line="415" w:lineRule="auto"/>
      <w:ind w:firstLine="0" w:firstLineChars="0"/>
      <w:outlineLvl w:val="1"/>
    </w:pPr>
    <w:rPr>
      <w:rFonts w:ascii="Cambria" w:hAnsi="Cambria"/>
      <w:b/>
      <w:bCs/>
      <w:sz w:val="32"/>
      <w:szCs w:val="32"/>
    </w:rPr>
  </w:style>
  <w:style w:type="paragraph" w:styleId="4">
    <w:name w:val="heading 3"/>
    <w:basedOn w:val="1"/>
    <w:next w:val="1"/>
    <w:link w:val="19"/>
    <w:autoRedefine/>
    <w:qFormat/>
    <w:uiPriority w:val="9"/>
    <w:pPr>
      <w:keepNext/>
      <w:keepLines/>
      <w:spacing w:before="260" w:after="260" w:line="415" w:lineRule="auto"/>
      <w:ind w:firstLine="0" w:firstLineChars="0"/>
      <w:outlineLvl w:val="2"/>
    </w:pPr>
    <w:rPr>
      <w:b/>
      <w:bCs/>
      <w:sz w:val="32"/>
      <w:szCs w:val="32"/>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ind w:left="840" w:leftChars="400"/>
    </w:pPr>
  </w:style>
  <w:style w:type="paragraph" w:styleId="6">
    <w:name w:val="Balloon Text"/>
    <w:basedOn w:val="1"/>
    <w:link w:val="20"/>
    <w:autoRedefine/>
    <w:unhideWhenUsed/>
    <w:qFormat/>
    <w:uiPriority w:val="99"/>
    <w:rPr>
      <w:sz w:val="18"/>
      <w:szCs w:val="18"/>
    </w:rPr>
  </w:style>
  <w:style w:type="paragraph" w:styleId="7">
    <w:name w:val="footer"/>
    <w:basedOn w:val="1"/>
    <w:link w:val="21"/>
    <w:autoRedefine/>
    <w:unhideWhenUsed/>
    <w:qFormat/>
    <w:uiPriority w:val="99"/>
    <w:pPr>
      <w:tabs>
        <w:tab w:val="center" w:pos="4153"/>
        <w:tab w:val="right" w:pos="8306"/>
      </w:tabs>
      <w:snapToGrid w:val="0"/>
      <w:jc w:val="left"/>
    </w:pPr>
    <w:rPr>
      <w:sz w:val="18"/>
      <w:szCs w:val="18"/>
    </w:rPr>
  </w:style>
  <w:style w:type="paragraph" w:styleId="8">
    <w:name w:val="header"/>
    <w:basedOn w:val="1"/>
    <w:link w:val="22"/>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pPr>
      <w:tabs>
        <w:tab w:val="right" w:leader="dot" w:pos="8296"/>
      </w:tabs>
      <w:ind w:firstLine="105" w:firstLineChars="50"/>
      <w:jc w:val="center"/>
    </w:pPr>
  </w:style>
  <w:style w:type="paragraph" w:styleId="10">
    <w:name w:val="toc 2"/>
    <w:basedOn w:val="1"/>
    <w:next w:val="1"/>
    <w:autoRedefine/>
    <w:unhideWhenUsed/>
    <w:qFormat/>
    <w:uiPriority w:val="39"/>
    <w:pPr>
      <w:ind w:left="420" w:leftChars="200"/>
    </w:pPr>
  </w:style>
  <w:style w:type="paragraph" w:styleId="11">
    <w:name w:val="Normal (Web)"/>
    <w:basedOn w:val="1"/>
    <w:autoRedefine/>
    <w:unhideWhenUsed/>
    <w:qFormat/>
    <w:uiPriority w:val="99"/>
    <w:pPr>
      <w:widowControl/>
      <w:spacing w:before="100" w:beforeAutospacing="1" w:after="100" w:afterAutospacing="1"/>
      <w:jc w:val="left"/>
    </w:pPr>
    <w:rPr>
      <w:rFonts w:ascii="宋体" w:hAnsi="宋体" w:cs="宋体"/>
      <w:kern w:val="0"/>
      <w:sz w:val="24"/>
    </w:rPr>
  </w:style>
  <w:style w:type="paragraph" w:styleId="12">
    <w:name w:val="Title"/>
    <w:basedOn w:val="1"/>
    <w:next w:val="1"/>
    <w:link w:val="23"/>
    <w:autoRedefine/>
    <w:qFormat/>
    <w:uiPriority w:val="10"/>
    <w:pPr>
      <w:spacing w:before="240" w:after="60"/>
      <w:jc w:val="center"/>
      <w:outlineLvl w:val="0"/>
    </w:pPr>
    <w:rPr>
      <w:rFonts w:ascii="Cambria" w:hAnsi="Cambria"/>
      <w:b/>
      <w:bCs/>
      <w:sz w:val="32"/>
      <w:szCs w:val="32"/>
    </w:rPr>
  </w:style>
  <w:style w:type="character" w:styleId="15">
    <w:name w:val="Strong"/>
    <w:basedOn w:val="14"/>
    <w:autoRedefine/>
    <w:qFormat/>
    <w:uiPriority w:val="22"/>
    <w:rPr>
      <w:b/>
      <w:bCs/>
    </w:rPr>
  </w:style>
  <w:style w:type="character" w:styleId="16">
    <w:name w:val="Hyperlink"/>
    <w:basedOn w:val="14"/>
    <w:autoRedefine/>
    <w:unhideWhenUsed/>
    <w:qFormat/>
    <w:uiPriority w:val="99"/>
    <w:rPr>
      <w:color w:val="0000FF"/>
      <w:u w:val="single"/>
    </w:rPr>
  </w:style>
  <w:style w:type="character" w:customStyle="1" w:styleId="17">
    <w:name w:val="标题 1 字符"/>
    <w:basedOn w:val="14"/>
    <w:link w:val="2"/>
    <w:autoRedefine/>
    <w:qFormat/>
    <w:uiPriority w:val="9"/>
    <w:rPr>
      <w:rFonts w:ascii="Times New Roman" w:hAnsi="Times New Roman" w:eastAsia="宋体" w:cs="Times New Roman"/>
      <w:b/>
      <w:bCs/>
      <w:kern w:val="44"/>
      <w:sz w:val="44"/>
      <w:szCs w:val="44"/>
    </w:rPr>
  </w:style>
  <w:style w:type="character" w:customStyle="1" w:styleId="18">
    <w:name w:val="标题 2 字符"/>
    <w:basedOn w:val="14"/>
    <w:link w:val="3"/>
    <w:autoRedefine/>
    <w:qFormat/>
    <w:uiPriority w:val="9"/>
    <w:rPr>
      <w:rFonts w:ascii="Cambria" w:hAnsi="Cambria" w:eastAsia="宋体" w:cs="Times New Roman"/>
      <w:b/>
      <w:bCs/>
      <w:sz w:val="32"/>
      <w:szCs w:val="32"/>
    </w:rPr>
  </w:style>
  <w:style w:type="character" w:customStyle="1" w:styleId="19">
    <w:name w:val="标题 3 字符"/>
    <w:basedOn w:val="14"/>
    <w:link w:val="4"/>
    <w:autoRedefine/>
    <w:qFormat/>
    <w:uiPriority w:val="9"/>
    <w:rPr>
      <w:rFonts w:ascii="Times New Roman" w:hAnsi="Times New Roman" w:eastAsia="宋体" w:cs="Times New Roman"/>
      <w:b/>
      <w:bCs/>
      <w:sz w:val="32"/>
      <w:szCs w:val="32"/>
    </w:rPr>
  </w:style>
  <w:style w:type="character" w:customStyle="1" w:styleId="20">
    <w:name w:val="批注框文本 字符"/>
    <w:basedOn w:val="14"/>
    <w:link w:val="6"/>
    <w:autoRedefine/>
    <w:semiHidden/>
    <w:qFormat/>
    <w:uiPriority w:val="99"/>
    <w:rPr>
      <w:rFonts w:ascii="Times New Roman" w:hAnsi="Times New Roman" w:eastAsia="宋体" w:cs="Times New Roman"/>
      <w:sz w:val="18"/>
      <w:szCs w:val="18"/>
    </w:rPr>
  </w:style>
  <w:style w:type="character" w:customStyle="1" w:styleId="21">
    <w:name w:val="页脚 字符"/>
    <w:basedOn w:val="14"/>
    <w:link w:val="7"/>
    <w:autoRedefine/>
    <w:qFormat/>
    <w:uiPriority w:val="99"/>
    <w:rPr>
      <w:sz w:val="18"/>
      <w:szCs w:val="18"/>
    </w:rPr>
  </w:style>
  <w:style w:type="character" w:customStyle="1" w:styleId="22">
    <w:name w:val="页眉 字符"/>
    <w:basedOn w:val="14"/>
    <w:link w:val="8"/>
    <w:autoRedefine/>
    <w:semiHidden/>
    <w:qFormat/>
    <w:uiPriority w:val="99"/>
    <w:rPr>
      <w:sz w:val="18"/>
      <w:szCs w:val="18"/>
    </w:rPr>
  </w:style>
  <w:style w:type="character" w:customStyle="1" w:styleId="23">
    <w:name w:val="标题 字符"/>
    <w:basedOn w:val="14"/>
    <w:link w:val="12"/>
    <w:autoRedefine/>
    <w:qFormat/>
    <w:uiPriority w:val="10"/>
    <w:rPr>
      <w:rFonts w:ascii="Cambria" w:hAnsi="Cambria" w:eastAsia="宋体" w:cs="Times New Roman"/>
      <w:b/>
      <w:bCs/>
      <w:sz w:val="32"/>
      <w:szCs w:val="32"/>
    </w:rPr>
  </w:style>
  <w:style w:type="paragraph" w:customStyle="1" w:styleId="24">
    <w:name w:val="TOC 标题1"/>
    <w:basedOn w:val="2"/>
    <w:next w:val="1"/>
    <w:autoRedefine/>
    <w:qFormat/>
    <w:uiPriority w:val="39"/>
    <w:pPr>
      <w:widowControl/>
      <w:spacing w:before="480" w:after="0" w:line="276" w:lineRule="auto"/>
      <w:outlineLvl w:val="9"/>
    </w:pPr>
    <w:rPr>
      <w:rFonts w:ascii="Cambria" w:hAnsi="Cambria"/>
      <w:color w:val="365F91"/>
      <w:kern w:val="0"/>
      <w:sz w:val="28"/>
      <w:szCs w:val="28"/>
    </w:rPr>
  </w:style>
  <w:style w:type="paragraph" w:styleId="25">
    <w:name w:val="List Paragraph"/>
    <w:basedOn w:val="1"/>
    <w:autoRedefine/>
    <w:qFormat/>
    <w:uiPriority w:val="99"/>
    <w:pPr>
      <w:ind w:firstLine="420"/>
    </w:pPr>
  </w:style>
  <w:style w:type="character" w:styleId="26">
    <w:name w:val="Placeholder Text"/>
    <w:basedOn w:val="14"/>
    <w:autoRedefine/>
    <w:unhideWhenUsed/>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hart" Target="charts/chart1.xml"/><Relationship Id="rId17" Type="http://schemas.openxmlformats.org/officeDocument/2006/relationships/image" Target="media/image3.png"/><Relationship Id="rId16" Type="http://schemas.openxmlformats.org/officeDocument/2006/relationships/image" Target="media/image2.emf"/><Relationship Id="rId15" Type="http://schemas.openxmlformats.org/officeDocument/2006/relationships/package" Target="embeddings/Microsoft_Visio___1.vsdx"/><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经费来源</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3">
                  <c:v>学生自筹</c:v>
                </c:pt>
              </c:strCache>
            </c:strRef>
          </c:cat>
          <c:val>
            <c:numRef>
              <c:f>Sheet1!$B$2:$B$5</c:f>
              <c:numCache>
                <c:formatCode>General</c:formatCode>
                <c:ptCount val="4"/>
                <c:pt idx="3">
                  <c:v>200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0"/>
        <c:delete val="1"/>
      </c:legendEntry>
      <c:legendEntry>
        <c:idx val="1"/>
        <c:delete val="1"/>
      </c:legendEntry>
      <c:legendEntry>
        <c:idx val="2"/>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720B-772B-49AB-9F07-0F19FC75D5A0}">
  <ds:schemaRefs/>
</ds:datastoreItem>
</file>

<file path=docProps/app.xml><?xml version="1.0" encoding="utf-8"?>
<Properties xmlns="http://schemas.openxmlformats.org/officeDocument/2006/extended-properties" xmlns:vt="http://schemas.openxmlformats.org/officeDocument/2006/docPropsVTypes">
  <Template>Normal</Template>
  <Company>sysmed</Company>
  <Pages>22</Pages>
  <Words>3193</Words>
  <Characters>18204</Characters>
  <Lines>151</Lines>
  <Paragraphs>42</Paragraphs>
  <TotalTime>1</TotalTime>
  <ScaleCrop>false</ScaleCrop>
  <LinksUpToDate>false</LinksUpToDate>
  <CharactersWithSpaces>21355</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2024-03-21T11:37:00Z</dcterms:created>
  <dc:creator>yuxianye</dc:creator>
  <cp:lastModifiedBy>李欣桦</cp:lastModifiedBy>
  <dcterms:modified xsi:type="dcterms:W3CDTF">2024-03-21T11:40:23Z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57E41165A7974ED2867C09841FA5A4E5_13</vt:lpwstr>
  </property>
</Properties>
</file>