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7A6000"/>
          <w:sz w:val="20"/>
          <w:szCs w:val="20"/>
        </w:rPr>
        <w:t xml:space="preserve">OE MLM HUB</w:t>
      </w:r>
    </w:p>
    <w:p>
      <w:pPr>
        <w:spacing w:after="80"/>
      </w:pPr>
      <w:r>
        <w:rPr>
          <w:rFonts w:ascii="Segoe UI" w:cs="Segoe UI" w:eastAsia="Segoe UI" w:hAnsi="Segoe UI"/>
          <w:b/>
          <w:bCs/>
          <w:color w:val="1A1A1A"/>
          <w:sz w:val="44"/>
          <w:szCs w:val="44"/>
        </w:rPr>
        <w:t xml:space="preserve">Speech para la MBR de Heads</w:t>
      </w:r>
    </w:p>
    <w:p>
      <w:pPr>
        <w:spacing w:after="140" w:line="300"/>
      </w:pPr>
      <w:r>
        <w:rPr>
          <w:rFonts w:ascii="Segoe UI" w:cs="Segoe UI" w:eastAsia="Segoe UI" w:hAnsi="Segoe UI"/>
          <w:color w:val="555555"/>
          <w:sz w:val="20"/>
          <w:szCs w:val="20"/>
        </w:rPr>
        <w:t xml:space="preserve">Para: Martín  ·  Duración: ~6 min de speech + preguntas  ·  Apoyo: slide del Hub con captura real (y demo en vivo de 60 s si hay conexión)</w:t>
      </w:r>
    </w:p>
    <w:p>
      <w:pPr>
        <w:pStyle w:val="Heading1"/>
        <w:pBdr>
          <w:bottom w:val="single" w:color="FFD001" w:sz="12" w:space="2"/>
        </w:pBdr>
        <w:spacing w:after="120" w:before="300"/>
      </w:pPr>
      <w:r>
        <w:rPr>
          <w:rFonts w:ascii="Segoe UI" w:cs="Segoe UI" w:eastAsia="Segoe UI" w:hAnsi="Segoe UI"/>
          <w:b/>
          <w:bCs/>
          <w:color w:val="1A1A1A"/>
          <w:sz w:val="28"/>
          <w:szCs w:val="28"/>
        </w:rPr>
        <w:t xml:space="preserve">La idea central</w:t>
      </w:r>
    </w:p>
    <w:p>
      <w:pPr>
        <w:pBdr>
          <w:left w:val="single" w:color="FFD001" w:sz="18" w:space="10"/>
        </w:pBdr>
        <w:spacing w:after="140" w:line="312"/>
        <w:ind w:left="240"/>
      </w:pPr>
      <w:r>
        <w:rPr>
          <w:rFonts w:ascii="Segoe UI" w:cs="Segoe UI" w:eastAsia="Segoe UI" w:hAnsi="Segoe UI"/>
          <w:sz w:val="22"/>
          <w:szCs w:val="22"/>
        </w:rPr>
        <w:t xml:space="preserve">"El OE Hub es el lugar único donde MLM ve, en el mismo formato, cómo se gestionan los proyectos, las rutinas y el conocimiento de Excelencia Operacional. Lo construyó una sola persona del equipo, ya está en producción y la operación puede empezar a usarlo desde esta semana."</w:t>
      </w:r>
    </w:p>
    <w:p>
      <w:pPr>
        <w:pStyle w:val="Heading1"/>
        <w:pBdr>
          <w:bottom w:val="single" w:color="FFD001" w:sz="12" w:space="2"/>
        </w:pBdr>
        <w:spacing w:after="120" w:before="300"/>
      </w:pPr>
      <w:r>
        <w:rPr>
          <w:rFonts w:ascii="Segoe UI" w:cs="Segoe UI" w:eastAsia="Segoe UI" w:hAnsi="Segoe UI"/>
          <w:b/>
          <w:bCs/>
          <w:color w:val="1A1A1A"/>
          <w:sz w:val="28"/>
          <w:szCs w:val="28"/>
        </w:rPr>
        <w:t xml:space="preserve">Cómo venderlo: la narrativa en 5 pasos</w:t>
      </w:r>
    </w:p>
    <w:p>
      <w:pPr>
        <w:pStyle w:val="ListParagraph"/>
        <w:numPr>
          <w:ilvl w:val="0"/>
          <w:numId w:val="2"/>
        </w:numPr>
        <w:spacing w:after="80"/>
      </w:pPr>
      <w:r>
        <w:rPr>
          <w:rFonts w:ascii="Segoe UI" w:cs="Segoe UI" w:eastAsia="Segoe UI" w:hAnsi="Segoe UI"/>
          <w:b/>
          <w:bCs/>
          <w:sz w:val="22"/>
          <w:szCs w:val="22"/>
        </w:rPr>
        <w:t xml:space="preserve">1. El dolor.</w:t>
      </w:r>
      <w:r>
        <w:rPr>
          <w:rFonts w:ascii="Segoe UI" w:cs="Segoe UI" w:eastAsia="Segoe UI" w:hAnsi="Segoe UI"/>
          <w:sz w:val="22"/>
          <w:szCs w:val="22"/>
        </w:rPr>
        <w:t xml:space="preserve"> La información de OE vive repartida en correos, Drive, WhatsApp y decks sueltos. Cada junta empieza reconstruyendo contexto.</w:t>
      </w:r>
    </w:p>
    <w:p>
      <w:pPr>
        <w:pStyle w:val="ListParagraph"/>
        <w:numPr>
          <w:ilvl w:val="0"/>
          <w:numId w:val="2"/>
        </w:numPr>
        <w:spacing w:after="80"/>
      </w:pPr>
      <w:r>
        <w:rPr>
          <w:rFonts w:ascii="Segoe UI" w:cs="Segoe UI" w:eastAsia="Segoe UI" w:hAnsi="Segoe UI"/>
          <w:b/>
          <w:bCs/>
          <w:sz w:val="22"/>
          <w:szCs w:val="22"/>
        </w:rPr>
        <w:t xml:space="preserve">2. La solución.</w:t>
      </w:r>
      <w:r>
        <w:rPr>
          <w:rFonts w:ascii="Segoe UI" w:cs="Segoe UI" w:eastAsia="Segoe UI" w:hAnsi="Segoe UI"/>
          <w:sz w:val="22"/>
          <w:szCs w:val="22"/>
        </w:rPr>
        <w:t xml:space="preserve"> Un solo sitio con cinco secciones y herramientas propias, en español, inglés y portugués.</w:t>
      </w:r>
    </w:p>
    <w:p>
      <w:pPr>
        <w:pStyle w:val="ListParagraph"/>
        <w:numPr>
          <w:ilvl w:val="0"/>
          <w:numId w:val="2"/>
        </w:numPr>
        <w:spacing w:after="80"/>
      </w:pPr>
      <w:r>
        <w:rPr>
          <w:rFonts w:ascii="Segoe UI" w:cs="Segoe UI" w:eastAsia="Segoe UI" w:hAnsi="Segoe UI"/>
          <w:b/>
          <w:bCs/>
          <w:sz w:val="22"/>
          <w:szCs w:val="22"/>
        </w:rPr>
        <w:t xml:space="preserve">3. La prueba.</w:t>
      </w:r>
      <w:r>
        <w:rPr>
          <w:rFonts w:ascii="Segoe UI" w:cs="Segoe UI" w:eastAsia="Segoe UI" w:hAnsi="Segoe UI"/>
          <w:sz w:val="22"/>
          <w:szCs w:val="22"/>
        </w:rPr>
        <w:t xml:space="preserve"> Está en producción, con herramientas que el equipo ya usa y un lanzamiento a todo MLM México.</w:t>
      </w:r>
    </w:p>
    <w:p>
      <w:pPr>
        <w:pStyle w:val="ListParagraph"/>
        <w:numPr>
          <w:ilvl w:val="0"/>
          <w:numId w:val="2"/>
        </w:numPr>
        <w:spacing w:after="80"/>
      </w:pPr>
      <w:r>
        <w:rPr>
          <w:rFonts w:ascii="Segoe UI" w:cs="Segoe UI" w:eastAsia="Segoe UI" w:hAnsi="Segoe UI"/>
          <w:b/>
          <w:bCs/>
          <w:sz w:val="22"/>
          <w:szCs w:val="22"/>
        </w:rPr>
        <w:t xml:space="preserve">4. El valor para ti.</w:t>
      </w:r>
      <w:r>
        <w:rPr>
          <w:rFonts w:ascii="Segoe UI" w:cs="Segoe UI" w:eastAsia="Segoe UI" w:hAnsi="Segoe UI"/>
          <w:sz w:val="22"/>
          <w:szCs w:val="22"/>
        </w:rPr>
        <w:t xml:space="preserve"> Estandarizar procesos y seguimiento, ver el mismo dato en todas las áreas, ahorrar tiempo de preparación y tener histórico.</w:t>
      </w:r>
    </w:p>
    <w:p>
      <w:pPr>
        <w:pStyle w:val="ListParagraph"/>
        <w:numPr>
          <w:ilvl w:val="0"/>
          <w:numId w:val="2"/>
        </w:numPr>
        <w:spacing w:after="80"/>
      </w:pPr>
      <w:r>
        <w:rPr>
          <w:rFonts w:ascii="Segoe UI" w:cs="Segoe UI" w:eastAsia="Segoe UI" w:hAnsi="Segoe UI"/>
          <w:b/>
          <w:bCs/>
          <w:sz w:val="22"/>
          <w:szCs w:val="22"/>
        </w:rPr>
        <w:t xml:space="preserve">5. El pedido.</w:t>
      </w:r>
      <w:r>
        <w:rPr>
          <w:rFonts w:ascii="Segoe UI" w:cs="Segoe UI" w:eastAsia="Segoe UI" w:hAnsi="Segoe UI"/>
          <w:sz w:val="22"/>
          <w:szCs w:val="22"/>
        </w:rPr>
        <w:t xml:space="preserve"> Que sus equipos lo usen y que patrocinen la siguiente fase.</w:t>
      </w:r>
    </w:p>
    <w:p>
      <w:pPr>
        <w:pStyle w:val="Heading1"/>
        <w:pBdr>
          <w:bottom w:val="single" w:color="FFD001" w:sz="12" w:space="2"/>
        </w:pBdr>
        <w:spacing w:after="120" w:before="300"/>
      </w:pPr>
      <w:r>
        <w:rPr>
          <w:rFonts w:ascii="Segoe UI" w:cs="Segoe UI" w:eastAsia="Segoe UI" w:hAnsi="Segoe UI"/>
          <w:b/>
          <w:bCs/>
          <w:color w:val="1A1A1A"/>
          <w:sz w:val="28"/>
          <w:szCs w:val="28"/>
        </w:rPr>
        <w:t xml:space="preserve">Speech</w:t>
      </w:r>
    </w:p>
    <w:p>
      <w:pPr>
        <w:spacing w:after="60" w:before="200"/>
      </w:pPr>
      <w:r>
        <w:rPr>
          <w:rFonts w:ascii="Segoe UI" w:cs="Segoe UI" w:eastAsia="Segoe UI" w:hAnsi="Segoe UI"/>
          <w:b/>
          <w:bCs/>
          <w:color w:val="7A6000"/>
          <w:sz w:val="22"/>
          <w:szCs w:val="22"/>
        </w:rPr>
        <w:t xml:space="preserve">Apertura (30 s)</w:t>
      </w:r>
    </w:p>
    <w:p>
      <w:pPr>
        <w:pBdr>
          <w:left w:val="single" w:color="FFD001" w:sz="18" w:space="10"/>
        </w:pBdr>
        <w:spacing w:after="140" w:line="312"/>
        <w:ind w:left="240"/>
      </w:pPr>
      <w:r>
        <w:rPr>
          <w:rFonts w:ascii="Segoe UI" w:cs="Segoe UI" w:eastAsia="Segoe UI" w:hAnsi="Segoe UI"/>
          <w:sz w:val="22"/>
          <w:szCs w:val="22"/>
        </w:rPr>
        <w:t xml:space="preserve">"Buenos días. Quiero compartirles algo que el equipo de Excelencia Operacional lleva construyendo y que ya está funcionando: el OE MLM Hub. Les voy a contar por qué existe, qué tiene, y qué necesitamos de ustedes para que sea el estándar de cómo damos seguimiento en MLM."</w:t>
      </w:r>
    </w:p>
    <w:p>
      <w:pPr>
        <w:spacing w:after="60" w:before="200"/>
      </w:pPr>
      <w:r>
        <w:rPr>
          <w:rFonts w:ascii="Segoe UI" w:cs="Segoe UI" w:eastAsia="Segoe UI" w:hAnsi="Segoe UI"/>
          <w:b/>
          <w:bCs/>
          <w:color w:val="7A6000"/>
          <w:sz w:val="22"/>
          <w:szCs w:val="22"/>
        </w:rPr>
        <w:t xml:space="preserve">El problema (45 s)</w:t>
      </w:r>
    </w:p>
    <w:p>
      <w:pPr>
        <w:pBdr>
          <w:left w:val="single" w:color="FFD001" w:sz="18" w:space="10"/>
        </w:pBdr>
        <w:spacing w:after="140" w:line="312"/>
        <w:ind w:left="240"/>
      </w:pPr>
      <w:r>
        <w:rPr>
          <w:rFonts w:ascii="Segoe UI" w:cs="Segoe UI" w:eastAsia="Segoe UI" w:hAnsi="Segoe UI"/>
          <w:sz w:val="22"/>
          <w:szCs w:val="22"/>
        </w:rPr>
        <w:t xml:space="preserve">"Hoy, si quiero saber cómo va una iniciativa, cuándo fue la última rutina de seguimiento o quién es el líder de un tema, tengo que preguntarle a alguien, buscar en un correo o abrir cinco archivos distintos. Cada área tiene su forma de reportar. Eso cuesta tiempo, genera versiones distintas de la misma información y hace que cada junta empiece reconstruyendo contexto en lugar de tomar decisiones."</w:t>
      </w:r>
    </w:p>
    <w:p>
      <w:pPr>
        <w:spacing w:after="60" w:before="200"/>
      </w:pPr>
      <w:r>
        <w:rPr>
          <w:rFonts w:ascii="Segoe UI" w:cs="Segoe UI" w:eastAsia="Segoe UI" w:hAnsi="Segoe UI"/>
          <w:b/>
          <w:bCs/>
          <w:color w:val="7A6000"/>
          <w:sz w:val="22"/>
          <w:szCs w:val="22"/>
        </w:rPr>
        <w:t xml:space="preserve">La solución (60 s)</w:t>
      </w:r>
    </w:p>
    <w:p>
      <w:pPr>
        <w:pBdr>
          <w:left w:val="single" w:color="FFD001" w:sz="18" w:space="10"/>
        </w:pBdr>
        <w:spacing w:after="140" w:line="312"/>
        <w:ind w:left="240"/>
      </w:pPr>
      <w:r>
        <w:rPr>
          <w:rFonts w:ascii="Segoe UI" w:cs="Segoe UI" w:eastAsia="Segoe UI" w:hAnsi="Segoe UI"/>
          <w:sz w:val="22"/>
          <w:szCs w:val="22"/>
        </w:rPr>
        <w:t xml:space="preserve">"El Hub resuelve eso con un solo lugar. Tiene cinco secciones: Inicio, con novedades, casos de éxito y un calendario con las rutinas de cada área. Gestión, donde viven las iniciativas regionales y locales, los Big Rocks de cada área y las herramientas del equipo. Rutinas, con el histórico completo de BBR, MBR y Newsletter, para que ya no se busque nada en el correo. Directorio, con los líderes de OE por región y el organigrama. Y Aprendizaje Continuo, con playbooks, sesiones grabadas, documentos de interés y el glosario MeLi, ya traducido a inglés y portugués. Todo funciona en tres idiomas y se actualiza de forma continua."</w:t>
      </w:r>
    </w:p>
    <w:p>
      <w:pPr>
        <w:spacing w:after="60" w:before="200"/>
      </w:pPr>
      <w:r>
        <w:rPr>
          <w:rFonts w:ascii="Segoe UI" w:cs="Segoe UI" w:eastAsia="Segoe UI" w:hAnsi="Segoe UI"/>
          <w:b/>
          <w:bCs/>
          <w:color w:val="7A6000"/>
          <w:sz w:val="22"/>
          <w:szCs w:val="22"/>
        </w:rPr>
        <w:t xml:space="preserve">Lo que lo hace distinto (45 s)</w:t>
      </w:r>
    </w:p>
    <w:p>
      <w:pPr>
        <w:pBdr>
          <w:left w:val="single" w:color="FFD001" w:sz="18" w:space="10"/>
        </w:pBdr>
        <w:spacing w:after="140" w:line="312"/>
        <w:ind w:left="240"/>
      </w:pPr>
      <w:r>
        <w:rPr>
          <w:rFonts w:ascii="Segoe UI" w:cs="Segoe UI" w:eastAsia="Segoe UI" w:hAnsi="Segoe UI"/>
          <w:sz w:val="22"/>
          <w:szCs w:val="22"/>
        </w:rPr>
        <w:t xml:space="preserve">"Hay tres cosas que quiero destacar. Primera: no es un documento más, es una plataforma con herramientas que hacen trabajo real, como armar un slide ejecutivo en minutos o generar la orden de compra de señalética de una apertura. Segunda: está pensada para estandarizar; cuando todas las áreas registran y reportan en el mismo formato, podemos comparar y aprender unas de otras. Tercera: se construyó dentro del equipo, con costo prácticamente cero de infraestructura y sin depender de un proyecto grande de IT."</w:t>
      </w:r>
    </w:p>
    <w:p>
      <w:pPr>
        <w:spacing w:after="60" w:before="200"/>
      </w:pPr>
      <w:r>
        <w:rPr>
          <w:rFonts w:ascii="Segoe UI" w:cs="Segoe UI" w:eastAsia="Segoe UI" w:hAnsi="Segoe UI"/>
          <w:b/>
          <w:bCs/>
          <w:color w:val="7A6000"/>
          <w:sz w:val="22"/>
          <w:szCs w:val="22"/>
        </w:rPr>
        <w:t xml:space="preserve">Herramientas a la medida de cada equipo (60 s)</w:t>
      </w:r>
    </w:p>
    <w:p>
      <w:pPr>
        <w:pBdr>
          <w:left w:val="single" w:color="FFD001" w:sz="18" w:space="10"/>
        </w:pBdr>
        <w:spacing w:after="140" w:line="312"/>
        <w:ind w:left="240"/>
      </w:pPr>
      <w:r>
        <w:rPr>
          <w:rFonts w:ascii="Segoe UI" w:cs="Segoe UI" w:eastAsia="Segoe UI" w:hAnsi="Segoe UI"/>
          <w:sz w:val="22"/>
          <w:szCs w:val="22"/>
        </w:rPr>
        <w:t xml:space="preserve">"Hay algo más que hace especial al Hub: no es una plataforma genérica, es una plataforma donde cada parte del equipo puede tener la herramienta que resuelve su problema concreto. Ya lo hicimos con varios casos."</w:t>
      </w:r>
    </w:p>
    <w:p>
      <w:pPr>
        <w:pBdr>
          <w:left w:val="single" w:color="FFD001" w:sz="18" w:space="10"/>
        </w:pBdr>
        <w:spacing w:after="140" w:line="312"/>
        <w:ind w:left="240"/>
      </w:pPr>
      <w:r>
        <w:rPr>
          <w:rFonts w:ascii="Segoe UI" w:cs="Segoe UI" w:eastAsia="Segoe UI" w:hAnsi="Segoe UI"/>
          <w:sz w:val="22"/>
          <w:szCs w:val="22"/>
        </w:rPr>
        <w:t xml:space="preserve">"Para Expansiones, con David: una herramienta que levanta los datos de un sitio nuevo, deja elegir entre más de cien artículos de señalética con su imagen, genera la orden de compra en Excel con el formato oficial y permite colocar la señalética sobre el plano del sitio para armar la guía de instalación. Lo que antes eran varios archivos y varios días, hoy se hace en una sola herramienta."</w:t>
      </w:r>
    </w:p>
    <w:p>
      <w:pPr>
        <w:pBdr>
          <w:left w:val="single" w:color="FFD001" w:sz="18" w:space="10"/>
        </w:pBdr>
        <w:spacing w:after="140" w:line="312"/>
        <w:ind w:left="240"/>
      </w:pPr>
      <w:r>
        <w:rPr>
          <w:rFonts w:ascii="Segoe UI" w:cs="Segoe UI" w:eastAsia="Segoe UI" w:hAnsi="Segoe UI"/>
          <w:sz w:val="22"/>
          <w:szCs w:val="22"/>
        </w:rPr>
        <w:t xml:space="preserve">"Para Big Rocks, con Martín: el tablero de Slip Robots, que prioriza las rutas donde conviene desplegar robots, con los mismos datos de su análisis original, ahora consultable por todos desde el Hub."</w:t>
      </w:r>
    </w:p>
    <w:p>
      <w:pPr>
        <w:pBdr>
          <w:left w:val="single" w:color="FFD001" w:sz="18" w:space="10"/>
        </w:pBdr>
        <w:spacing w:after="140" w:line="312"/>
        <w:ind w:left="240"/>
      </w:pPr>
      <w:r>
        <w:rPr>
          <w:rFonts w:ascii="Segoe UI" w:cs="Segoe UI" w:eastAsia="Segoe UI" w:hAnsi="Segoe UI"/>
          <w:sz w:val="22"/>
          <w:szCs w:val="22"/>
        </w:rPr>
        <w:t xml:space="preserve">"Para Gestión: el generador de slides ejecutivos de status de proyecto y el generador de boletines mensuales a partir de los Excel del equipo. Se acabó armar slides a mano."</w:t>
      </w:r>
    </w:p>
    <w:p>
      <w:pPr>
        <w:pBdr>
          <w:left w:val="single" w:color="FFD001" w:sz="18" w:space="10"/>
        </w:pBdr>
        <w:spacing w:after="140" w:line="312"/>
        <w:ind w:left="240"/>
      </w:pPr>
      <w:r>
        <w:rPr>
          <w:rFonts w:ascii="Segoe UI" w:cs="Segoe UI" w:eastAsia="Segoe UI" w:hAnsi="Segoe UI"/>
          <w:sz w:val="22"/>
          <w:szCs w:val="22"/>
        </w:rPr>
        <w:t xml:space="preserve">"Y hay más en camino: con Zita, el cálculo de representatividad estadística para su software; con Raúl, el análisis de datos de patios. El modelo es el mismo: el equipo plantea el problema y lo convertimos en una herramienta dentro del Hub, en el mismo estilo y en tres idiomas. Las áreas que se sumen no empiezan de cero: tienen la plataforma lista y solo se desarrolla lo que necesitan."</w:t>
      </w:r>
    </w:p>
    <w:p>
      <w:pPr>
        <w:spacing w:after="60" w:before="200"/>
      </w:pPr>
      <w:r>
        <w:rPr>
          <w:rFonts w:ascii="Segoe UI" w:cs="Segoe UI" w:eastAsia="Segoe UI" w:hAnsi="Segoe UI"/>
          <w:b/>
          <w:bCs/>
          <w:color w:val="7A6000"/>
          <w:sz w:val="22"/>
          <w:szCs w:val="22"/>
        </w:rPr>
        <w:t xml:space="preserve">Lo que viene (45 s)</w:t>
      </w:r>
    </w:p>
    <w:p>
      <w:pPr>
        <w:pBdr>
          <w:left w:val="single" w:color="FFD001" w:sz="18" w:space="10"/>
        </w:pBdr>
        <w:spacing w:after="140" w:line="312"/>
        <w:ind w:left="240"/>
      </w:pPr>
      <w:r>
        <w:rPr>
          <w:rFonts w:ascii="Segoe UI" w:cs="Segoe UI" w:eastAsia="Segoe UI" w:hAnsi="Segoe UI"/>
          <w:sz w:val="22"/>
          <w:szCs w:val="22"/>
        </w:rPr>
        <w:t xml:space="preserve">"Estamos construyendo el Registro de Iniciativas: un formulario único donde cualquier focal registra una iniciativa, y un dashboard y un reporte que se arman solos con el embudo del flujo, los tiempos por etapa y el portafolio por equipo. Hoy está como prototipo con datos de ejemplo, y el siguiente paso es conectarlo con datos reales. Eso nos va a dar, por primera vez, visibilidad de punta a punta del flujo de iniciativas."</w:t>
      </w:r>
    </w:p>
    <w:p>
      <w:pPr>
        <w:spacing w:after="60" w:before="200"/>
      </w:pPr>
      <w:r>
        <w:rPr>
          <w:rFonts w:ascii="Segoe UI" w:cs="Segoe UI" w:eastAsia="Segoe UI" w:hAnsi="Segoe UI"/>
          <w:b/>
          <w:bCs/>
          <w:color w:val="7A6000"/>
          <w:sz w:val="22"/>
          <w:szCs w:val="22"/>
        </w:rPr>
        <w:t xml:space="preserve">El lanzamiento (30 s)</w:t>
      </w:r>
    </w:p>
    <w:p>
      <w:pPr>
        <w:pBdr>
          <w:left w:val="single" w:color="FFD001" w:sz="18" w:space="10"/>
        </w:pBdr>
        <w:spacing w:after="140" w:line="312"/>
        <w:ind w:left="240"/>
      </w:pPr>
      <w:r>
        <w:rPr>
          <w:rFonts w:ascii="Segoe UI" w:cs="Segoe UI" w:eastAsia="Segoe UI" w:hAnsi="Segoe UI"/>
          <w:sz w:val="22"/>
          <w:szCs w:val="22"/>
        </w:rPr>
        <w:t xml:space="preserve">"Ya enviamos el lanzamiento a todo MLM México, de coordinador a director. Esta semana hacemos cuatro sesiones en vivo de 30 minutos para que las personas lo conozcan, y vamos a publicar un tutorial en video para quien no pueda asistir."</w:t>
      </w:r>
    </w:p>
    <w:p>
      <w:pPr>
        <w:spacing w:after="60" w:before="200"/>
      </w:pPr>
      <w:r>
        <w:rPr>
          <w:rFonts w:ascii="Segoe UI" w:cs="Segoe UI" w:eastAsia="Segoe UI" w:hAnsi="Segoe UI"/>
          <w:b/>
          <w:bCs/>
          <w:color w:val="7A6000"/>
          <w:sz w:val="22"/>
          <w:szCs w:val="22"/>
        </w:rPr>
        <w:t xml:space="preserve">El pedido (45 s)</w:t>
      </w:r>
    </w:p>
    <w:p>
      <w:pPr>
        <w:pBdr>
          <w:left w:val="single" w:color="FFD001" w:sz="18" w:space="10"/>
        </w:pBdr>
        <w:spacing w:after="140" w:line="312"/>
        <w:ind w:left="240"/>
      </w:pPr>
      <w:r>
        <w:rPr>
          <w:rFonts w:ascii="Segoe UI" w:cs="Segoe UI" w:eastAsia="Segoe UI" w:hAnsi="Segoe UI"/>
          <w:sz w:val="22"/>
          <w:szCs w:val="22"/>
        </w:rPr>
        <w:t xml:space="preserve">"Necesitamos tres cosas de ustedes. Una: que impulsen en sus equipos usar el Hub como el lugar de referencia, y que cuando pidan información de seguimiento pregunten '¿está en el Hub?'. Dos: que sus focales registren las iniciativas en el Registro cuando esté conectado a datos reales. Y tres: que nos digan qué otra información o herramienta de su área les gustaría ver ahí. El Hub se construye con lo que ustedes necesitan."</w:t>
      </w:r>
    </w:p>
    <w:p>
      <w:pPr>
        <w:spacing w:after="60" w:before="200"/>
      </w:pPr>
      <w:r>
        <w:rPr>
          <w:rFonts w:ascii="Segoe UI" w:cs="Segoe UI" w:eastAsia="Segoe UI" w:hAnsi="Segoe UI"/>
          <w:b/>
          <w:bCs/>
          <w:color w:val="7A6000"/>
          <w:sz w:val="22"/>
          <w:szCs w:val="22"/>
        </w:rPr>
        <w:t xml:space="preserve">Cierre (15 s)</w:t>
      </w:r>
    </w:p>
    <w:p>
      <w:pPr>
        <w:pBdr>
          <w:left w:val="single" w:color="FFD001" w:sz="18" w:space="10"/>
        </w:pBdr>
        <w:spacing w:after="140" w:line="312"/>
        <w:ind w:left="240"/>
      </w:pPr>
      <w:r>
        <w:rPr>
          <w:rFonts w:ascii="Segoe UI" w:cs="Segoe UI" w:eastAsia="Segoe UI" w:hAnsi="Segoe UI"/>
          <w:sz w:val="22"/>
          <w:szCs w:val="22"/>
        </w:rPr>
        <w:t xml:space="preserve">"El Hub ya está funcionando y es de todos. Los invito a entrar hoy, darle una vuelta de cinco minutos y decirnos qué le falta. Gracias."</w:t>
      </w:r>
    </w:p>
    <w:p>
      <w:pPr>
        <w:pStyle w:val="Heading1"/>
        <w:pBdr>
          <w:bottom w:val="single" w:color="FFD001" w:sz="12" w:space="2"/>
        </w:pBdr>
        <w:spacing w:after="120" w:before="300"/>
      </w:pPr>
      <w:r>
        <w:rPr>
          <w:rFonts w:ascii="Segoe UI" w:cs="Segoe UI" w:eastAsia="Segoe UI" w:hAnsi="Segoe UI"/>
          <w:b/>
          <w:bCs/>
          <w:color w:val="1A1A1A"/>
          <w:sz w:val="28"/>
          <w:szCs w:val="28"/>
        </w:rPr>
        <w:t xml:space="preserve">Demo en vivo (60 s, opcional)</w:t>
      </w:r>
    </w:p>
    <w:p>
      <w:pPr>
        <w:pStyle w:val="ListParagraph"/>
        <w:numPr>
          <w:ilvl w:val="0"/>
          <w:numId w:val="2"/>
        </w:numPr>
        <w:spacing w:after="80"/>
      </w:pPr>
      <w:r>
        <w:rPr>
          <w:rFonts w:ascii="Segoe UI" w:cs="Segoe UI" w:eastAsia="Segoe UI" w:hAnsi="Segoe UI"/>
          <w:b/>
          <w:bCs/>
          <w:sz w:val="22"/>
          <w:szCs w:val="22"/>
        </w:rPr>
        <w:t xml:space="preserve">Inicio:</w:t>
      </w:r>
      <w:r>
        <w:rPr>
          <w:rFonts w:ascii="Segoe UI" w:cs="Segoe UI" w:eastAsia="Segoe UI" w:hAnsi="Segoe UI"/>
          <w:sz w:val="22"/>
          <w:szCs w:val="22"/>
        </w:rPr>
        <w:t xml:space="preserve"> señalar las novedades y el calendario.</w:t>
      </w:r>
    </w:p>
    <w:p>
      <w:pPr>
        <w:pStyle w:val="ListParagraph"/>
        <w:numPr>
          <w:ilvl w:val="0"/>
          <w:numId w:val="2"/>
        </w:numPr>
        <w:spacing w:after="80"/>
      </w:pPr>
      <w:r>
        <w:rPr>
          <w:rFonts w:ascii="Segoe UI" w:cs="Segoe UI" w:eastAsia="Segoe UI" w:hAnsi="Segoe UI"/>
          <w:b/>
          <w:bCs/>
          <w:sz w:val="22"/>
          <w:szCs w:val="22"/>
        </w:rPr>
        <w:t xml:space="preserve">Gestión → Flujo de Iniciativas:</w:t>
      </w:r>
      <w:r>
        <w:rPr>
          <w:rFonts w:ascii="Segoe UI" w:cs="Segoe UI" w:eastAsia="Segoe UI" w:hAnsi="Segoe UI"/>
          <w:sz w:val="22"/>
          <w:szCs w:val="22"/>
        </w:rPr>
        <w:t xml:space="preserve"> abrir una iniciativa con su avance.</w:t>
      </w:r>
    </w:p>
    <w:p>
      <w:pPr>
        <w:pStyle w:val="ListParagraph"/>
        <w:numPr>
          <w:ilvl w:val="0"/>
          <w:numId w:val="2"/>
        </w:numPr>
        <w:spacing w:after="80"/>
      </w:pPr>
      <w:r>
        <w:rPr>
          <w:rFonts w:ascii="Segoe UI" w:cs="Segoe UI" w:eastAsia="Segoe UI" w:hAnsi="Segoe UI"/>
          <w:b/>
          <w:bCs/>
          <w:sz w:val="22"/>
          <w:szCs w:val="22"/>
        </w:rPr>
        <w:t xml:space="preserve">Gestión → Registro de Iniciativas:</w:t>
      </w:r>
      <w:r>
        <w:rPr>
          <w:rFonts w:ascii="Segoe UI" w:cs="Segoe UI" w:eastAsia="Segoe UI" w:hAnsi="Segoe UI"/>
          <w:sz w:val="22"/>
          <w:szCs w:val="22"/>
        </w:rPr>
        <w:t xml:space="preserve"> mostrar Dashboard y Reporte (aclarar que son datos de ejemplo).</w:t>
      </w:r>
    </w:p>
    <w:p>
      <w:pPr>
        <w:pStyle w:val="ListParagraph"/>
        <w:numPr>
          <w:ilvl w:val="0"/>
          <w:numId w:val="2"/>
        </w:numPr>
        <w:spacing w:after="80"/>
      </w:pPr>
      <w:r>
        <w:rPr>
          <w:rFonts w:ascii="Segoe UI" w:cs="Segoe UI" w:eastAsia="Segoe UI" w:hAnsi="Segoe UI"/>
          <w:b/>
          <w:bCs/>
          <w:sz w:val="22"/>
          <w:szCs w:val="22"/>
        </w:rPr>
        <w:t xml:space="preserve">Aprendizaje Continuo → Glosario:</w:t>
      </w:r>
      <w:r>
        <w:rPr>
          <w:rFonts w:ascii="Segoe UI" w:cs="Segoe UI" w:eastAsia="Segoe UI" w:hAnsi="Segoe UI"/>
          <w:sz w:val="22"/>
          <w:szCs w:val="22"/>
        </w:rPr>
        <w:t xml:space="preserve"> buscar un término y cambiar el idioma.</w:t>
      </w:r>
    </w:p>
    <w:p>
      <w:pPr>
        <w:pStyle w:val="Heading1"/>
        <w:pBdr>
          <w:bottom w:val="single" w:color="FFD001" w:sz="12" w:space="2"/>
        </w:pBdr>
        <w:spacing w:after="120" w:before="300"/>
      </w:pPr>
      <w:r>
        <w:rPr>
          <w:rFonts w:ascii="Segoe UI" w:cs="Segoe UI" w:eastAsia="Segoe UI" w:hAnsi="Segoe UI"/>
          <w:b/>
          <w:bCs/>
          <w:color w:val="1A1A1A"/>
          <w:sz w:val="28"/>
          <w:szCs w:val="28"/>
        </w:rPr>
        <w:t xml:space="preserve">Preguntas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A1A1A" w:color="auto" w:val="clear"/>
            <w:tcMar>
              <w:top w:type="dxa" w:w="80"/>
              <w:left w:type="dxa" w:w="120"/>
              <w:bottom w:type="dxa" w:w="80"/>
              <w:right w:type="dxa" w:w="120"/>
            </w:tcMar>
          </w:tcPr>
          <w:p>
            <w:r>
              <w:rPr>
                <w:rFonts w:ascii="Segoe UI" w:cs="Segoe UI" w:eastAsia="Segoe UI" w:hAnsi="Segoe UI"/>
                <w:b/>
                <w:bCs/>
                <w:color w:val="FFD001"/>
                <w:sz w:val="20"/>
                <w:szCs w:val="20"/>
              </w:rPr>
              <w:t xml:space="preserve">Pregunta</w:t>
            </w:r>
          </w:p>
        </w:tc>
        <w:tc>
          <w:tcPr>
            <w:tcW w:type="dxa" w:w="6460"/>
            <w:shd w:fill="1A1A1A" w:color="auto" w:val="clear"/>
            <w:tcMar>
              <w:top w:type="dxa" w:w="80"/>
              <w:left w:type="dxa" w:w="120"/>
              <w:bottom w:type="dxa" w:w="80"/>
              <w:right w:type="dxa" w:w="120"/>
            </w:tcMar>
          </w:tcPr>
          <w:p>
            <w:r>
              <w:rPr>
                <w:rFonts w:ascii="Segoe UI" w:cs="Segoe UI" w:eastAsia="Segoe UI" w:hAnsi="Segoe UI"/>
                <w:b/>
                <w:bCs/>
                <w:color w:val="FFD001"/>
                <w:sz w:val="20"/>
                <w:szCs w:val="20"/>
              </w:rPr>
              <w:t xml:space="preserve">Respuesta sugerida</w:t>
            </w:r>
          </w:p>
        </w:tc>
      </w:tr>
      <w:tr>
        <w:tc>
          <w:tcPr>
            <w:tcW w:type="dxa" w:w="2900"/>
            <w:tcMar>
              <w:top w:type="dxa" w:w="80"/>
              <w:left w:type="dxa" w:w="120"/>
              <w:bottom w:type="dxa" w:w="80"/>
              <w:right w:type="dxa" w:w="120"/>
            </w:tcMar>
          </w:tcPr>
          <w:p>
            <w:r>
              <w:rPr>
                <w:rFonts w:ascii="Segoe UI" w:cs="Segoe UI" w:eastAsia="Segoe UI" w:hAnsi="Segoe UI"/>
                <w:b/>
                <w:bCs/>
                <w:sz w:val="20"/>
                <w:szCs w:val="20"/>
              </w:rPr>
              <w:t xml:space="preserve">¿Cuánto costó?</w:t>
            </w:r>
          </w:p>
        </w:tc>
        <w:tc>
          <w:tcPr>
            <w:tcW w:type="dxa" w:w="6460"/>
            <w:tcMar>
              <w:top w:type="dxa" w:w="80"/>
              <w:left w:type="dxa" w:w="120"/>
              <w:bottom w:type="dxa" w:w="80"/>
              <w:right w:type="dxa" w:w="120"/>
            </w:tcMar>
          </w:tcPr>
          <w:p>
            <w:r>
              <w:rPr>
                <w:rFonts w:ascii="Segoe UI" w:cs="Segoe UI" w:eastAsia="Segoe UI" w:hAnsi="Segoe UI"/>
                <w:sz w:val="20"/>
                <w:szCs w:val="20"/>
              </w:rPr>
              <w:t xml:space="preserve">Prácticamente nada de infraestructura: es un sitio estático alojado en Vercel y se construyó dentro del equipo. No hay licencias nuevas.</w:t>
            </w:r>
          </w:p>
        </w:tc>
      </w:tr>
      <w:tr>
        <w:tc>
          <w:tcPr>
            <w:tcW w:type="dxa" w:w="2900"/>
            <w:shd w:fill="F3F3F3" w:color="auto" w:val="clear"/>
            <w:tcMar>
              <w:top w:type="dxa" w:w="80"/>
              <w:left w:type="dxa" w:w="120"/>
              <w:bottom w:type="dxa" w:w="80"/>
              <w:right w:type="dxa" w:w="120"/>
            </w:tcMar>
          </w:tcPr>
          <w:p>
            <w:r>
              <w:rPr>
                <w:rFonts w:ascii="Segoe UI" w:cs="Segoe UI" w:eastAsia="Segoe UI" w:hAnsi="Segoe UI"/>
                <w:b/>
                <w:bCs/>
                <w:sz w:val="20"/>
                <w:szCs w:val="20"/>
              </w:rPr>
              <w:t xml:space="preserve">¿Quién lo mantiene?</w:t>
            </w:r>
          </w:p>
        </w:tc>
        <w:tc>
          <w:tcPr>
            <w:tcW w:type="dxa" w:w="6460"/>
            <w:shd w:fill="F3F3F3" w:color="auto" w:val="clear"/>
            <w:tcMar>
              <w:top w:type="dxa" w:w="80"/>
              <w:left w:type="dxa" w:w="120"/>
              <w:bottom w:type="dxa" w:w="80"/>
              <w:right w:type="dxa" w:w="120"/>
            </w:tcMar>
          </w:tcPr>
          <w:p>
            <w:r>
              <w:rPr>
                <w:rFonts w:ascii="Segoe UI" w:cs="Segoe UI" w:eastAsia="Segoe UI" w:hAnsi="Segoe UI"/>
                <w:sz w:val="20"/>
                <w:szCs w:val="20"/>
              </w:rPr>
              <w:t xml:space="preserve">Larry Beresford construye y mantiene el Hub, con apoyo de los supervisores de cada área en sus contenidos. Está documentado y el código vive en GitHub. Si crece el alcance, definimos un segundo responsable.</w:t>
            </w:r>
          </w:p>
        </w:tc>
      </w:tr>
      <w:tr>
        <w:tc>
          <w:tcPr>
            <w:tcW w:type="dxa" w:w="2900"/>
            <w:tcMar>
              <w:top w:type="dxa" w:w="80"/>
              <w:left w:type="dxa" w:w="120"/>
              <w:bottom w:type="dxa" w:w="80"/>
              <w:right w:type="dxa" w:w="120"/>
            </w:tcMar>
          </w:tcPr>
          <w:p>
            <w:r>
              <w:rPr>
                <w:rFonts w:ascii="Segoe UI" w:cs="Segoe UI" w:eastAsia="Segoe UI" w:hAnsi="Segoe UI"/>
                <w:b/>
                <w:bCs/>
                <w:sz w:val="20"/>
                <w:szCs w:val="20"/>
              </w:rPr>
              <w:t xml:space="preserve">¿Por qué no usar solo Axis?</w:t>
            </w:r>
          </w:p>
        </w:tc>
        <w:tc>
          <w:tcPr>
            <w:tcW w:type="dxa" w:w="6460"/>
            <w:tcMar>
              <w:top w:type="dxa" w:w="80"/>
              <w:left w:type="dxa" w:w="120"/>
              <w:bottom w:type="dxa" w:w="80"/>
              <w:right w:type="dxa" w:w="120"/>
            </w:tcMar>
          </w:tcPr>
          <w:p>
            <w:r>
              <w:rPr>
                <w:rFonts w:ascii="Segoe UI" w:cs="Segoe UI" w:eastAsia="Segoe UI" w:hAnsi="Segoe UI"/>
                <w:sz w:val="20"/>
                <w:szCs w:val="20"/>
              </w:rPr>
              <w:t xml:space="preserve">No lo reemplaza. Axis sigue siendo la fuente para proyectos. El Hub es la capa de consulta y estandarización encima, y las rutinas y el conocimiento no están en Axis.</w:t>
            </w:r>
          </w:p>
        </w:tc>
      </w:tr>
      <w:tr>
        <w:tc>
          <w:tcPr>
            <w:tcW w:type="dxa" w:w="2900"/>
            <w:shd w:fill="F3F3F3" w:color="auto" w:val="clear"/>
            <w:tcMar>
              <w:top w:type="dxa" w:w="80"/>
              <w:left w:type="dxa" w:w="120"/>
              <w:bottom w:type="dxa" w:w="80"/>
              <w:right w:type="dxa" w:w="120"/>
            </w:tcMar>
          </w:tcPr>
          <w:p>
            <w:r>
              <w:rPr>
                <w:rFonts w:ascii="Segoe UI" w:cs="Segoe UI" w:eastAsia="Segoe UI" w:hAnsi="Segoe UI"/>
                <w:b/>
                <w:bCs/>
                <w:sz w:val="20"/>
                <w:szCs w:val="20"/>
              </w:rPr>
              <w:t xml:space="preserve">¿Cubre todas las áreas de MLM o solo OE?</w:t>
            </w:r>
          </w:p>
        </w:tc>
        <w:tc>
          <w:tcPr>
            <w:tcW w:type="dxa" w:w="6460"/>
            <w:shd w:fill="F3F3F3" w:color="auto" w:val="clear"/>
            <w:tcMar>
              <w:top w:type="dxa" w:w="80"/>
              <w:left w:type="dxa" w:w="120"/>
              <w:bottom w:type="dxa" w:w="80"/>
              <w:right w:type="dxa" w:w="120"/>
            </w:tcMar>
          </w:tcPr>
          <w:p>
            <w:r>
              <w:rPr>
                <w:rFonts w:ascii="Segoe UI" w:cs="Segoe UI" w:eastAsia="Segoe UI" w:hAnsi="Segoe UI"/>
                <w:sz w:val="20"/>
                <w:szCs w:val="20"/>
              </w:rPr>
              <w:t xml:space="preserve">Hoy cubre lo de OE Transportes MLM. Se está evaluando ampliar el alcance con Axis, sin compromiso de fecha.</w:t>
            </w:r>
          </w:p>
        </w:tc>
      </w:tr>
      <w:tr>
        <w:tc>
          <w:tcPr>
            <w:tcW w:type="dxa" w:w="2900"/>
            <w:tcMar>
              <w:top w:type="dxa" w:w="80"/>
              <w:left w:type="dxa" w:w="120"/>
              <w:bottom w:type="dxa" w:w="80"/>
              <w:right w:type="dxa" w:w="120"/>
            </w:tcMar>
          </w:tcPr>
          <w:p>
            <w:r>
              <w:rPr>
                <w:rFonts w:ascii="Segoe UI" w:cs="Segoe UI" w:eastAsia="Segoe UI" w:hAnsi="Segoe UI"/>
                <w:b/>
                <w:bCs/>
                <w:sz w:val="20"/>
                <w:szCs w:val="20"/>
              </w:rPr>
              <w:t xml:space="preserve">¿Quién puede ver la información?</w:t>
            </w:r>
          </w:p>
        </w:tc>
        <w:tc>
          <w:tcPr>
            <w:tcW w:type="dxa" w:w="6460"/>
            <w:tcMar>
              <w:top w:type="dxa" w:w="80"/>
              <w:left w:type="dxa" w:w="120"/>
              <w:bottom w:type="dxa" w:w="80"/>
              <w:right w:type="dxa" w:w="120"/>
            </w:tcMar>
          </w:tcPr>
          <w:p>
            <w:r>
              <w:rPr>
                <w:rFonts w:ascii="Segoe UI" w:cs="Segoe UI" w:eastAsia="Segoe UI" w:hAnsi="Segoe UI"/>
                <w:sz w:val="20"/>
                <w:szCs w:val="20"/>
              </w:rPr>
              <w:t xml:space="preserve">Es un sitio interno para colaboradores de Mercado Libre. Antes de cargar datos reales se revisa la sensibilidad con IT y con cada área.</w:t>
            </w:r>
          </w:p>
        </w:tc>
      </w:tr>
      <w:tr>
        <w:tc>
          <w:tcPr>
            <w:tcW w:type="dxa" w:w="2900"/>
            <w:shd w:fill="F3F3F3" w:color="auto" w:val="clear"/>
            <w:tcMar>
              <w:top w:type="dxa" w:w="80"/>
              <w:left w:type="dxa" w:w="120"/>
              <w:bottom w:type="dxa" w:w="80"/>
              <w:right w:type="dxa" w:w="120"/>
            </w:tcMar>
          </w:tcPr>
          <w:p>
            <w:r>
              <w:rPr>
                <w:rFonts w:ascii="Segoe UI" w:cs="Segoe UI" w:eastAsia="Segoe UI" w:hAnsi="Segoe UI"/>
                <w:b/>
                <w:bCs/>
                <w:sz w:val="20"/>
                <w:szCs w:val="20"/>
              </w:rPr>
              <w:t xml:space="preserve">¿Cómo pido una herramienta para mi área?</w:t>
            </w:r>
          </w:p>
        </w:tc>
        <w:tc>
          <w:tcPr>
            <w:tcW w:type="dxa" w:w="6460"/>
            <w:shd w:fill="F3F3F3" w:color="auto" w:val="clear"/>
            <w:tcMar>
              <w:top w:type="dxa" w:w="80"/>
              <w:left w:type="dxa" w:w="120"/>
              <w:bottom w:type="dxa" w:w="80"/>
              <w:right w:type="dxa" w:w="120"/>
            </w:tcMar>
          </w:tcPr>
          <w:p>
            <w:r>
              <w:rPr>
                <w:rFonts w:ascii="Segoe UI" w:cs="Segoe UI" w:eastAsia="Segoe UI" w:hAnsi="Segoe UI"/>
                <w:sz w:val="20"/>
                <w:szCs w:val="20"/>
              </w:rPr>
              <w:t xml:space="preserve">Se plantea el problema a Larry, se define qué datos entran y qué debe salir, y se construye dentro del Hub con el mismo estilo. Se prioriza por impacto y esfuerzo.</w:t>
            </w:r>
          </w:p>
        </w:tc>
      </w:tr>
      <w:tr>
        <w:tc>
          <w:tcPr>
            <w:tcW w:type="dxa" w:w="2900"/>
            <w:tcMar>
              <w:top w:type="dxa" w:w="80"/>
              <w:left w:type="dxa" w:w="120"/>
              <w:bottom w:type="dxa" w:w="80"/>
              <w:right w:type="dxa" w:w="120"/>
            </w:tcMar>
          </w:tcPr>
          <w:p>
            <w:r>
              <w:rPr>
                <w:rFonts w:ascii="Segoe UI" w:cs="Segoe UI" w:eastAsia="Segoe UI" w:hAnsi="Segoe UI"/>
                <w:b/>
                <w:bCs/>
                <w:sz w:val="20"/>
                <w:szCs w:val="20"/>
              </w:rPr>
              <w:t xml:space="preserve">¿Cuánto tarda una herramienta?</w:t>
            </w:r>
          </w:p>
        </w:tc>
        <w:tc>
          <w:tcPr>
            <w:tcW w:type="dxa" w:w="6460"/>
            <w:tcMar>
              <w:top w:type="dxa" w:w="80"/>
              <w:left w:type="dxa" w:w="120"/>
              <w:bottom w:type="dxa" w:w="80"/>
              <w:right w:type="dxa" w:w="120"/>
            </w:tcMar>
          </w:tcPr>
          <w:p>
            <w:r>
              <w:rPr>
                <w:rFonts w:ascii="Segoe UI" w:cs="Segoe UI" w:eastAsia="Segoe UI" w:hAnsi="Segoe UI"/>
                <w:sz w:val="20"/>
                <w:szCs w:val="20"/>
              </w:rPr>
              <w:t xml:space="preserve">Depende de la complejidad: una sencilla puede ser cuestión de días; Expansiones tomó varias iteraciones con su dueño. No comprometemos fechas sin evaluar cada caso.</w:t>
            </w:r>
          </w:p>
        </w:tc>
      </w:tr>
      <w:tr>
        <w:tc>
          <w:tcPr>
            <w:tcW w:type="dxa" w:w="2900"/>
            <w:shd w:fill="F3F3F3" w:color="auto" w:val="clear"/>
            <w:tcMar>
              <w:top w:type="dxa" w:w="80"/>
              <w:left w:type="dxa" w:w="120"/>
              <w:bottom w:type="dxa" w:w="80"/>
              <w:right w:type="dxa" w:w="120"/>
            </w:tcMar>
          </w:tcPr>
          <w:p>
            <w:r>
              <w:rPr>
                <w:rFonts w:ascii="Segoe UI" w:cs="Segoe UI" w:eastAsia="Segoe UI" w:hAnsi="Segoe UI"/>
                <w:b/>
                <w:bCs/>
                <w:sz w:val="20"/>
                <w:szCs w:val="20"/>
              </w:rPr>
              <w:t xml:space="preserve">¿Se puede ampliar a otras áreas?</w:t>
            </w:r>
          </w:p>
        </w:tc>
        <w:tc>
          <w:tcPr>
            <w:tcW w:type="dxa" w:w="6460"/>
            <w:shd w:fill="F3F3F3" w:color="auto" w:val="clear"/>
            <w:tcMar>
              <w:top w:type="dxa" w:w="80"/>
              <w:left w:type="dxa" w:w="120"/>
              <w:bottom w:type="dxa" w:w="80"/>
              <w:right w:type="dxa" w:w="120"/>
            </w:tcMar>
          </w:tcPr>
          <w:p>
            <w:r>
              <w:rPr>
                <w:rFonts w:ascii="Segoe UI" w:cs="Segoe UI" w:eastAsia="Segoe UI" w:hAnsi="Segoe UI"/>
                <w:sz w:val="20"/>
                <w:szCs w:val="20"/>
              </w:rPr>
              <w:t xml:space="preserve">Sí, es el siguiente paso natural. La plataforma está hecha por secciones; sumar un área es agregar su contenido y sus datos.</w:t>
            </w:r>
          </w:p>
        </w:tc>
      </w:tr>
      <w:tr>
        <w:tc>
          <w:tcPr>
            <w:tcW w:type="dxa" w:w="2900"/>
            <w:tcMar>
              <w:top w:type="dxa" w:w="80"/>
              <w:left w:type="dxa" w:w="120"/>
              <w:bottom w:type="dxa" w:w="80"/>
              <w:right w:type="dxa" w:w="120"/>
            </w:tcMar>
          </w:tcPr>
          <w:p>
            <w:r>
              <w:rPr>
                <w:rFonts w:ascii="Segoe UI" w:cs="Segoe UI" w:eastAsia="Segoe UI" w:hAnsi="Segoe UI"/>
                <w:b/>
                <w:bCs/>
                <w:sz w:val="20"/>
                <w:szCs w:val="20"/>
              </w:rPr>
              <w:t xml:space="preserve">¿Qué pasa si Larry no está?</w:t>
            </w:r>
          </w:p>
        </w:tc>
        <w:tc>
          <w:tcPr>
            <w:tcW w:type="dxa" w:w="6460"/>
            <w:tcMar>
              <w:top w:type="dxa" w:w="80"/>
              <w:left w:type="dxa" w:w="120"/>
              <w:bottom w:type="dxa" w:w="80"/>
              <w:right w:type="dxa" w:w="120"/>
            </w:tcMar>
          </w:tcPr>
          <w:p>
            <w:r>
              <w:rPr>
                <w:rFonts w:ascii="Segoe UI" w:cs="Segoe UI" w:eastAsia="Segoe UI" w:hAnsi="Segoe UI"/>
                <w:sz w:val="20"/>
                <w:szCs w:val="20"/>
              </w:rPr>
              <w:t xml:space="preserve">Riesgo real; por eso está documentado y en GitHub. Si se escala, proponemos un segundo responsable.</w:t>
            </w:r>
          </w:p>
        </w:tc>
      </w:tr>
    </w:tbl>
    <w:p>
      <w:pPr>
        <w:pStyle w:val="Heading1"/>
        <w:pBdr>
          <w:bottom w:val="single" w:color="FFD001" w:sz="12" w:space="2"/>
        </w:pBdr>
        <w:spacing w:after="120" w:before="300"/>
      </w:pPr>
      <w:r>
        <w:rPr>
          <w:rFonts w:ascii="Segoe UI" w:cs="Segoe UI" w:eastAsia="Segoe UI" w:hAnsi="Segoe UI"/>
          <w:b/>
          <w:bCs/>
          <w:color w:val="1A1A1A"/>
          <w:sz w:val="28"/>
          <w:szCs w:val="28"/>
        </w:rPr>
        <w:t xml:space="preserve">Qué evitar</w:t>
      </w:r>
    </w:p>
    <w:p>
      <w:pPr>
        <w:pStyle w:val="ListParagraph"/>
        <w:numPr>
          <w:ilvl w:val="0"/>
          <w:numId w:val="2"/>
        </w:numPr>
        <w:spacing w:after="80"/>
      </w:pPr>
      <w:r>
        <w:rPr>
          <w:rFonts w:ascii="Segoe UI" w:cs="Segoe UI" w:eastAsia="Segoe UI" w:hAnsi="Segoe UI"/>
          <w:sz w:val="22"/>
          <w:szCs w:val="22"/>
        </w:rPr>
        <w:t xml:space="preserve"> No prometer cobertura de datos de otras áreas de MLM ni fechas.</w:t>
      </w:r>
    </w:p>
    <w:p>
      <w:pPr>
        <w:pStyle w:val="ListParagraph"/>
        <w:numPr>
          <w:ilvl w:val="0"/>
          <w:numId w:val="2"/>
        </w:numPr>
        <w:spacing w:after="80"/>
      </w:pPr>
      <w:r>
        <w:rPr>
          <w:rFonts w:ascii="Segoe UI" w:cs="Segoe UI" w:eastAsia="Segoe UI" w:hAnsi="Segoe UI"/>
          <w:sz w:val="22"/>
          <w:szCs w:val="22"/>
        </w:rPr>
        <w:t xml:space="preserve"> No presentar los números del dashboard de ejemplo como datos reales.</w:t>
      </w:r>
    </w:p>
    <w:p>
      <w:pPr>
        <w:pStyle w:val="ListParagraph"/>
        <w:numPr>
          <w:ilvl w:val="0"/>
          <w:numId w:val="2"/>
        </w:numPr>
        <w:spacing w:after="80"/>
      </w:pPr>
      <w:r>
        <w:rPr>
          <w:rFonts w:ascii="Segoe UI" w:cs="Segoe UI" w:eastAsia="Segoe UI" w:hAnsi="Segoe UI"/>
          <w:sz w:val="22"/>
          <w:szCs w:val="22"/>
        </w:rPr>
        <w:t xml:space="preserve"> Decir "presentación del Hub", no "capacitación".</w:t>
      </w:r>
    </w:p>
    <w:p>
      <w:pPr>
        <w:pStyle w:val="ListParagraph"/>
        <w:numPr>
          <w:ilvl w:val="0"/>
          <w:numId w:val="2"/>
        </w:numPr>
        <w:spacing w:after="80"/>
      </w:pPr>
      <w:r>
        <w:rPr>
          <w:rFonts w:ascii="Segoe UI" w:cs="Segoe UI" w:eastAsia="Segoe UI" w:hAnsi="Segoe UI"/>
          <w:sz w:val="22"/>
          <w:szCs w:val="22"/>
        </w:rPr>
        <w:t xml:space="preserve"> No comparar el Hub con otras herramientas de forma negativa.</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2026-10-03T22:54:21.040Z</dcterms:created>
  <dcterms:modified xsi:type="dcterms:W3CDTF">2026-10-03T22:54:21.040Z</dcterms:modified>
</cp:coreProperties>
</file>

<file path=docProps/custom.xml><?xml version="1.0" encoding="utf-8"?>
<Properties xmlns="http://schemas.openxmlformats.org/officeDocument/2006/custom-properties" xmlns:vt="http://schemas.openxmlformats.org/officeDocument/2006/docPropsVTypes"/>
</file>