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pacing w:val="80"/>
                <w:sz w:val="17"/>
                <w:szCs w:val="17"/>
              </w:rPr>
              <w:t xml:space="preserve">ICHEBO CHRISTIAN SERVICES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GOVERNING THE KINGDOM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C8D8E8"/>
                <w:sz w:val="22"/>
                <w:szCs w:val="22"/>
              </w:rPr>
              <w:t xml:space="preserve">A Framework for Operational Faithfulness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20"/>
              <w:left w:type="dxa" w:w="360"/>
              <w:bottom w:type="dxa" w:w="120"/>
              <w:right w:type="dxa" w:w="360"/>
            </w:tcMar>
          </w:tcPr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i/>
                <w:iCs/>
                <w:color w:val="1B2A4A"/>
                <w:sz w:val="21"/>
                <w:szCs w:val="21"/>
              </w:rPr>
              <w:t xml:space="preserve">The Church has never lacked faith. What it has often lacked is the structural coherence to translate that faith into sustained Kingdom impact.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92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single" w:color="E2E8F0" w:sz="1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pacing w:val="60"/>
                <w:sz w:val="17"/>
                <w:szCs w:val="17"/>
              </w:rPr>
              <w:t xml:space="preserve">THE PROBLEM</w:t>
            </w:r>
          </w:p>
          <w:p>
            <w:pPr>
              <w:spacing w:after="100" w:before="0"/>
              <w:jc w:val="both"/>
            </w:pPr>
            <w:r>
              <w:rPr>
                <w:rFonts w:ascii="Georgia" w:cs="Georgia" w:eastAsia="Georgia" w:hAnsi="Georgia"/>
                <w:color w:val="2D2D2D"/>
                <w:sz w:val="19"/>
                <w:szCs w:val="19"/>
              </w:rPr>
              <w:t xml:space="preserve">Six systemic hindrances prevent Christian organisations from fulfilling their mandate: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▸  </w:t>
            </w:r>
            <w:r>
              <w:rPr>
                <w:rFonts w:ascii="Georgia" w:cs="Georgia" w:eastAsia="Georgia" w:hAnsi="Georgia"/>
                <w:color w:val="2D2D2D"/>
                <w:sz w:val="18"/>
                <w:szCs w:val="18"/>
              </w:rPr>
              <w:t xml:space="preserve">Misalignment of vision and mandate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▸  </w:t>
            </w:r>
            <w:r>
              <w:rPr>
                <w:rFonts w:ascii="Georgia" w:cs="Georgia" w:eastAsia="Georgia" w:hAnsi="Georgia"/>
                <w:color w:val="2D2D2D"/>
                <w:sz w:val="18"/>
                <w:szCs w:val="18"/>
              </w:rPr>
              <w:t xml:space="preserve">Failure to discern the present season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▸  </w:t>
            </w:r>
            <w:r>
              <w:rPr>
                <w:rFonts w:ascii="Georgia" w:cs="Georgia" w:eastAsia="Georgia" w:hAnsi="Georgia"/>
                <w:color w:val="2D2D2D"/>
                <w:sz w:val="18"/>
                <w:szCs w:val="18"/>
              </w:rPr>
              <w:t xml:space="preserve">Lack of adaptability and spiritual agility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▸  </w:t>
            </w:r>
            <w:r>
              <w:rPr>
                <w:rFonts w:ascii="Georgia" w:cs="Georgia" w:eastAsia="Georgia" w:hAnsi="Georgia"/>
                <w:color w:val="2D2D2D"/>
                <w:sz w:val="18"/>
                <w:szCs w:val="18"/>
              </w:rPr>
              <w:t xml:space="preserve">Fragmentation and institutional silos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▸  </w:t>
            </w:r>
            <w:r>
              <w:rPr>
                <w:rFonts w:ascii="Georgia" w:cs="Georgia" w:eastAsia="Georgia" w:hAnsi="Georgia"/>
                <w:color w:val="2D2D2D"/>
                <w:sz w:val="18"/>
                <w:szCs w:val="18"/>
              </w:rPr>
              <w:t xml:space="preserve">Underdeveloped capabilities and formation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▸  </w:t>
            </w:r>
            <w:r>
              <w:rPr>
                <w:rFonts w:ascii="Georgia" w:cs="Georgia" w:eastAsia="Georgia" w:hAnsi="Georgia"/>
                <w:color w:val="2D2D2D"/>
                <w:sz w:val="18"/>
                <w:szCs w:val="18"/>
              </w:rPr>
              <w:t xml:space="preserve">Withdrawal from civic and societal engagement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i/>
                <w:iCs/>
                <w:color w:val="4A5568"/>
                <w:sz w:val="18"/>
                <w:szCs w:val="18"/>
              </w:rPr>
              <w:t xml:space="preserve">These are not isolated challenges. They are structural — and they require a structural response.</w:t>
            </w:r>
          </w:p>
        </w:tc>
        <w:tc>
          <w:tcPr>
            <w:tcW w:type="dxa" w:w="492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pacing w:val="60"/>
                <w:sz w:val="17"/>
                <w:szCs w:val="17"/>
              </w:rPr>
              <w:t xml:space="preserve">THE FRAMEWORK</w:t>
            </w:r>
          </w:p>
          <w:p>
            <w:pPr>
              <w:spacing w:after="100" w:before="0"/>
              <w:jc w:val="both"/>
            </w:pPr>
            <w:r>
              <w:rPr>
                <w:rFonts w:ascii="Georgia" w:cs="Georgia" w:eastAsia="Georgia" w:hAnsi="Georgia"/>
                <w:color w:val="2D2D2D"/>
                <w:sz w:val="19"/>
                <w:szCs w:val="19"/>
              </w:rPr>
              <w:t xml:space="preserve">The Kingdom Governance System (KGS) provides a comprehensive institutional architecture grounded in apostolic principle:</w:t>
            </w:r>
          </w:p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4200"/>
            </w:tblGrid>
            <w:tr>
              <w:tc>
                <w:tcPr>
                  <w:tcW w:type="dxa" w:w="48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EEF2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4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EEF2F7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cs="Georgia" w:eastAsia="Georgia" w:hAnsi="Georgia"/>
                      <w:color w:val="2D2D2D"/>
                      <w:sz w:val="17"/>
                      <w:szCs w:val="17"/>
                    </w:rPr>
                    <w:t xml:space="preserve">Apostolic &amp; Spiritual Oversight</w:t>
                  </w:r>
                </w:p>
              </w:tc>
            </w:tr>
            <w:tr>
              <w:tc>
                <w:tcPr>
                  <w:tcW w:type="dxa" w:w="48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0F4F8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4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0F4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cs="Georgia" w:eastAsia="Georgia" w:hAnsi="Georgia"/>
                      <w:color w:val="2D2D2D"/>
                      <w:sz w:val="17"/>
                      <w:szCs w:val="17"/>
                    </w:rPr>
                    <w:t xml:space="preserve">Strategy &amp; Governance</w:t>
                  </w:r>
                </w:p>
              </w:tc>
            </w:tr>
            <w:tr>
              <w:tc>
                <w:tcPr>
                  <w:tcW w:type="dxa" w:w="48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EEF2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4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EEF2F7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cs="Georgia" w:eastAsia="Georgia" w:hAnsi="Georgia"/>
                      <w:color w:val="2D2D2D"/>
                      <w:sz w:val="17"/>
                      <w:szCs w:val="17"/>
                    </w:rPr>
                    <w:t xml:space="preserve">Formation &amp; Discipleship</w:t>
                  </w:r>
                </w:p>
              </w:tc>
            </w:tr>
            <w:tr>
              <w:tc>
                <w:tcPr>
                  <w:tcW w:type="dxa" w:w="48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0F4F8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4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0F4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cs="Georgia" w:eastAsia="Georgia" w:hAnsi="Georgia"/>
                      <w:color w:val="2D2D2D"/>
                      <w:sz w:val="17"/>
                      <w:szCs w:val="17"/>
                    </w:rPr>
                    <w:t xml:space="preserve">Programmes &amp; Ministry Operations</w:t>
                  </w:r>
                </w:p>
              </w:tc>
            </w:tr>
            <w:tr>
              <w:tc>
                <w:tcPr>
                  <w:tcW w:type="dxa" w:w="48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EEF2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5</w:t>
                  </w:r>
                </w:p>
              </w:tc>
              <w:tc>
                <w:tcPr>
                  <w:tcW w:type="dxa" w:w="4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EEF2F7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cs="Georgia" w:eastAsia="Georgia" w:hAnsi="Georgia"/>
                      <w:color w:val="2D2D2D"/>
                      <w:sz w:val="17"/>
                      <w:szCs w:val="17"/>
                    </w:rPr>
                    <w:t xml:space="preserve">Mission &amp; Expansion</w:t>
                  </w:r>
                </w:p>
              </w:tc>
            </w:tr>
            <w:tr>
              <w:tc>
                <w:tcPr>
                  <w:tcW w:type="dxa" w:w="48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0F4F8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6</w:t>
                  </w:r>
                </w:p>
              </w:tc>
              <w:tc>
                <w:tcPr>
                  <w:tcW w:type="dxa" w:w="4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0F4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cs="Georgia" w:eastAsia="Georgia" w:hAnsi="Georgia"/>
                      <w:color w:val="2D2D2D"/>
                      <w:sz w:val="17"/>
                      <w:szCs w:val="17"/>
                    </w:rPr>
                    <w:t xml:space="preserve">Communities &amp; Networks</w:t>
                  </w:r>
                </w:p>
              </w:tc>
            </w:tr>
            <w:tr>
              <w:tc>
                <w:tcPr>
                  <w:tcW w:type="dxa" w:w="48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EEF2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7</w:t>
                  </w:r>
                </w:p>
              </w:tc>
              <w:tc>
                <w:tcPr>
                  <w:tcW w:type="dxa" w:w="4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EEF2F7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cs="Georgia" w:eastAsia="Georgia" w:hAnsi="Georgia"/>
                      <w:color w:val="2D2D2D"/>
                      <w:sz w:val="17"/>
                      <w:szCs w:val="17"/>
                    </w:rPr>
                    <w:t xml:space="preserve">Stewardship &amp; Administration</w:t>
                  </w:r>
                </w:p>
              </w:tc>
            </w:tr>
          </w:tbl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pacing w:val="60"/>
                <w:sz w:val="17"/>
                <w:szCs w:val="17"/>
              </w:rPr>
              <w:t xml:space="preserve">THE PLATFORM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color w:val="2D2D2D"/>
                <w:sz w:val="19"/>
                <w:szCs w:val="19"/>
              </w:rPr>
              <w:t xml:space="preserve">The </w:t>
            </w:r>
            <w:r>
              <w:rPr>
                <w:rFonts w:ascii="Georgia" w:cs="Georgia" w:eastAsia="Georgia" w:hAnsi="Georgia"/>
                <w:b/>
                <w:bCs/>
                <w:color w:val="1B2A4A"/>
                <w:sz w:val="19"/>
                <w:szCs w:val="19"/>
              </w:rPr>
              <w:t xml:space="preserve">Integrated Community System (ICS)</w:t>
            </w:r>
            <w:r>
              <w:rPr>
                <w:rFonts w:ascii="Georgia" w:cs="Georgia" w:eastAsia="Georgia" w:hAnsi="Georgia"/>
                <w:color w:val="2D2D2D"/>
                <w:sz w:val="19"/>
                <w:szCs w:val="19"/>
              </w:rPr>
              <w:t xml:space="preserve"> is the purpose-built digital platform through which every pillar of the KGS becomes operationally accessible — from apostolic governance to individual discipleship.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pacing w:val="60"/>
                <w:sz w:val="16"/>
                <w:szCs w:val="16"/>
              </w:rPr>
              <w:t xml:space="preserve">THREE LEVELS OF ADOPTION</w:t>
            </w:r>
          </w:p>
          <w:tbl>
            <w:tblPr>
              <w:tblW w:type="dxa" w:w="8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2880"/>
                  <w:tcBorders>
                    <w:top w:val="single" w:color="2A3F6A" w:sz="1"/>
                    <w:left w:val="single" w:color="2A3F6A" w:sz="1"/>
                    <w:bottom w:val="single" w:color="2A3F6A" w:sz="1"/>
                    <w:right w:val="single" w:color="2A3F6A" w:sz="1"/>
                  </w:tcBorders>
                  <w:shd w:fill="243558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Level 1 — Foundational Alignment</w:t>
                  </w:r>
                </w:p>
                <w:p>
                  <w:pPr>
                    <w:spacing w:after="0" w:before="0"/>
                    <w:jc w:val="both"/>
                  </w:pPr>
                  <w:r>
                    <w:rPr>
                      <w:rFonts w:ascii="Georgia" w:cs="Georgia" w:eastAsia="Georgia" w:hAnsi="Georgia"/>
                      <w:color w:val="C8D8E8"/>
                      <w:sz w:val="16"/>
                      <w:szCs w:val="16"/>
                    </w:rPr>
                    <w:t xml:space="preserve">Agreement with the Kingdom Mandate, leadership orientation, organisational assessment</w:t>
                  </w:r>
                </w:p>
              </w:tc>
              <w:tc>
                <w:tcPr>
                  <w:tcW w:type="dxa" w:w="2880"/>
                  <w:tcBorders>
                    <w:top w:val="single" w:color="2A3F6A" w:sz="1"/>
                    <w:left w:val="single" w:color="2A3F6A" w:sz="1"/>
                    <w:bottom w:val="single" w:color="2A3F6A" w:sz="1"/>
                    <w:right w:val="single" w:color="2A3F6A" w:sz="1"/>
                  </w:tcBorders>
                  <w:shd w:fill="243558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Level 2 — Structural Integration</w:t>
                  </w:r>
                </w:p>
                <w:p>
                  <w:pPr>
                    <w:spacing w:after="0" w:before="0"/>
                    <w:jc w:val="both"/>
                  </w:pPr>
                  <w:r>
                    <w:rPr>
                      <w:rFonts w:ascii="Georgia" w:cs="Georgia" w:eastAsia="Georgia" w:hAnsi="Georgia"/>
                      <w:color w:val="C8D8E8"/>
                      <w:sz w:val="16"/>
                      <w:szCs w:val="16"/>
                    </w:rPr>
                    <w:t xml:space="preserve">Governance structures, formation pathways, administrative offices, ICS platform onboarding</w:t>
                  </w:r>
                </w:p>
              </w:tc>
              <w:tc>
                <w:tcPr>
                  <w:tcW w:type="dxa" w:w="2880"/>
                  <w:tcBorders>
                    <w:top w:val="single" w:color="2A3F6A" w:sz="1"/>
                    <w:left w:val="single" w:color="2A3F6A" w:sz="1"/>
                    <w:bottom w:val="single" w:color="2A3F6A" w:sz="1"/>
                    <w:right w:val="single" w:color="2A3F6A" w:sz="1"/>
                  </w:tcBorders>
                  <w:shd w:fill="243558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Level 3 — Operational Activation</w:t>
                  </w:r>
                </w:p>
                <w:p>
                  <w:pPr>
                    <w:spacing w:after="0" w:before="0"/>
                    <w:jc w:val="both"/>
                  </w:pPr>
                  <w:r>
                    <w:rPr>
                      <w:rFonts w:ascii="Georgia" w:cs="Georgia" w:eastAsia="Georgia" w:hAnsi="Georgia"/>
                      <w:color w:val="C8D8E8"/>
                      <w:sz w:val="16"/>
                      <w:szCs w:val="16"/>
                    </w:rPr>
                    <w:t xml:space="preserve">Full governance cycle participation, network integration, ICS fully operational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0"/>
                <w:szCs w:val="20"/>
              </w:rPr>
              <w:t xml:space="preserve">Paul Reuben</w:t>
            </w:r>
          </w:p>
          <w:p>
            <w:pPr>
              <w:spacing w:after="0" w:before="0"/>
              <w:jc w:val="left"/>
            </w:pPr>
            <w:r>
              <w:rPr>
                <w:rFonts w:ascii="Georgia" w:cs="Georgia" w:eastAsia="Georgia" w:hAnsi="Georgia"/>
                <w:i/>
                <w:iCs/>
                <w:color w:val="4A5568"/>
                <w:sz w:val="18"/>
                <w:szCs w:val="18"/>
              </w:rPr>
              <w:t xml:space="preserve">Founder &amp; Principal Leader  |  Ichebo Christian Services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Email:  [email@ichebo.org]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Web:    [www.ichebo.org]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2026-04-07T10:30:32.224Z</dcterms:created>
  <dcterms:modified xsi:type="dcterms:W3CDTF">2026-04-07T10:30:32.225Z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