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Arial" w:cs="Arial" w:eastAsia="Arial" w:hAnsi="Arial"/>
          <w:b/>
          <w:bCs/>
          <w:caps/>
          <w:color w:val="B8860B"/>
          <w:sz w:val="52"/>
          <w:szCs w:val="52"/>
        </w:rPr>
        <w:t xml:space="preserve">PROPHET'S HANDBOOK</w:t>
      </w:r>
    </w:p>
    <w:p>
      <w:pPr>
        <w:spacing w:after="80" w:before="0"/>
        <w:jc w:val="center"/>
      </w:pPr>
      <w:r>
        <w:rPr>
          <w:rFonts w:ascii="Arial" w:cs="Arial" w:eastAsia="Arial" w:hAnsi="Arial"/>
          <w:i/>
          <w:iCs/>
          <w:color w:val="1B2A4A"/>
          <w:sz w:val="26"/>
          <w:szCs w:val="26"/>
        </w:rPr>
        <w:t xml:space="preserve">Structure, Record Types &amp; Design Reference</w:t>
      </w:r>
    </w:p>
    <w:p>
      <w:pPr>
        <w:pBdr>
          <w:bottom w:val="single" w:color="C8A84B" w:sz="6" w:space="8"/>
        </w:pBdr>
        <w:spacing w:after="2400" w:before="0"/>
        <w:jc w:val="center"/>
      </w:pPr>
      <w:r>
        <w:rPr>
          <w:rFonts w:ascii="Arial" w:cs="Arial" w:eastAsia="Arial" w:hAnsi="Arial"/>
          <w:color w:val="888888"/>
          <w:sz w:val="20"/>
          <w:szCs w:val="20"/>
        </w:rPr>
        <w:t xml:space="preserve">Integrated Community System  ·  Governance App Series</w:t>
      </w:r>
    </w:p>
    <w:p>
      <w:pPr>
        <w:spacing w:after="240" w:before="0"/>
      </w:pPr>
    </w:p>
    <w:p>
      <w:pPr>
        <w:pStyle w:val="Heading1"/>
      </w:pPr>
      <w:r>
        <w:t xml:space="preserve">Preamble</w:t>
      </w:r>
    </w:p>
    <w:p>
      <w:pPr>
        <w:spacing w:after="80" w:before="80"/>
      </w:pPr>
      <w:r>
        <w:rPr>
          <w:rFonts w:ascii="Georgia" w:cs="Georgia" w:eastAsia="Georgia" w:hAnsi="Georgia"/>
          <w:color w:val="1A1A1A"/>
          <w:sz w:val="22"/>
          <w:szCs w:val="22"/>
        </w:rPr>
        <w:t xml:space="preserve">The handbook is not one tool among many — it is the whole. Every output of this ministry is the handbook made external. The mandate, the platform, the communities, the governance system: all are the handbook translated into different forms.</w:t>
      </w:r>
    </w:p>
    <w:p>
      <w:pPr>
        <w:spacing w:after="120" w:before="0"/>
      </w:pPr>
    </w:p>
    <w:p>
      <w:pPr>
        <w:spacing w:after="80" w:before="80"/>
      </w:pPr>
      <w:r>
        <w:rPr>
          <w:rFonts w:ascii="Georgia" w:cs="Georgia" w:eastAsia="Georgia" w:hAnsi="Georgia"/>
          <w:color w:val="1A1A1A"/>
          <w:sz w:val="22"/>
          <w:szCs w:val="22"/>
        </w:rPr>
        <w:t xml:space="preserve">This document defines the structure of the handbook, the organisation of its branches, the record types that populate it, and the methodology that underlies it. It is intended to serve both as a reference for the founding apostle and as the design specification for the Governance App within the Integrated Community System (ICS).</w:t>
      </w:r>
    </w:p>
    <w:p>
      <w:pPr>
        <w:spacing w:after="240" w:before="0"/>
      </w:pPr>
    </w:p>
    <w:p>
      <w:pPr>
        <w:pStyle w:val="Heading1"/>
      </w:pPr>
      <w:r>
        <w:t xml:space="preserve">Part I — Apostolic Properties</w:t>
      </w:r>
    </w:p>
    <w:p>
      <w:pPr>
        <w:pStyle w:val="Heading2"/>
      </w:pPr>
      <w:r>
        <w:t xml:space="preserve">1.1 Overview</w:t>
      </w:r>
    </w:p>
    <w:p>
      <w:pPr>
        <w:spacing w:after="80" w:before="80"/>
      </w:pPr>
      <w:r>
        <w:rPr>
          <w:rFonts w:ascii="Georgia" w:cs="Georgia" w:eastAsia="Georgia" w:hAnsi="Georgia"/>
          <w:color w:val="1A1A1A"/>
          <w:sz w:val="22"/>
          <w:szCs w:val="22"/>
        </w:rPr>
        <w:t xml:space="preserve">Apostolic Properties is the master name for the entire body of work that belongs to the apostolic office. It is the parent structure under which all handbook material is organised. Within it sit three distinct branches, each with a different source, direction of flow, and function.</w:t>
      </w:r>
    </w:p>
    <w:p>
      <w:pPr>
        <w:spacing w:after="120" w:before="0"/>
      </w:pPr>
    </w:p>
    <w:p>
      <w:pPr>
        <w:spacing w:after="80" w:before="160"/>
      </w:pPr>
      <w:r>
        <w:rPr>
          <w:rFonts w:ascii="Georgia" w:cs="Georgia" w:eastAsia="Georgia" w:hAnsi="Georgia"/>
          <w:i/>
          <w:iCs/>
          <w:color w:val="1B2A4A"/>
          <w:sz w:val="22"/>
          <w:szCs w:val="22"/>
        </w:rPr>
        <w:t xml:space="preserve">Each branch has a distinct direction of flow:</w:t>
      </w:r>
    </w:p>
    <w:p>
      <w:pPr>
        <w:pStyle w:val="ListParagraph"/>
        <w:numPr>
          <w:ilvl w:val="0"/>
          <w:numId w:val="2"/>
        </w:numPr>
        <w:spacing w:after="60" w:before="60"/>
      </w:pPr>
      <w:r>
        <w:rPr>
          <w:rFonts w:ascii="Georgia" w:cs="Georgia" w:eastAsia="Georgia" w:hAnsi="Georgia"/>
          <w:b/>
          <w:bCs/>
          <w:color w:val="1A1A1A"/>
          <w:sz w:val="22"/>
          <w:szCs w:val="22"/>
        </w:rPr>
        <w:t xml:space="preserve">The Reference Library</w:t>
      </w:r>
      <w:r>
        <w:rPr>
          <w:rFonts w:ascii="Georgia" w:cs="Georgia" w:eastAsia="Georgia" w:hAnsi="Georgia"/>
          <w:color w:val="1A1A1A"/>
          <w:sz w:val="22"/>
          <w:szCs w:val="22"/>
        </w:rPr>
        <w:t xml:space="preserve"> — flows inward — you gather and compile into it from Scripture</w:t>
      </w:r>
    </w:p>
    <w:p>
      <w:pPr>
        <w:pStyle w:val="ListParagraph"/>
        <w:numPr>
          <w:ilvl w:val="0"/>
          <w:numId w:val="2"/>
        </w:numPr>
        <w:spacing w:after="60" w:before="60"/>
      </w:pPr>
      <w:r>
        <w:rPr>
          <w:rFonts w:ascii="Georgia" w:cs="Georgia" w:eastAsia="Georgia" w:hAnsi="Georgia"/>
          <w:b/>
          <w:bCs/>
          <w:color w:val="1A1A1A"/>
          <w:sz w:val="22"/>
          <w:szCs w:val="22"/>
        </w:rPr>
        <w:t xml:space="preserve">The Keys Library</w:t>
      </w:r>
      <w:r>
        <w:rPr>
          <w:rFonts w:ascii="Georgia" w:cs="Georgia" w:eastAsia="Georgia" w:hAnsi="Georgia"/>
          <w:color w:val="1A1A1A"/>
          <w:sz w:val="22"/>
          <w:szCs w:val="22"/>
        </w:rPr>
        <w:t xml:space="preserve"> — flows inward and outward — you record into it and draw from it to interpret</w:t>
      </w:r>
    </w:p>
    <w:p>
      <w:pPr>
        <w:pStyle w:val="ListParagraph"/>
        <w:numPr>
          <w:ilvl w:val="0"/>
          <w:numId w:val="2"/>
        </w:numPr>
        <w:spacing w:after="60" w:before="60"/>
      </w:pPr>
      <w:r>
        <w:rPr>
          <w:rFonts w:ascii="Georgia" w:cs="Georgia" w:eastAsia="Georgia" w:hAnsi="Georgia"/>
          <w:b/>
          <w:bCs/>
          <w:color w:val="1A1A1A"/>
          <w:sz w:val="22"/>
          <w:szCs w:val="22"/>
        </w:rPr>
        <w:t xml:space="preserve">The Mandate</w:t>
      </w:r>
      <w:r>
        <w:rPr>
          <w:rFonts w:ascii="Georgia" w:cs="Georgia" w:eastAsia="Georgia" w:hAnsi="Georgia"/>
          <w:color w:val="1A1A1A"/>
          <w:sz w:val="22"/>
          <w:szCs w:val="22"/>
        </w:rPr>
        <w:t xml:space="preserve"> — flows outward — what is received is translated into work, platform, and community</w:t>
      </w:r>
    </w:p>
    <w:p>
      <w:pPr>
        <w:spacing w:after="240" w:before="0"/>
      </w:pPr>
    </w:p>
    <w:p>
      <w:pPr>
        <w:spacing w:after="60" w:before="320"/>
      </w:pPr>
      <w:r>
        <w:rPr>
          <w:rFonts w:ascii="Arial" w:cs="Arial" w:eastAsia="Arial" w:hAnsi="Arial"/>
          <w:b/>
          <w:bCs/>
          <w:caps/>
          <w:color w:val="B8860B"/>
          <w:sz w:val="18"/>
          <w:szCs w:val="18"/>
        </w:rPr>
        <w:t xml:space="preserve">Branch 1 — The Reference Library</w:t>
      </w:r>
    </w:p>
    <w:p>
      <w:pPr>
        <w:pStyle w:val="Heading2"/>
      </w:pPr>
      <w:r>
        <w:t xml:space="preserve">1.2 The Reference Library</w:t>
      </w:r>
    </w:p>
    <w:p>
      <w:pPr>
        <w:spacing w:after="80" w:before="80"/>
      </w:pPr>
      <w:r>
        <w:rPr>
          <w:rFonts w:ascii="Georgia" w:cs="Georgia" w:eastAsia="Georgia" w:hAnsi="Georgia"/>
          <w:color w:val="1A1A1A"/>
          <w:sz w:val="22"/>
          <w:szCs w:val="22"/>
        </w:rPr>
        <w:t xml:space="preserve">The Reference Library — also known as the Prophet's Library — is a compiled collection of Properties drawn from Holy Scripture using the Hierarchy and Relationship System (HRS). It is the objective library: the same body of knowledge for every operator, built from the primary source of divine communication.</w:t>
      </w:r>
    </w:p>
    <w:p>
      <w:pPr>
        <w:spacing w:after="120" w:before="0"/>
      </w:pPr>
    </w:p>
    <w:p>
      <w:pPr>
        <w:spacing w:after="80" w:before="80"/>
      </w:pPr>
      <w:r>
        <w:rPr>
          <w:rFonts w:ascii="Georgia" w:cs="Georgia" w:eastAsia="Georgia" w:hAnsi="Georgia"/>
          <w:color w:val="1A1A1A"/>
          <w:sz w:val="22"/>
          <w:szCs w:val="22"/>
        </w:rPr>
        <w:t xml:space="preserve">The Reference Library holds two categories of material:</w:t>
      </w:r>
    </w:p>
    <w:p>
      <w:pPr>
        <w:pStyle w:val="ListParagraph"/>
        <w:numPr>
          <w:ilvl w:val="0"/>
          <w:numId w:val="2"/>
        </w:numPr>
        <w:spacing w:after="60" w:before="60"/>
      </w:pPr>
      <w:r>
        <w:rPr>
          <w:rFonts w:ascii="Georgia" w:cs="Georgia" w:eastAsia="Georgia" w:hAnsi="Georgia"/>
          <w:b/>
          <w:bCs/>
          <w:color w:val="1A1A1A"/>
          <w:sz w:val="22"/>
          <w:szCs w:val="22"/>
        </w:rPr>
        <w:t xml:space="preserve">Biblical Concepts and Principles</w:t>
      </w:r>
      <w:r>
        <w:rPr>
          <w:rFonts w:ascii="Georgia" w:cs="Georgia" w:eastAsia="Georgia" w:hAnsi="Georgia"/>
          <w:color w:val="1A1A1A"/>
          <w:sz w:val="22"/>
          <w:szCs w:val="22"/>
        </w:rPr>
        <w:t xml:space="preserve"> — the foundational ideas and rules that underpin the Word of God, compiled so that members of the Kingdom can access any principle without extensive searching</w:t>
      </w:r>
    </w:p>
    <w:p>
      <w:pPr>
        <w:pStyle w:val="ListParagraph"/>
        <w:numPr>
          <w:ilvl w:val="0"/>
          <w:numId w:val="2"/>
        </w:numPr>
        <w:spacing w:after="60" w:before="60"/>
      </w:pPr>
      <w:r>
        <w:rPr>
          <w:rFonts w:ascii="Georgia" w:cs="Georgia" w:eastAsia="Georgia" w:hAnsi="Georgia"/>
          <w:b/>
          <w:bCs/>
          <w:color w:val="1A1A1A"/>
          <w:sz w:val="22"/>
          <w:szCs w:val="22"/>
        </w:rPr>
        <w:t xml:space="preserve">Biblical Symbolism</w:t>
      </w:r>
      <w:r>
        <w:rPr>
          <w:rFonts w:ascii="Georgia" w:cs="Georgia" w:eastAsia="Georgia" w:hAnsi="Georgia"/>
          <w:color w:val="1A1A1A"/>
          <w:sz w:val="22"/>
          <w:szCs w:val="22"/>
        </w:rPr>
        <w:t xml:space="preserve"> — the accumulated symbolic language used in Scripture and in divine communication, essential for interpretive work</w:t>
      </w:r>
    </w:p>
    <w:p>
      <w:pPr>
        <w:spacing w:after="120" w:before="0"/>
      </w:pPr>
    </w:p>
    <w:p>
      <w:pPr>
        <w:spacing w:after="120" w:before="60"/>
      </w:pPr>
      <w:r>
        <w:rPr>
          <w:rFonts w:ascii="Georgia" w:cs="Georgia" w:eastAsia="Georgia" w:hAnsi="Georgia"/>
          <w:i/>
          <w:iCs/>
          <w:color w:val="555555"/>
          <w:sz w:val="20"/>
          <w:szCs w:val="20"/>
        </w:rPr>
        <w:t xml:space="preserve">The Reference Library was previously referred to as both the 'Reference Library' and the 'Properties Library.' These are one and the same. The content of the library is Properties; the library is the collection of those Properties.</w:t>
      </w:r>
    </w:p>
    <w:p>
      <w:pPr>
        <w:spacing w:after="160" w:before="0"/>
      </w:pPr>
    </w:p>
    <w:p>
      <w:pPr>
        <w:pStyle w:val="Heading3"/>
      </w:pPr>
      <w:r>
        <w:t xml:space="preserve">1.2.1 The Four Property Types</w:t>
      </w:r>
    </w:p>
    <w:p>
      <w:pPr>
        <w:spacing w:after="80" w:before="80"/>
      </w:pPr>
      <w:r>
        <w:rPr>
          <w:rFonts w:ascii="Georgia" w:cs="Georgia" w:eastAsia="Georgia" w:hAnsi="Georgia"/>
          <w:color w:val="1A1A1A"/>
          <w:sz w:val="22"/>
          <w:szCs w:val="22"/>
        </w:rPr>
        <w:t xml:space="preserve">All entries in the Reference Library are classified under one of four Property types. These types are the core categories produced by HRS from Scripture: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8860B" w:sz="1"/>
              <w:left w:val="single" w:color="B8860B" w:sz="1"/>
              <w:bottom w:val="single" w:color="B8860B" w:sz="1"/>
              <w:right w:val="single" w:color="B8860B"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Property Type</w:t>
            </w:r>
          </w:p>
        </w:tc>
        <w:tc>
          <w:tcPr>
            <w:tcW w:type="dxa" w:w="3200"/>
            <w:tcBorders>
              <w:top w:val="single" w:color="B8860B" w:sz="1"/>
              <w:left w:val="single" w:color="B8860B" w:sz="1"/>
              <w:bottom w:val="single" w:color="B8860B" w:sz="1"/>
              <w:right w:val="single" w:color="B8860B"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Definition</w:t>
            </w:r>
          </w:p>
        </w:tc>
        <w:tc>
          <w:tcPr>
            <w:tcW w:type="dxa" w:w="3960"/>
            <w:tcBorders>
              <w:top w:val="single" w:color="B8860B" w:sz="1"/>
              <w:left w:val="single" w:color="B8860B" w:sz="1"/>
              <w:bottom w:val="single" w:color="B8860B" w:sz="1"/>
              <w:right w:val="single" w:color="B8860B"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b/>
                <w:bCs/>
                <w:color w:val="1A1A1A"/>
                <w:sz w:val="21"/>
                <w:szCs w:val="21"/>
              </w:rPr>
              <w:t xml:space="preserve">Classes</w:t>
            </w:r>
          </w:p>
        </w:tc>
        <w:tc>
          <w:tcPr>
            <w:tcW w:type="dxa" w:w="3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color w:val="1A1A1A"/>
                <w:sz w:val="21"/>
                <w:szCs w:val="21"/>
              </w:rPr>
              <w:t xml:space="preserve">Categories of subjects or objects sharing similar attributes. The root elements from which symbols and concepts are formed.</w:t>
            </w:r>
          </w:p>
        </w:tc>
        <w:tc>
          <w:tcPr>
            <w:tcW w:type="dxa" w:w="39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color w:val="1A1A1A"/>
                <w:sz w:val="21"/>
                <w:szCs w:val="21"/>
              </w:rPr>
              <w:t xml:space="preserve">Wild animals, domestic animals, land, water, humans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bCs/>
                <w:color w:val="1A1A1A"/>
                <w:sz w:val="21"/>
                <w:szCs w:val="21"/>
              </w:rPr>
              <w:t xml:space="preserve">Principles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21"/>
                <w:szCs w:val="21"/>
              </w:rPr>
              <w:t xml:space="preserve">Rules defining categories of actions and their outcomes. What the Divine enacts to make a construct fit for the counsel of His will.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21"/>
                <w:szCs w:val="21"/>
              </w:rPr>
              <w:t xml:space="preserve">Foundation Principles (Genesis) — the framework of life and relational order</w:t>
            </w:r>
          </w:p>
        </w:tc>
      </w:tr>
      <w:tr>
        <w:tc>
          <w:tcPr>
            <w:tcW w:type="dxa" w:w="2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b/>
                <w:bCs/>
                <w:color w:val="1A1A1A"/>
                <w:sz w:val="21"/>
                <w:szCs w:val="21"/>
              </w:rPr>
              <w:t xml:space="preserve">Concepts</w:t>
            </w:r>
          </w:p>
        </w:tc>
        <w:tc>
          <w:tcPr>
            <w:tcW w:type="dxa" w:w="3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color w:val="1A1A1A"/>
                <w:sz w:val="21"/>
                <w:szCs w:val="21"/>
              </w:rPr>
              <w:t xml:space="preserve">The premises through which a given principle can be applied in practice. Multiple concepts may arise from a single root principle.</w:t>
            </w:r>
          </w:p>
        </w:tc>
        <w:tc>
          <w:tcPr>
            <w:tcW w:type="dxa" w:w="39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color w:val="1A1A1A"/>
                <w:sz w:val="21"/>
                <w:szCs w:val="21"/>
              </w:rPr>
              <w:t xml:space="preserve">Concepts related to the Farmer symbol: tiller, adulteress, oppressor, tradition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bCs/>
                <w:color w:val="1A1A1A"/>
                <w:sz w:val="21"/>
                <w:szCs w:val="21"/>
              </w:rPr>
              <w:t xml:space="preserve">Divine Patterns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21"/>
                <w:szCs w:val="21"/>
              </w:rPr>
              <w:t xml:space="preserve">Antitypical sequences of events or narrations that foreshadow future events. Distinct from types (persons/things) — patterns describe appointed sequences of history.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21"/>
                <w:szCs w:val="21"/>
              </w:rPr>
              <w:t xml:space="preserve">The Creation narrative as a prophetic timeline of five ruling ages</w:t>
            </w:r>
          </w:p>
        </w:tc>
      </w:tr>
    </w:tbl>
    <w:p>
      <w:pPr>
        <w:spacing w:after="240" w:before="0"/>
      </w:pPr>
    </w:p>
    <w:p>
      <w:pPr>
        <w:pStyle w:val="Heading3"/>
      </w:pPr>
      <w:r>
        <w:t xml:space="preserve">1.2.2 Property Attributes</w:t>
      </w:r>
    </w:p>
    <w:p>
      <w:pPr>
        <w:spacing w:after="80" w:before="80"/>
      </w:pPr>
      <w:r>
        <w:rPr>
          <w:rFonts w:ascii="Georgia" w:cs="Georgia" w:eastAsia="Georgia" w:hAnsi="Georgia"/>
          <w:color w:val="1A1A1A"/>
          <w:sz w:val="22"/>
          <w:szCs w:val="22"/>
        </w:rPr>
        <w:t xml:space="preserve">Each Property entry carries descriptive attributes that characterise its nature and relational position:</w:t>
      </w:r>
    </w:p>
    <w:p>
      <w:pPr>
        <w:spacing w:after="80" w:before="0"/>
      </w:pPr>
    </w:p>
    <w:p>
      <w:pPr>
        <w:pStyle w:val="ListParagraph"/>
        <w:numPr>
          <w:ilvl w:val="0"/>
          <w:numId w:val="2"/>
        </w:numPr>
        <w:spacing w:after="60" w:before="60"/>
      </w:pPr>
      <w:r>
        <w:rPr>
          <w:rFonts w:ascii="Georgia" w:cs="Georgia" w:eastAsia="Georgia" w:hAnsi="Georgia"/>
          <w:b/>
          <w:bCs/>
          <w:color w:val="1A1A1A"/>
          <w:sz w:val="22"/>
          <w:szCs w:val="22"/>
        </w:rPr>
        <w:t xml:space="preserve">Complexity</w:t>
      </w:r>
      <w:r>
        <w:rPr>
          <w:rFonts w:ascii="Georgia" w:cs="Georgia" w:eastAsia="Georgia" w:hAnsi="Georgia"/>
          <w:color w:val="1A1A1A"/>
          <w:sz w:val="22"/>
          <w:szCs w:val="22"/>
        </w:rPr>
        <w:t xml:space="preserve"> — the structural depth of the property</w:t>
      </w:r>
    </w:p>
    <w:p>
      <w:pPr>
        <w:pStyle w:val="ListParagraph"/>
        <w:numPr>
          <w:ilvl w:val="0"/>
          <w:numId w:val="2"/>
        </w:numPr>
        <w:spacing w:after="60" w:before="60"/>
      </w:pPr>
      <w:r>
        <w:rPr>
          <w:rFonts w:ascii="Georgia" w:cs="Georgia" w:eastAsia="Georgia" w:hAnsi="Georgia"/>
          <w:b/>
          <w:bCs/>
          <w:color w:val="1A1A1A"/>
          <w:sz w:val="22"/>
          <w:szCs w:val="22"/>
        </w:rPr>
        <w:t xml:space="preserve">Relationship</w:t>
      </w:r>
      <w:r>
        <w:rPr>
          <w:rFonts w:ascii="Georgia" w:cs="Georgia" w:eastAsia="Georgia" w:hAnsi="Georgia"/>
          <w:color w:val="1A1A1A"/>
          <w:sz w:val="22"/>
          <w:szCs w:val="22"/>
        </w:rPr>
        <w:t xml:space="preserve"> — subjective (ruling) or objective (subservient)</w:t>
      </w:r>
    </w:p>
    <w:p>
      <w:pPr>
        <w:pStyle w:val="ListParagraph"/>
        <w:numPr>
          <w:ilvl w:val="0"/>
          <w:numId w:val="2"/>
        </w:numPr>
        <w:spacing w:after="60" w:before="60"/>
      </w:pPr>
      <w:r>
        <w:rPr>
          <w:rFonts w:ascii="Georgia" w:cs="Georgia" w:eastAsia="Georgia" w:hAnsi="Georgia"/>
          <w:b/>
          <w:bCs/>
          <w:color w:val="1A1A1A"/>
          <w:sz w:val="22"/>
          <w:szCs w:val="22"/>
        </w:rPr>
        <w:t xml:space="preserve">Position</w:t>
      </w:r>
      <w:r>
        <w:rPr>
          <w:rFonts w:ascii="Georgia" w:cs="Georgia" w:eastAsia="Georgia" w:hAnsi="Georgia"/>
          <w:color w:val="1A1A1A"/>
          <w:sz w:val="22"/>
          <w:szCs w:val="22"/>
        </w:rPr>
        <w:t xml:space="preserve"> — up/down, left/right</w:t>
      </w:r>
    </w:p>
    <w:p>
      <w:pPr>
        <w:pStyle w:val="ListParagraph"/>
        <w:numPr>
          <w:ilvl w:val="0"/>
          <w:numId w:val="2"/>
        </w:numPr>
        <w:spacing w:after="60" w:before="60"/>
      </w:pPr>
      <w:r>
        <w:rPr>
          <w:rFonts w:ascii="Georgia" w:cs="Georgia" w:eastAsia="Georgia" w:hAnsi="Georgia"/>
          <w:b/>
          <w:bCs/>
          <w:color w:val="1A1A1A"/>
          <w:sz w:val="22"/>
          <w:szCs w:val="22"/>
        </w:rPr>
        <w:t xml:space="preserve">Direction</w:t>
      </w:r>
      <w:r>
        <w:rPr>
          <w:rFonts w:ascii="Georgia" w:cs="Georgia" w:eastAsia="Georgia" w:hAnsi="Georgia"/>
          <w:color w:val="1A1A1A"/>
          <w:sz w:val="22"/>
          <w:szCs w:val="22"/>
        </w:rPr>
        <w:t xml:space="preserve"> — forward or backward</w:t>
      </w:r>
    </w:p>
    <w:p>
      <w:pPr>
        <w:pStyle w:val="ListParagraph"/>
        <w:numPr>
          <w:ilvl w:val="0"/>
          <w:numId w:val="2"/>
        </w:numPr>
        <w:spacing w:after="60" w:before="60"/>
      </w:pPr>
      <w:r>
        <w:rPr>
          <w:rFonts w:ascii="Georgia" w:cs="Georgia" w:eastAsia="Georgia" w:hAnsi="Georgia"/>
          <w:b/>
          <w:bCs/>
          <w:color w:val="1A1A1A"/>
          <w:sz w:val="22"/>
          <w:szCs w:val="22"/>
        </w:rPr>
        <w:t xml:space="preserve">Speed</w:t>
      </w:r>
      <w:r>
        <w:rPr>
          <w:rFonts w:ascii="Georgia" w:cs="Georgia" w:eastAsia="Georgia" w:hAnsi="Georgia"/>
          <w:color w:val="1A1A1A"/>
          <w:sz w:val="22"/>
          <w:szCs w:val="22"/>
        </w:rPr>
        <w:t xml:space="preserve"> — fast or slow</w:t>
      </w:r>
    </w:p>
    <w:p>
      <w:pPr>
        <w:pStyle w:val="ListParagraph"/>
        <w:numPr>
          <w:ilvl w:val="0"/>
          <w:numId w:val="2"/>
        </w:numPr>
        <w:spacing w:after="60" w:before="60"/>
      </w:pPr>
      <w:r>
        <w:rPr>
          <w:rFonts w:ascii="Georgia" w:cs="Georgia" w:eastAsia="Georgia" w:hAnsi="Georgia"/>
          <w:b/>
          <w:bCs/>
          <w:color w:val="1A1A1A"/>
          <w:sz w:val="22"/>
          <w:szCs w:val="22"/>
        </w:rPr>
        <w:t xml:space="preserve">Emotional Tone</w:t>
      </w:r>
      <w:r>
        <w:rPr>
          <w:rFonts w:ascii="Georgia" w:cs="Georgia" w:eastAsia="Georgia" w:hAnsi="Georgia"/>
          <w:color w:val="1A1A1A"/>
          <w:sz w:val="22"/>
          <w:szCs w:val="22"/>
        </w:rPr>
        <w:t xml:space="preserve"> — e.g. fearful, dread, vengeful</w:t>
      </w:r>
    </w:p>
    <w:p>
      <w:pPr>
        <w:spacing w:after="240" w:before="0"/>
      </w:pPr>
    </w:p>
    <w:p>
      <w:pPr>
        <w:spacing w:after="60" w:before="320"/>
      </w:pPr>
      <w:r>
        <w:rPr>
          <w:rFonts w:ascii="Arial" w:cs="Arial" w:eastAsia="Arial" w:hAnsi="Arial"/>
          <w:b/>
          <w:bCs/>
          <w:caps/>
          <w:color w:val="B8860B"/>
          <w:sz w:val="18"/>
          <w:szCs w:val="18"/>
        </w:rPr>
        <w:t xml:space="preserve">Branch 2 — The Keys Library</w:t>
      </w:r>
    </w:p>
    <w:p>
      <w:pPr>
        <w:pStyle w:val="Heading2"/>
      </w:pPr>
      <w:r>
        <w:t xml:space="preserve">1.3 The Keys Library</w:t>
      </w:r>
    </w:p>
    <w:p>
      <w:pPr>
        <w:spacing w:after="80" w:before="80"/>
      </w:pPr>
      <w:r>
        <w:rPr>
          <w:rFonts w:ascii="Georgia" w:cs="Georgia" w:eastAsia="Georgia" w:hAnsi="Georgia"/>
          <w:color w:val="1A1A1A"/>
          <w:sz w:val="22"/>
          <w:szCs w:val="22"/>
        </w:rPr>
        <w:t xml:space="preserve">The Keys Library — also known as the Dream Library — is the personal and individual reference library built by each operator over time. While the Reference Library is objective and shared, the Keys Library is subjective and unique to each person.</w:t>
      </w:r>
    </w:p>
    <w:p>
      <w:pPr>
        <w:spacing w:after="120" w:before="0"/>
      </w:pPr>
    </w:p>
    <w:p>
      <w:pPr>
        <w:spacing w:after="80" w:before="80"/>
      </w:pPr>
      <w:r>
        <w:rPr>
          <w:rFonts w:ascii="Georgia" w:cs="Georgia" w:eastAsia="Georgia" w:hAnsi="Georgia"/>
          <w:color w:val="1A1A1A"/>
          <w:sz w:val="22"/>
          <w:szCs w:val="22"/>
        </w:rPr>
        <w:t xml:space="preserve">Its source data is the Dream Journal and the Spirit Journal. As the operator records dreams and spiritual communications over time, recurring patterns, characters, and symbols emerge. These are collected, interpreted, and held as interpretive keys — a personal framework for deciphering the messages received in ongoing divine communication.</w:t>
      </w:r>
    </w:p>
    <w:p>
      <w:pPr>
        <w:spacing w:after="120" w:before="0"/>
      </w:pPr>
    </w:p>
    <w:p>
      <w:pPr>
        <w:pStyle w:val="ListParagraph"/>
        <w:numPr>
          <w:ilvl w:val="0"/>
          <w:numId w:val="2"/>
        </w:numPr>
        <w:spacing w:after="60" w:before="60"/>
      </w:pPr>
      <w:r>
        <w:rPr>
          <w:rFonts w:ascii="Georgia" w:cs="Georgia" w:eastAsia="Georgia" w:hAnsi="Georgia"/>
          <w:b/>
          <w:bCs/>
          <w:color w:val="1A1A1A"/>
          <w:sz w:val="22"/>
          <w:szCs w:val="22"/>
        </w:rPr>
        <w:t xml:space="preserve">Source</w:t>
      </w:r>
      <w:r>
        <w:rPr>
          <w:rFonts w:ascii="Georgia" w:cs="Georgia" w:eastAsia="Georgia" w:hAnsi="Georgia"/>
          <w:color w:val="1A1A1A"/>
          <w:sz w:val="22"/>
          <w:szCs w:val="22"/>
        </w:rPr>
        <w:t xml:space="preserve"> — Dream Journal and Spirit Journal (input records)</w:t>
      </w:r>
    </w:p>
    <w:p>
      <w:pPr>
        <w:pStyle w:val="ListParagraph"/>
        <w:numPr>
          <w:ilvl w:val="0"/>
          <w:numId w:val="2"/>
        </w:numPr>
        <w:spacing w:after="60" w:before="60"/>
      </w:pPr>
      <w:r>
        <w:rPr>
          <w:rFonts w:ascii="Georgia" w:cs="Georgia" w:eastAsia="Georgia" w:hAnsi="Georgia"/>
          <w:b/>
          <w:bCs/>
          <w:color w:val="1A1A1A"/>
          <w:sz w:val="22"/>
          <w:szCs w:val="22"/>
        </w:rPr>
        <w:t xml:space="preserve">Output</w:t>
      </w:r>
      <w:r>
        <w:rPr>
          <w:rFonts w:ascii="Georgia" w:cs="Georgia" w:eastAsia="Georgia" w:hAnsi="Georgia"/>
          <w:color w:val="1A1A1A"/>
          <w:sz w:val="22"/>
          <w:szCs w:val="22"/>
        </w:rPr>
        <w:t xml:space="preserve"> — Personal Keys — individual symbol-to-meaning mappings</w:t>
      </w:r>
    </w:p>
    <w:p>
      <w:pPr>
        <w:pStyle w:val="ListParagraph"/>
        <w:numPr>
          <w:ilvl w:val="0"/>
          <w:numId w:val="2"/>
        </w:numPr>
        <w:spacing w:after="60" w:before="60"/>
      </w:pPr>
      <w:r>
        <w:rPr>
          <w:rFonts w:ascii="Georgia" w:cs="Georgia" w:eastAsia="Georgia" w:hAnsi="Georgia"/>
          <w:b/>
          <w:bCs/>
          <w:color w:val="1A1A1A"/>
          <w:sz w:val="22"/>
          <w:szCs w:val="22"/>
        </w:rPr>
        <w:t xml:space="preserve">Duration</w:t>
      </w:r>
      <w:r>
        <w:rPr>
          <w:rFonts w:ascii="Georgia" w:cs="Georgia" w:eastAsia="Georgia" w:hAnsi="Georgia"/>
          <w:color w:val="1A1A1A"/>
          <w:sz w:val="22"/>
          <w:szCs w:val="22"/>
        </w:rPr>
        <w:t xml:space="preserve"> — Initial key development requires 2–3 months of consistent dream recording to reveal recurring patterns</w:t>
      </w:r>
    </w:p>
    <w:p>
      <w:pPr>
        <w:spacing w:after="240" w:before="0"/>
      </w:pPr>
    </w:p>
    <w:p>
      <w:pPr>
        <w:spacing w:after="60" w:before="320"/>
      </w:pPr>
      <w:r>
        <w:rPr>
          <w:rFonts w:ascii="Arial" w:cs="Arial" w:eastAsia="Arial" w:hAnsi="Arial"/>
          <w:b/>
          <w:bCs/>
          <w:caps/>
          <w:color w:val="B8860B"/>
          <w:sz w:val="18"/>
          <w:szCs w:val="18"/>
        </w:rPr>
        <w:t xml:space="preserve">Branch 3 — The Mandate</w:t>
      </w:r>
    </w:p>
    <w:p>
      <w:pPr>
        <w:pStyle w:val="Heading2"/>
      </w:pPr>
      <w:r>
        <w:t xml:space="preserve">1.4 The Mandate</w:t>
      </w:r>
    </w:p>
    <w:p>
      <w:pPr>
        <w:spacing w:after="80" w:before="80"/>
      </w:pPr>
      <w:r>
        <w:rPr>
          <w:rFonts w:ascii="Georgia" w:cs="Georgia" w:eastAsia="Georgia" w:hAnsi="Georgia"/>
          <w:color w:val="1A1A1A"/>
          <w:sz w:val="22"/>
          <w:szCs w:val="22"/>
        </w:rPr>
        <w:t xml:space="preserve">The Mandate branch holds all material received, decreed, and established through apostolic function. Unlike the two libraries — which compile and interpret — the Mandate records what has been given and translates it into the work of the Kingdom.</w:t>
      </w:r>
    </w:p>
    <w:p>
      <w:pPr>
        <w:spacing w:after="120" w:before="0"/>
      </w:pPr>
    </w:p>
    <w:p>
      <w:pPr>
        <w:spacing w:after="80" w:before="80"/>
      </w:pPr>
      <w:r>
        <w:rPr>
          <w:rFonts w:ascii="Georgia" w:cs="Georgia" w:eastAsia="Georgia" w:hAnsi="Georgia"/>
          <w:color w:val="1A1A1A"/>
          <w:sz w:val="22"/>
          <w:szCs w:val="22"/>
        </w:rPr>
        <w:t xml:space="preserve">The Mandate flows outward: from divine reception, to written record, to strategic translation, to deployed platform and community.</w:t>
      </w:r>
    </w:p>
    <w:p>
      <w:pPr>
        <w:spacing w:after="120" w:before="0"/>
      </w:pPr>
    </w:p>
    <w:p>
      <w:pPr>
        <w:pStyle w:val="Heading3"/>
      </w:pPr>
      <w:r>
        <w:t xml:space="preserve">1.4.1 Mandate Sub-Components</w:t>
      </w:r>
    </w:p>
    <w:p>
      <w:pPr>
        <w:pStyle w:val="ListParagraph"/>
        <w:numPr>
          <w:ilvl w:val="0"/>
          <w:numId w:val="2"/>
        </w:numPr>
        <w:spacing w:after="60" w:before="60"/>
      </w:pPr>
      <w:r>
        <w:rPr>
          <w:rFonts w:ascii="Georgia" w:cs="Georgia" w:eastAsia="Georgia" w:hAnsi="Georgia"/>
          <w:b/>
          <w:bCs/>
          <w:color w:val="1A1A1A"/>
          <w:sz w:val="22"/>
          <w:szCs w:val="22"/>
        </w:rPr>
        <w:t xml:space="preserve">Foundational Mandate</w:t>
      </w:r>
      <w:r>
        <w:rPr>
          <w:rFonts w:ascii="Georgia" w:cs="Georgia" w:eastAsia="Georgia" w:hAnsi="Georgia"/>
          <w:color w:val="1A1A1A"/>
          <w:sz w:val="22"/>
          <w:szCs w:val="22"/>
        </w:rPr>
        <w:t xml:space="preserve"> — the core declaration given by the Lord; the originating word from which all else flows</w:t>
      </w:r>
    </w:p>
    <w:p>
      <w:pPr>
        <w:pStyle w:val="ListParagraph"/>
        <w:numPr>
          <w:ilvl w:val="0"/>
          <w:numId w:val="2"/>
        </w:numPr>
        <w:spacing w:after="60" w:before="60"/>
      </w:pPr>
      <w:r>
        <w:rPr>
          <w:rFonts w:ascii="Georgia" w:cs="Georgia" w:eastAsia="Georgia" w:hAnsi="Georgia"/>
          <w:b/>
          <w:bCs/>
          <w:color w:val="1A1A1A"/>
          <w:sz w:val="22"/>
          <w:szCs w:val="22"/>
        </w:rPr>
        <w:t xml:space="preserve">Strategic Directives</w:t>
      </w:r>
      <w:r>
        <w:rPr>
          <w:rFonts w:ascii="Georgia" w:cs="Georgia" w:eastAsia="Georgia" w:hAnsi="Georgia"/>
          <w:color w:val="1A1A1A"/>
          <w:sz w:val="22"/>
          <w:szCs w:val="22"/>
        </w:rPr>
        <w:t xml:space="preserve"> — objectives, instructions, and assignments given over time</w:t>
      </w:r>
    </w:p>
    <w:p>
      <w:pPr>
        <w:pStyle w:val="ListParagraph"/>
        <w:numPr>
          <w:ilvl w:val="0"/>
          <w:numId w:val="2"/>
        </w:numPr>
        <w:spacing w:after="60" w:before="60"/>
      </w:pPr>
      <w:r>
        <w:rPr>
          <w:rFonts w:ascii="Georgia" w:cs="Georgia" w:eastAsia="Georgia" w:hAnsi="Georgia"/>
          <w:b/>
          <w:bCs/>
          <w:color w:val="1A1A1A"/>
          <w:sz w:val="22"/>
          <w:szCs w:val="22"/>
        </w:rPr>
        <w:t xml:space="preserve">Governance Documents</w:t>
      </w:r>
      <w:r>
        <w:rPr>
          <w:rFonts w:ascii="Georgia" w:cs="Georgia" w:eastAsia="Georgia" w:hAnsi="Georgia"/>
          <w:color w:val="1A1A1A"/>
          <w:sz w:val="22"/>
          <w:szCs w:val="22"/>
        </w:rPr>
        <w:t xml:space="preserve"> — the translated outputs of the mandate — the KGS, the ICS platform, and all operational frameworks</w:t>
      </w:r>
    </w:p>
    <w:p>
      <w:pPr>
        <w:spacing w:after="240" w:before="0"/>
      </w:pPr>
    </w:p>
    <w:p>
      <w:r>
        <w:br w:type="page"/>
      </w:r>
    </w:p>
    <w:p>
      <w:pPr>
        <w:pStyle w:val="Heading1"/>
      </w:pPr>
      <w:r>
        <w:t xml:space="preserve">Part II — The Hierarchy and Relationship System</w:t>
      </w:r>
    </w:p>
    <w:p>
      <w:pPr>
        <w:pStyle w:val="Heading2"/>
      </w:pPr>
      <w:r>
        <w:t xml:space="preserve">2.1 Overview</w:t>
      </w:r>
    </w:p>
    <w:p>
      <w:pPr>
        <w:spacing w:after="80" w:before="80"/>
      </w:pPr>
      <w:r>
        <w:rPr>
          <w:rFonts w:ascii="Georgia" w:cs="Georgia" w:eastAsia="Georgia" w:hAnsi="Georgia"/>
          <w:color w:val="1A1A1A"/>
          <w:sz w:val="22"/>
          <w:szCs w:val="22"/>
        </w:rPr>
        <w:t xml:space="preserve">The Hierarchy and Relationship System (HRS)® is the interpretive methodology that underlies all handbook work. It is the methodological backbone governing how divine communication is received, processed, organised, and understood.</w:t>
      </w:r>
    </w:p>
    <w:p>
      <w:pPr>
        <w:spacing w:after="120" w:before="0"/>
      </w:pPr>
    </w:p>
    <w:p>
      <w:pPr>
        <w:spacing w:after="80" w:before="80"/>
      </w:pPr>
      <w:r>
        <w:rPr>
          <w:rFonts w:ascii="Georgia" w:cs="Georgia" w:eastAsia="Georgia" w:hAnsi="Georgia"/>
          <w:color w:val="1A1A1A"/>
          <w:sz w:val="22"/>
          <w:szCs w:val="22"/>
        </w:rPr>
        <w:t xml:space="preserve">HRS is versatile: it can be applied to biblical text, biblical symbolism, and dream symbolism. It is the tool that produces Properties for the Reference Library, and the framework through which the Keys Library is built and used.</w:t>
      </w:r>
    </w:p>
    <w:p>
      <w:pPr>
        <w:spacing w:after="120" w:before="0"/>
      </w:pPr>
    </w:p>
    <w:p>
      <w:pPr>
        <w:pStyle w:val="Heading3"/>
      </w:pPr>
      <w:r>
        <w:t xml:space="preserve">2.2 The Four Steps of HRS</w:t>
      </w:r>
    </w:p>
    <w:p>
      <w:pPr>
        <w:pStyle w:val="ListParagraph"/>
        <w:numPr>
          <w:ilvl w:val="0"/>
          <w:numId w:val="2"/>
        </w:numPr>
        <w:spacing w:after="60" w:before="60"/>
      </w:pPr>
      <w:r>
        <w:rPr>
          <w:rFonts w:ascii="Georgia" w:cs="Georgia" w:eastAsia="Georgia" w:hAnsi="Georgia"/>
          <w:b/>
          <w:bCs/>
          <w:color w:val="1A1A1A"/>
          <w:sz w:val="22"/>
          <w:szCs w:val="22"/>
        </w:rPr>
        <w:t xml:space="preserve">Step 1 — Determining the Ruling Influence</w:t>
      </w:r>
      <w:r>
        <w:rPr>
          <w:rFonts w:ascii="Georgia" w:cs="Georgia" w:eastAsia="Georgia" w:hAnsi="Georgia"/>
          <w:color w:val="1A1A1A"/>
          <w:sz w:val="22"/>
          <w:szCs w:val="22"/>
        </w:rPr>
        <w:t xml:space="preserve"> — identify which of the two governing laws is active in the narration: Selflessness (Kingdom of Light) or Self-centredness (Kingdom of Darkness)</w:t>
      </w:r>
    </w:p>
    <w:p>
      <w:pPr>
        <w:pStyle w:val="ListParagraph"/>
        <w:numPr>
          <w:ilvl w:val="0"/>
          <w:numId w:val="2"/>
        </w:numPr>
        <w:spacing w:after="60" w:before="60"/>
      </w:pPr>
      <w:r>
        <w:rPr>
          <w:rFonts w:ascii="Georgia" w:cs="Georgia" w:eastAsia="Georgia" w:hAnsi="Georgia"/>
          <w:b/>
          <w:bCs/>
          <w:color w:val="1A1A1A"/>
          <w:sz w:val="22"/>
          <w:szCs w:val="22"/>
        </w:rPr>
        <w:t xml:space="preserve">Step 2 — Determining Hierarchy and Relationship</w:t>
      </w:r>
      <w:r>
        <w:rPr>
          <w:rFonts w:ascii="Georgia" w:cs="Georgia" w:eastAsia="Georgia" w:hAnsi="Georgia"/>
          <w:color w:val="1A1A1A"/>
          <w:sz w:val="22"/>
          <w:szCs w:val="22"/>
        </w:rPr>
        <w:t xml:space="preserve"> — sort the data as subjects and objects, establishing positional and relational interaction</w:t>
      </w:r>
    </w:p>
    <w:p>
      <w:pPr>
        <w:pStyle w:val="ListParagraph"/>
        <w:numPr>
          <w:ilvl w:val="0"/>
          <w:numId w:val="2"/>
        </w:numPr>
        <w:spacing w:after="60" w:before="60"/>
      </w:pPr>
      <w:r>
        <w:rPr>
          <w:rFonts w:ascii="Georgia" w:cs="Georgia" w:eastAsia="Georgia" w:hAnsi="Georgia"/>
          <w:b/>
          <w:bCs/>
          <w:color w:val="1A1A1A"/>
          <w:sz w:val="22"/>
          <w:szCs w:val="22"/>
        </w:rPr>
        <w:t xml:space="preserve">Step 3 — Compilation of Databases</w:t>
      </w:r>
      <w:r>
        <w:rPr>
          <w:rFonts w:ascii="Georgia" w:cs="Georgia" w:eastAsia="Georgia" w:hAnsi="Georgia"/>
          <w:color w:val="1A1A1A"/>
          <w:sz w:val="22"/>
          <w:szCs w:val="22"/>
        </w:rPr>
        <w:t xml:space="preserve"> — organise all material according to the General Signification of Symbols, sourced from Scripture</w:t>
      </w:r>
    </w:p>
    <w:p>
      <w:pPr>
        <w:pStyle w:val="ListParagraph"/>
        <w:numPr>
          <w:ilvl w:val="0"/>
          <w:numId w:val="2"/>
        </w:numPr>
        <w:spacing w:after="60" w:before="60"/>
      </w:pPr>
      <w:r>
        <w:rPr>
          <w:rFonts w:ascii="Georgia" w:cs="Georgia" w:eastAsia="Georgia" w:hAnsi="Georgia"/>
          <w:b/>
          <w:bCs/>
          <w:color w:val="1A1A1A"/>
          <w:sz w:val="22"/>
          <w:szCs w:val="22"/>
        </w:rPr>
        <w:t xml:space="preserve">Step 4 — Categorisation</w:t>
      </w:r>
      <w:r>
        <w:rPr>
          <w:rFonts w:ascii="Georgia" w:cs="Georgia" w:eastAsia="Georgia" w:hAnsi="Georgia"/>
          <w:color w:val="1A1A1A"/>
          <w:sz w:val="22"/>
          <w:szCs w:val="22"/>
        </w:rPr>
        <w:t xml:space="preserve"> — classify all compiled material under the four Property types: Classes, Principles, Concepts, Divine Patterns</w:t>
      </w:r>
    </w:p>
    <w:p>
      <w:pPr>
        <w:spacing w:after="240" w:before="0"/>
      </w:pPr>
    </w:p>
    <w:p>
      <w:pPr>
        <w:pStyle w:val="Heading1"/>
      </w:pPr>
      <w:r>
        <w:t xml:space="preserve">Part III — Journals</w:t>
      </w:r>
    </w:p>
    <w:p>
      <w:pPr>
        <w:spacing w:after="80" w:before="80"/>
      </w:pPr>
      <w:r>
        <w:rPr>
          <w:rFonts w:ascii="Georgia" w:cs="Georgia" w:eastAsia="Georgia" w:hAnsi="Georgia"/>
          <w:color w:val="1A1A1A"/>
          <w:sz w:val="22"/>
          <w:szCs w:val="22"/>
        </w:rPr>
        <w:t xml:space="preserve">Journals are the input instruments of the handbook. They are the primary data-gathering tools. Each journal has a specific function and feeds into specific output records or library branches.</w:t>
      </w:r>
    </w:p>
    <w:p>
      <w:pPr>
        <w:spacing w:after="120" w:before="0"/>
      </w:pPr>
    </w:p>
    <w:p>
      <w:pPr>
        <w:pStyle w:val="ListParagraph"/>
        <w:numPr>
          <w:ilvl w:val="0"/>
          <w:numId w:val="2"/>
        </w:numPr>
        <w:spacing w:after="60" w:before="60"/>
      </w:pPr>
      <w:r>
        <w:rPr>
          <w:rFonts w:ascii="Georgia" w:cs="Georgia" w:eastAsia="Georgia" w:hAnsi="Georgia"/>
          <w:b/>
          <w:bCs/>
          <w:color w:val="1A1A1A"/>
          <w:sz w:val="22"/>
          <w:szCs w:val="22"/>
        </w:rPr>
        <w:t xml:space="preserve">General Journal</w:t>
      </w:r>
      <w:r>
        <w:rPr>
          <w:rFonts w:ascii="Georgia" w:cs="Georgia" w:eastAsia="Georgia" w:hAnsi="Georgia"/>
          <w:color w:val="1A1A1A"/>
          <w:sz w:val="22"/>
          <w:szCs w:val="22"/>
        </w:rPr>
        <w:t xml:space="preserve"> — records thoughts, activities, and daily reflections. Feeds the Daily Analysis Record (DAR) and general reference records.</w:t>
      </w:r>
    </w:p>
    <w:p>
      <w:pPr>
        <w:pStyle w:val="ListParagraph"/>
        <w:numPr>
          <w:ilvl w:val="0"/>
          <w:numId w:val="2"/>
        </w:numPr>
        <w:spacing w:after="60" w:before="60"/>
      </w:pPr>
      <w:r>
        <w:rPr>
          <w:rFonts w:ascii="Georgia" w:cs="Georgia" w:eastAsia="Georgia" w:hAnsi="Georgia"/>
          <w:b/>
          <w:bCs/>
          <w:color w:val="1A1A1A"/>
          <w:sz w:val="22"/>
          <w:szCs w:val="22"/>
        </w:rPr>
        <w:t xml:space="preserve">Prayer Journal</w:t>
      </w:r>
      <w:r>
        <w:rPr>
          <w:rFonts w:ascii="Georgia" w:cs="Georgia" w:eastAsia="Georgia" w:hAnsi="Georgia"/>
          <w:color w:val="1A1A1A"/>
          <w:sz w:val="22"/>
          <w:szCs w:val="22"/>
        </w:rPr>
        <w:t xml:space="preserve"> — records and tracks prayer campaigns from entry to answered. Links to the Activity App and collaborates with the Spirit Journal.</w:t>
      </w:r>
    </w:p>
    <w:p>
      <w:pPr>
        <w:pStyle w:val="ListParagraph"/>
        <w:numPr>
          <w:ilvl w:val="0"/>
          <w:numId w:val="2"/>
        </w:numPr>
        <w:spacing w:after="60" w:before="60"/>
      </w:pPr>
      <w:r>
        <w:rPr>
          <w:rFonts w:ascii="Georgia" w:cs="Georgia" w:eastAsia="Georgia" w:hAnsi="Georgia"/>
          <w:b/>
          <w:bCs/>
          <w:color w:val="1A1A1A"/>
          <w:sz w:val="22"/>
          <w:szCs w:val="22"/>
        </w:rPr>
        <w:t xml:space="preserve">Spirit Journal</w:t>
      </w:r>
      <w:r>
        <w:rPr>
          <w:rFonts w:ascii="Georgia" w:cs="Georgia" w:eastAsia="Georgia" w:hAnsi="Georgia"/>
          <w:color w:val="1A1A1A"/>
          <w:sz w:val="22"/>
          <w:szCs w:val="22"/>
        </w:rPr>
        <w:t xml:space="preserve"> — records words and inspirations received from the Lord. Primary feeder of the Keys Library and the Mandate branch.</w:t>
      </w:r>
    </w:p>
    <w:p>
      <w:pPr>
        <w:pStyle w:val="ListParagraph"/>
        <w:numPr>
          <w:ilvl w:val="0"/>
          <w:numId w:val="2"/>
        </w:numPr>
        <w:spacing w:after="60" w:before="60"/>
      </w:pPr>
      <w:r>
        <w:rPr>
          <w:rFonts w:ascii="Georgia" w:cs="Georgia" w:eastAsia="Georgia" w:hAnsi="Georgia"/>
          <w:b/>
          <w:bCs/>
          <w:color w:val="1A1A1A"/>
          <w:sz w:val="22"/>
          <w:szCs w:val="22"/>
        </w:rPr>
        <w:t xml:space="preserve">Dream Journal</w:t>
      </w:r>
      <w:r>
        <w:rPr>
          <w:rFonts w:ascii="Georgia" w:cs="Georgia" w:eastAsia="Georgia" w:hAnsi="Georgia"/>
          <w:color w:val="1A1A1A"/>
          <w:sz w:val="22"/>
          <w:szCs w:val="22"/>
        </w:rPr>
        <w:t xml:space="preserve"> — records dreams as received, as vividly as possible. Primary feeder of the Keys Library.</w:t>
      </w:r>
    </w:p>
    <w:p>
      <w:pPr>
        <w:spacing w:after="240" w:before="0"/>
      </w:pPr>
    </w:p>
    <w:p>
      <w:r>
        <w:br w:type="page"/>
      </w:r>
    </w:p>
    <w:p>
      <w:pPr>
        <w:pStyle w:val="Heading1"/>
      </w:pPr>
      <w:r>
        <w:t xml:space="preserve">Part IV — Record Types</w:t>
      </w:r>
    </w:p>
    <w:p>
      <w:pPr>
        <w:spacing w:after="80" w:before="80"/>
      </w:pPr>
      <w:r>
        <w:rPr>
          <w:rFonts w:ascii="Georgia" w:cs="Georgia" w:eastAsia="Georgia" w:hAnsi="Georgia"/>
          <w:color w:val="1A1A1A"/>
          <w:sz w:val="22"/>
          <w:szCs w:val="22"/>
        </w:rPr>
        <w:t xml:space="preserve">Records are all information entries in the handbook. They fall into two categories: Input Records (user-generated source material) and Output / Reference Records (compiled or derived from input data). All entries, regardless of type, are known as Records.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80"/>
        <w:gridCol w:w="2680"/>
      </w:tblGrid>
      <w:tr>
        <w:trPr>
          <w:tblHeader/>
        </w:trPr>
        <w:tc>
          <w:tcPr>
            <w:tcW w:type="dxa" w:w="1800"/>
            <w:tcBorders>
              <w:top w:val="single" w:color="B8860B" w:sz="1"/>
              <w:left w:val="single" w:color="B8860B" w:sz="1"/>
              <w:bottom w:val="single" w:color="B8860B" w:sz="1"/>
              <w:right w:val="single" w:color="B8860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Category</w:t>
            </w:r>
          </w:p>
        </w:tc>
        <w:tc>
          <w:tcPr>
            <w:tcW w:type="dxa" w:w="2000"/>
            <w:tcBorders>
              <w:top w:val="single" w:color="B8860B" w:sz="1"/>
              <w:left w:val="single" w:color="B8860B" w:sz="1"/>
              <w:bottom w:val="single" w:color="B8860B" w:sz="1"/>
              <w:right w:val="single" w:color="B8860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Record Type</w:t>
            </w:r>
          </w:p>
        </w:tc>
        <w:tc>
          <w:tcPr>
            <w:tcW w:type="dxa" w:w="2880"/>
            <w:tcBorders>
              <w:top w:val="single" w:color="B8860B" w:sz="1"/>
              <w:left w:val="single" w:color="B8860B" w:sz="1"/>
              <w:bottom w:val="single" w:color="B8860B" w:sz="1"/>
              <w:right w:val="single" w:color="B8860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Purpose</w:t>
            </w:r>
          </w:p>
        </w:tc>
        <w:tc>
          <w:tcPr>
            <w:tcW w:type="dxa" w:w="2680"/>
            <w:tcBorders>
              <w:top w:val="single" w:color="B8860B" w:sz="1"/>
              <w:left w:val="single" w:color="B8860B" w:sz="1"/>
              <w:bottom w:val="single" w:color="B8860B" w:sz="1"/>
              <w:right w:val="single" w:color="B8860B" w:sz="1"/>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Feeds Into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bCs/>
                <w:color w:val="1A1A1A"/>
                <w:sz w:val="20"/>
                <w:szCs w:val="20"/>
              </w:rPr>
              <w:t xml:space="preserve">Input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bCs/>
                <w:color w:val="1A1A1A"/>
                <w:sz w:val="20"/>
                <w:szCs w:val="20"/>
              </w:rPr>
              <w:t xml:space="preserve">Note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General or uncategorised entry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Any record type</w:t>
            </w:r>
          </w:p>
        </w:tc>
      </w:tr>
      <w:tr>
        <w:tc>
          <w:tcPr>
            <w:tcW w:type="dxa" w:w="1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b/>
                <w:bCs/>
                <w:color w:val="1A1A1A"/>
                <w:sz w:val="20"/>
                <w:szCs w:val="20"/>
              </w:rPr>
              <w:t xml:space="preserve">Input</w:t>
            </w:r>
          </w:p>
        </w:tc>
        <w:tc>
          <w:tcPr>
            <w:tcW w:type="dxa" w:w="2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b/>
                <w:bCs/>
                <w:color w:val="1A1A1A"/>
                <w:sz w:val="20"/>
                <w:szCs w:val="20"/>
              </w:rPr>
              <w:t xml:space="preserve">General Journal</w:t>
            </w:r>
          </w:p>
        </w:tc>
        <w:tc>
          <w:tcPr>
            <w:tcW w:type="dxa" w:w="28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Thoughts, activities, reflections</w:t>
            </w:r>
          </w:p>
        </w:tc>
        <w:tc>
          <w:tcPr>
            <w:tcW w:type="dxa" w:w="26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Reference records, DAR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bCs/>
                <w:color w:val="1A1A1A"/>
                <w:sz w:val="20"/>
                <w:szCs w:val="20"/>
              </w:rPr>
              <w:t xml:space="preserve">Input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bCs/>
                <w:color w:val="1A1A1A"/>
                <w:sz w:val="20"/>
                <w:szCs w:val="20"/>
              </w:rPr>
              <w:t xml:space="preserve">Prayer Journal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Prayer campaigns; tracks from entry to answered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Activity App, Spirit Journal</w:t>
            </w:r>
          </w:p>
        </w:tc>
      </w:tr>
      <w:tr>
        <w:tc>
          <w:tcPr>
            <w:tcW w:type="dxa" w:w="1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b/>
                <w:bCs/>
                <w:color w:val="1A1A1A"/>
                <w:sz w:val="20"/>
                <w:szCs w:val="20"/>
              </w:rPr>
              <w:t xml:space="preserve">Input</w:t>
            </w:r>
          </w:p>
        </w:tc>
        <w:tc>
          <w:tcPr>
            <w:tcW w:type="dxa" w:w="2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b/>
                <w:bCs/>
                <w:color w:val="1A1A1A"/>
                <w:sz w:val="20"/>
                <w:szCs w:val="20"/>
              </w:rPr>
              <w:t xml:space="preserve">Spirit Journal</w:t>
            </w:r>
          </w:p>
        </w:tc>
        <w:tc>
          <w:tcPr>
            <w:tcW w:type="dxa" w:w="28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Words and inspirations received from the Lord</w:t>
            </w:r>
          </w:p>
        </w:tc>
        <w:tc>
          <w:tcPr>
            <w:tcW w:type="dxa" w:w="26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Keys Library, Mandate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bCs/>
                <w:color w:val="1A1A1A"/>
                <w:sz w:val="20"/>
                <w:szCs w:val="20"/>
              </w:rPr>
              <w:t xml:space="preserve">Input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bCs/>
                <w:color w:val="1A1A1A"/>
                <w:sz w:val="20"/>
                <w:szCs w:val="20"/>
              </w:rPr>
              <w:t xml:space="preserve">Dream Journal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Dream records, as received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Keys Library</w:t>
            </w:r>
          </w:p>
        </w:tc>
      </w:tr>
      <w:tr>
        <w:tc>
          <w:tcPr>
            <w:tcW w:type="dxa" w:w="1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Output / Reference</w:t>
            </w:r>
          </w:p>
        </w:tc>
        <w:tc>
          <w:tcPr>
            <w:tcW w:type="dxa" w:w="2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b/>
                <w:bCs/>
                <w:color w:val="1A1A1A"/>
                <w:sz w:val="20"/>
                <w:szCs w:val="20"/>
              </w:rPr>
              <w:t xml:space="preserve">Library Record</w:t>
            </w:r>
          </w:p>
        </w:tc>
        <w:tc>
          <w:tcPr>
            <w:tcW w:type="dxa" w:w="28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Entry of a Property into the Reference Library</w:t>
            </w:r>
          </w:p>
        </w:tc>
        <w:tc>
          <w:tcPr>
            <w:tcW w:type="dxa" w:w="26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Reference Library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Output / Reference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bCs/>
                <w:color w:val="1A1A1A"/>
                <w:sz w:val="20"/>
                <w:szCs w:val="20"/>
              </w:rPr>
              <w:t xml:space="preserve">Key Record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Personal symbol-to-meaning mapping</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Keys Library</w:t>
            </w:r>
          </w:p>
        </w:tc>
      </w:tr>
      <w:tr>
        <w:tc>
          <w:tcPr>
            <w:tcW w:type="dxa" w:w="1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Output / Reference</w:t>
            </w:r>
          </w:p>
        </w:tc>
        <w:tc>
          <w:tcPr>
            <w:tcW w:type="dxa" w:w="2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b/>
                <w:bCs/>
                <w:color w:val="1A1A1A"/>
                <w:sz w:val="20"/>
                <w:szCs w:val="20"/>
              </w:rPr>
              <w:t xml:space="preserve">Bible Record</w:t>
            </w:r>
          </w:p>
        </w:tc>
        <w:tc>
          <w:tcPr>
            <w:tcW w:type="dxa" w:w="28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Verse or passage reference; primary interpretive source</w:t>
            </w:r>
          </w:p>
        </w:tc>
        <w:tc>
          <w:tcPr>
            <w:tcW w:type="dxa" w:w="26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All record types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Output / Reference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bCs/>
                <w:color w:val="1A1A1A"/>
                <w:sz w:val="20"/>
                <w:szCs w:val="20"/>
              </w:rPr>
              <w:t xml:space="preserve">Statement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Foundational or operational declaration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Mandate Branch</w:t>
            </w:r>
          </w:p>
        </w:tc>
      </w:tr>
      <w:tr>
        <w:tc>
          <w:tcPr>
            <w:tcW w:type="dxa" w:w="1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Output / Reference</w:t>
            </w:r>
          </w:p>
        </w:tc>
        <w:tc>
          <w:tcPr>
            <w:tcW w:type="dxa" w:w="2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b/>
                <w:bCs/>
                <w:color w:val="1A1A1A"/>
                <w:sz w:val="20"/>
                <w:szCs w:val="20"/>
              </w:rPr>
              <w:t xml:space="preserve">Article</w:t>
            </w:r>
          </w:p>
        </w:tc>
        <w:tc>
          <w:tcPr>
            <w:tcW w:type="dxa" w:w="28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General written entry or essay</w:t>
            </w:r>
          </w:p>
        </w:tc>
        <w:tc>
          <w:tcPr>
            <w:tcW w:type="dxa" w:w="268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Mandate / general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Output / Reference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bCs/>
                <w:color w:val="1A1A1A"/>
                <w:sz w:val="20"/>
                <w:szCs w:val="20"/>
              </w:rPr>
              <w:t xml:space="preserve">Mandate Record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Received directive, decree, or prophetic word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Mandate Branch</w:t>
            </w:r>
          </w:p>
        </w:tc>
      </w:tr>
    </w:tbl>
    <w:p>
      <w:pPr>
        <w:spacing w:after="240" w:before="0"/>
      </w:pPr>
    </w:p>
    <w:p>
      <w:pPr>
        <w:pStyle w:val="Heading1"/>
      </w:pPr>
      <w:r>
        <w:t xml:space="preserve">Part V — Handbook as Governance App</w:t>
      </w:r>
    </w:p>
    <w:p>
      <w:pPr>
        <w:pStyle w:val="Heading2"/>
      </w:pPr>
      <w:r>
        <w:t xml:space="preserve">5.1 Purpose</w:t>
      </w:r>
    </w:p>
    <w:p>
      <w:pPr>
        <w:spacing w:after="80" w:before="80"/>
      </w:pPr>
      <w:r>
        <w:rPr>
          <w:rFonts w:ascii="Georgia" w:cs="Georgia" w:eastAsia="Georgia" w:hAnsi="Georgia"/>
          <w:color w:val="1A1A1A"/>
          <w:sz w:val="22"/>
          <w:szCs w:val="22"/>
        </w:rPr>
        <w:t xml:space="preserve">The Governance App within ICS is the digital expression of the handbook. It provides the founding apostle and, progressively, Level 3–5 operators with the tools to build, maintain, and draw from the Apostolic Properties.</w:t>
      </w:r>
    </w:p>
    <w:p>
      <w:pPr>
        <w:spacing w:after="120" w:before="0"/>
      </w:pPr>
    </w:p>
    <w:p>
      <w:pPr>
        <w:pStyle w:val="Heading2"/>
      </w:pPr>
      <w:r>
        <w:t xml:space="preserve">5.2 Dashboard Levels</w:t>
      </w:r>
    </w:p>
    <w:p>
      <w:pPr>
        <w:pStyle w:val="ListParagraph"/>
        <w:numPr>
          <w:ilvl w:val="0"/>
          <w:numId w:val="2"/>
        </w:numPr>
        <w:spacing w:after="60" w:before="60"/>
      </w:pPr>
      <w:r>
        <w:rPr>
          <w:rFonts w:ascii="Georgia" w:cs="Georgia" w:eastAsia="Georgia" w:hAnsi="Georgia"/>
          <w:b/>
          <w:bCs/>
          <w:color w:val="1A1A1A"/>
          <w:sz w:val="22"/>
          <w:szCs w:val="22"/>
        </w:rPr>
        <w:t xml:space="preserve">General Dashboard</w:t>
      </w:r>
      <w:r>
        <w:rPr>
          <w:rFonts w:ascii="Georgia" w:cs="Georgia" w:eastAsia="Georgia" w:hAnsi="Georgia"/>
          <w:color w:val="1A1A1A"/>
          <w:sz w:val="22"/>
          <w:szCs w:val="22"/>
        </w:rPr>
        <w:t xml:space="preserve"> — registered users; basic features</w:t>
      </w:r>
    </w:p>
    <w:p>
      <w:pPr>
        <w:pStyle w:val="ListParagraph"/>
        <w:numPr>
          <w:ilvl w:val="0"/>
          <w:numId w:val="2"/>
        </w:numPr>
        <w:spacing w:after="60" w:before="60"/>
      </w:pPr>
      <w:r>
        <w:rPr>
          <w:rFonts w:ascii="Georgia" w:cs="Georgia" w:eastAsia="Georgia" w:hAnsi="Georgia"/>
          <w:b/>
          <w:bCs/>
          <w:color w:val="1A1A1A"/>
          <w:sz w:val="22"/>
          <w:szCs w:val="22"/>
        </w:rPr>
        <w:t xml:space="preserve">Members Dashboard</w:t>
      </w:r>
      <w:r>
        <w:rPr>
          <w:rFonts w:ascii="Georgia" w:cs="Georgia" w:eastAsia="Georgia" w:hAnsi="Georgia"/>
          <w:color w:val="1A1A1A"/>
          <w:sz w:val="22"/>
          <w:szCs w:val="22"/>
        </w:rPr>
        <w:t xml:space="preserve"> — Level 1 users; designated member features</w:t>
      </w:r>
    </w:p>
    <w:p>
      <w:pPr>
        <w:pStyle w:val="ListParagraph"/>
        <w:numPr>
          <w:ilvl w:val="0"/>
          <w:numId w:val="2"/>
        </w:numPr>
        <w:spacing w:after="60" w:before="60"/>
      </w:pPr>
      <w:r>
        <w:rPr>
          <w:rFonts w:ascii="Georgia" w:cs="Georgia" w:eastAsia="Georgia" w:hAnsi="Georgia"/>
          <w:b/>
          <w:bCs/>
          <w:color w:val="1A1A1A"/>
          <w:sz w:val="22"/>
          <w:szCs w:val="22"/>
        </w:rPr>
        <w:t xml:space="preserve">Operators Dashboard</w:t>
      </w:r>
      <w:r>
        <w:rPr>
          <w:rFonts w:ascii="Georgia" w:cs="Georgia" w:eastAsia="Georgia" w:hAnsi="Georgia"/>
          <w:color w:val="1A1A1A"/>
          <w:sz w:val="22"/>
          <w:szCs w:val="22"/>
        </w:rPr>
        <w:t xml:space="preserve"> — Level 2–5 users; full toolkit access</w:t>
      </w:r>
    </w:p>
    <w:p>
      <w:pPr>
        <w:pStyle w:val="ListParagraph"/>
        <w:numPr>
          <w:ilvl w:val="0"/>
          <w:numId w:val="2"/>
        </w:numPr>
        <w:spacing w:after="60" w:before="60"/>
      </w:pPr>
      <w:r>
        <w:rPr>
          <w:rFonts w:ascii="Georgia" w:cs="Georgia" w:eastAsia="Georgia" w:hAnsi="Georgia"/>
          <w:b/>
          <w:bCs/>
          <w:color w:val="1A1A1A"/>
          <w:sz w:val="22"/>
          <w:szCs w:val="22"/>
        </w:rPr>
        <w:t xml:space="preserve">Handbook Dashboard</w:t>
      </w:r>
      <w:r>
        <w:rPr>
          <w:rFonts w:ascii="Georgia" w:cs="Georgia" w:eastAsia="Georgia" w:hAnsi="Georgia"/>
          <w:color w:val="1A1A1A"/>
          <w:sz w:val="22"/>
          <w:szCs w:val="22"/>
        </w:rPr>
        <w:t xml:space="preserve"> — Level 5 governance operators; full Apostolic Properties access</w:t>
      </w:r>
    </w:p>
    <w:p>
      <w:pPr>
        <w:spacing w:after="160" w:before="0"/>
      </w:pPr>
    </w:p>
    <w:p>
      <w:pPr>
        <w:pStyle w:val="Heading2"/>
      </w:pPr>
      <w:r>
        <w:t xml:space="preserve">5.3 Training Progression</w:t>
      </w:r>
    </w:p>
    <w:p>
      <w:pPr>
        <w:spacing w:after="80" w:before="80"/>
      </w:pPr>
      <w:r>
        <w:rPr>
          <w:rFonts w:ascii="Georgia" w:cs="Georgia" w:eastAsia="Georgia" w:hAnsi="Georgia"/>
          <w:color w:val="1A1A1A"/>
          <w:sz w:val="22"/>
          <w:szCs w:val="22"/>
        </w:rPr>
        <w:t xml:space="preserve">The handbook is the body of work through which Level 3, 4, and 5 operators are trained in mandate creation and systems creation. By Level 5, operators are equipped to evaluate whether they hold to this handbook or, in time, develop their own — having mastered the methodology that produced it.</w:t>
      </w:r>
    </w:p>
    <w:p>
      <w:pPr>
        <w:spacing w:after="240" w:before="0"/>
      </w:pPr>
    </w:p>
    <w:p>
      <w:pPr>
        <w:pBdr>
          <w:top w:val="single" w:color="C8A84B" w:sz="4" w:space="8"/>
          <w:bottom w:val="single" w:color="C8A84B" w:sz="4" w:space="8"/>
        </w:pBdr>
        <w:spacing w:after="480" w:before="480"/>
        <w:jc w:val="center"/>
      </w:pPr>
      <w:r>
        <w:rPr>
          <w:rFonts w:ascii="Georgia" w:cs="Georgia" w:eastAsia="Georgia" w:hAnsi="Georgia"/>
          <w:i/>
          <w:iCs/>
          <w:color w:val="1B2A4A"/>
          <w:sz w:val="22"/>
          <w:szCs w:val="22"/>
        </w:rPr>
        <w:t xml:space="preserve">The whole entire work is the handbook. What goes into the handbook is translated out into everything.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B8860B"/>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1B2A4A"/>
      <w:sz w:val="28"/>
      <w:szCs w:val="28"/>
    </w:rPr>
  </w:style>
  <w:style w:type="paragraph" w:styleId="Heading3">
    <w:name w:val="Heading 3"/>
    <w:basedOn w:val="Normal"/>
    <w:next w:val="Normal"/>
    <w:qFormat/>
    <w:pPr>
      <w:spacing w:after="80" w:before="240"/>
      <w:outlineLvl w:val="2"/>
    </w:pPr>
    <w:rPr>
      <w:rFonts w:ascii="Arial" w:cs="Arial" w:eastAsia="Arial" w:hAnsi="Arial"/>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2026-04-10T12:38:32.673Z</dcterms:created>
  <dcterms:modified xsi:type="dcterms:W3CDTF">2026-04-10T12:38:32.674Z</dcterms:modified>
</cp:coreProperties>
</file>

<file path=docProps/custom.xml><?xml version="1.0" encoding="utf-8"?>
<Properties xmlns="http://schemas.openxmlformats.org/officeDocument/2006/custom-properties" xmlns:vt="http://schemas.openxmlformats.org/officeDocument/2006/docPropsVTypes"/>
</file>