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Calibri" w:hAnsi="Calibri"/>
          <w:b/>
          <w:i w:val="0"/>
          <w:color w:val="247D78"/>
          <w:sz w:val="18"/>
        </w:rPr>
        <w:t>GEOSPATIAL RISK SCREENING  —  RIBBLE CATCHMENT, LANCASHIRE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38"/>
        </w:rPr>
        <w:t>Five Candidate Natural Flood Management Sites: An Investment-Screening Pipeline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21"/>
        </w:rPr>
        <w:t>A reproducible, data-led method for surfacing natural flood management opportunities that public records don't yet show as delivered — built for flood-risk, insurance, and nature-finance audiences evaluating where to focus due diligence, not where to build.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DECEA"/>
            <w:tcW w:w="93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71C1C"/>
                <w:sz w:val="17"/>
              </w:rPr>
              <w:t>READ THIS FIRST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Every site in this briefing is a SCREENING AREA identified from public data - not a proposed construction boundary, not an engineering design, and not investment-grade due diligence. It is a prioritisation tool for where to look next.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E8EEF5"/>
            <w:tcW w:w="1872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6"/>
              </w:rPr>
              <w:t>1,404 km²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Catchment screened</w:t>
            </w:r>
          </w:p>
        </w:tc>
        <w:tc>
          <w:tcPr>
            <w:tcW w:type="dxa" w:w="2016"/>
            <w:shd w:fill="E8EEF5"/>
            <w:tcW w:w="1872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6"/>
              </w:rPr>
              <w:t>35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Candidates identified</w:t>
            </w:r>
          </w:p>
        </w:tc>
        <w:tc>
          <w:tcPr>
            <w:tcW w:type="dxa" w:w="2016"/>
            <w:shd w:fill="E8EEF5"/>
            <w:tcW w:w="1872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6"/>
              </w:rPr>
              <w:t>9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Strong-band candidates</w:t>
            </w:r>
          </w:p>
        </w:tc>
        <w:tc>
          <w:tcPr>
            <w:tcW w:type="dxa" w:w="2016"/>
            <w:shd w:fill="E8EEF5"/>
            <w:tcW w:w="1872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6"/>
              </w:rPr>
              <w:t>282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Recorded historic floods</w:t>
            </w:r>
          </w:p>
        </w:tc>
        <w:tc>
          <w:tcPr>
            <w:tcW w:type="dxa" w:w="2016"/>
            <w:shd w:fill="E8EEF5"/>
            <w:tcW w:w="1872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6"/>
              </w:rPr>
              <w:t>75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Settlements in catchment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The opportunity</w:t>
      </w:r>
    </w:p>
    <w:p>
      <w:r>
        <w:rPr>
          <w:rFonts w:ascii="Calibri" w:hAnsi="Calibri"/>
          <w:b w:val="0"/>
          <w:i w:val="0"/>
          <w:color w:val="243142"/>
          <w:sz w:val="19"/>
        </w:rPr>
        <w:t>Natural flood management (NFM) - floodplain reconnection, wet woodland, leaky barriers, upland restoration - is increasingly relevant to flood-risk pricing, resilience planning, and nature-based finance, but identifying credible sites is slow, manual work. This project screens one catchment end-to-end against EA, Natural England, Historic England, and OS datasets, cross-checks modelled opportunity against recorded delivery, and screens out statutory protected-site constraints before a shortlist is even produced.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Why this matters, by audience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Flood risk: 22 of 35 candidates carry an explicit constraint flag (settlement or protected-site overlap) - a starting risk register, not a finished 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Insurance / reinsurance: candidates are cross-referenced against 282 recorded historic flood events - a ground-truthed exposure signal, not a purely modelled 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Nature finance: every candidate is scored on habitat-network overlap alongside flood potential, so dual flood/biodiversity value is visible from the outset.</w:t>
      </w:r>
    </w:p>
    <w:p>
      <w:pPr>
        <w:pageBreakBefore/>
        <w:spacing w:before="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The five candidates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0"/>
        <w:gridCol w:w="1600"/>
        <w:gridCol w:w="900"/>
        <w:gridCol w:w="1100"/>
        <w:gridCol w:w="5060"/>
      </w:tblGrid>
      <w:tr>
        <w:tc>
          <w:tcPr>
            <w:tcW w:type="dxa" w:w="2016"/>
            <w:shd w:fill="17324D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Site</w:t>
            </w:r>
          </w:p>
        </w:tc>
        <w:tc>
          <w:tcPr>
            <w:tcW w:type="dxa" w:w="2016"/>
            <w:shd w:fill="17324D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Nearest place</w:t>
            </w:r>
          </w:p>
        </w:tc>
        <w:tc>
          <w:tcPr>
            <w:tcW w:type="dxa" w:w="2016"/>
            <w:shd w:fill="17324D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2016"/>
            <w:shd w:fill="17324D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Band</w:t>
            </w:r>
          </w:p>
        </w:tc>
        <w:tc>
          <w:tcPr>
            <w:tcW w:type="dxa" w:w="2016"/>
            <w:shd w:fill="17324D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 for due diligence</w:t>
            </w:r>
          </w:p>
        </w:tc>
      </w:tr>
      <w:tr>
        <w:tc>
          <w:tcPr>
            <w:tcW w:type="dxa" w:w="2016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C16</w:t>
            </w:r>
          </w:p>
        </w:tc>
        <w:tc>
          <w:tcPr>
            <w:tcW w:type="dxa" w:w="2016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Sabden</w:t>
            </w:r>
          </w:p>
        </w:tc>
        <w:tc>
          <w:tcPr>
            <w:tcW w:type="dxa" w:w="2016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300 ha</w:t>
            </w:r>
          </w:p>
        </w:tc>
        <w:tc>
          <w:tcPr>
            <w:tcW w:type="dxa" w:w="2016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Strong</w:t>
            </w:r>
          </w:p>
        </w:tc>
        <w:tc>
          <w:tcPr>
            <w:tcW w:type="dxa" w:w="2016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Cleanest candidate: no settlement or protected-site overlap, strong habitat-network overlap</w:t>
            </w:r>
          </w:p>
        </w:tc>
      </w:tr>
      <w:tr>
        <w:tc>
          <w:tcPr>
            <w:tcW w:type="dxa" w:w="2016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C21</w:t>
            </w:r>
          </w:p>
        </w:tc>
        <w:tc>
          <w:tcPr>
            <w:tcW w:type="dxa" w:w="2016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Barrowford</w:t>
            </w:r>
          </w:p>
        </w:tc>
        <w:tc>
          <w:tcPr>
            <w:tcW w:type="dxa" w:w="2016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187 ha</w:t>
            </w:r>
          </w:p>
        </w:tc>
        <w:tc>
          <w:tcPr>
            <w:tcW w:type="dxa" w:w="2016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Strong</w:t>
            </w:r>
          </w:p>
        </w:tc>
        <w:tc>
          <w:tcPr>
            <w:tcW w:type="dxa" w:w="2016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Clean, no visible constraints</w:t>
            </w:r>
          </w:p>
        </w:tc>
      </w:tr>
      <w:tr>
        <w:tc>
          <w:tcPr>
            <w:tcW w:type="dxa" w:w="2016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C14</w:t>
            </w:r>
          </w:p>
        </w:tc>
        <w:tc>
          <w:tcPr>
            <w:tcW w:type="dxa" w:w="2016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Withnell</w:t>
            </w:r>
          </w:p>
        </w:tc>
        <w:tc>
          <w:tcPr>
            <w:tcW w:type="dxa" w:w="2016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62 ha</w:t>
            </w:r>
          </w:p>
        </w:tc>
        <w:tc>
          <w:tcPr>
            <w:tcW w:type="dxa" w:w="2016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Strong</w:t>
            </w:r>
          </w:p>
        </w:tc>
        <w:tc>
          <w:tcPr>
            <w:tcW w:type="dxa" w:w="2016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Only strong candidate outside the Clitheroe/Pendle cluster - geographic diversification</w:t>
            </w:r>
          </w:p>
        </w:tc>
      </w:tr>
      <w:tr>
        <w:tc>
          <w:tcPr>
            <w:tcW w:type="dxa" w:w="2016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C22</w:t>
            </w:r>
          </w:p>
        </w:tc>
        <w:tc>
          <w:tcPr>
            <w:tcW w:type="dxa" w:w="2016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Gisburn</w:t>
            </w:r>
          </w:p>
        </w:tc>
        <w:tc>
          <w:tcPr>
            <w:tcW w:type="dxa" w:w="2016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600 ha</w:t>
            </w:r>
          </w:p>
        </w:tc>
        <w:tc>
          <w:tcPr>
            <w:tcW w:type="dxa" w:w="2016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Strong</w:t>
            </w:r>
          </w:p>
        </w:tc>
        <w:tc>
          <w:tcPr>
            <w:tcW w:type="dxa" w:w="2016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Clean, but rank is less stable across alternative scoring weights - treat with more caution</w:t>
            </w:r>
          </w:p>
        </w:tc>
      </w:tr>
      <w:tr>
        <w:tc>
          <w:tcPr>
            <w:tcW w:type="dxa" w:w="2016"/>
            <w:tcW w:w="7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C23</w:t>
            </w:r>
          </w:p>
        </w:tc>
        <w:tc>
          <w:tcPr>
            <w:tcW w:type="dxa" w:w="2016"/>
            <w:tcW w:w="16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Giggleswick</w:t>
            </w:r>
          </w:p>
        </w:tc>
        <w:tc>
          <w:tcPr>
            <w:tcW w:type="dxa" w:w="2016"/>
            <w:tcW w:w="9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571 ha</w:t>
            </w:r>
          </w:p>
        </w:tc>
        <w:tc>
          <w:tcPr>
            <w:tcW w:type="dxa" w:w="2016"/>
            <w:tcW w:w="110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Moderate</w:t>
            </w:r>
          </w:p>
        </w:tc>
        <w:tc>
          <w:tcPr>
            <w:tcW w:type="dxa" w:w="2016"/>
            <w:tcW w:w="50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42"/>
                <w:sz w:val="18"/>
              </w:rPr>
              <w:t>Overlaps 2 SSSIs + a Scheduled Monument - likely needs statutory consent; included specifically to flag this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How this was built (confidence basis)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8 national/regional datasets (EA, Natural England, Historic England, OS), all Open Government Licence, provenance-tracked to source and download date.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A six-factor scoring model with explicit, published weights, tested against 3 alternative weightings for rank stability - not a single black-box number.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A queryable SQL database (DuckDB) accompanies this briefing for independent verification of every figure quoted here.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What this is not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8EEF5"/>
            <w:tcW w:w="9360" w:type="dxa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EXPLICIT LIMITATIONS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Desk-based public-data screening - not practitioner-validated, not hydrological or engineering assessment, and not a statement that any site is ready for capital deployment. Two of the five candidates carry explicit caveats (C22's rank stability, C23's protected-site overlap) to treat as open questions, not settled facts.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5"/>
        </w:rPr>
        <w:t>Recommended next steps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Local practitioner validation (in progress) with Ribble Rivers Trust - confirms or rejects each candidate against on-the-ground knowledge.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Statutory constraint check (SSSI/SAC consent pathway) specifically for C23 before any further spend.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43142"/>
          <w:sz w:val="19"/>
        </w:rPr>
        <w:t xml:space="preserve"> Feasibility-grade hydrological and ecological assessment for any candidate carried past practitioner review - this screening explicitly does not replace that step.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Pre-validation screening output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5"/>
      </w:rPr>
      <w:t>RIBBLE CATCHMENT NFM SCREENING  |  EXECUTIVE BRIEFING  |  SCREENING AREAS, NOT CONSTRUCTION BOUNDARIES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2431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Ribble NFM Screening - Executive Briefing</dc:title>
  <dc:subject>Natural flood management investment-screening briefing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