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28F17FA7" w14:textId="47E437D1" w:rsidR="004B3E9E" w:rsidRPr="000E4DC9" w:rsidRDefault="00FA7D7E" w:rsidP="004B3E9E">
      <w:pPr>
        <w:pStyle w:val="Heading1"/>
      </w:pPr>
      <w:r>
        <w:t>Project Tensei</w:t>
      </w:r>
      <w:r w:rsidR="004B3E9E" w:rsidRPr="000E4DC9">
        <w:t>—</w:t>
      </w:r>
      <w:r>
        <w:t>8/3/26</w:t>
      </w:r>
    </w:p>
    <w:p w14:paraId="53BAF1F9" w14:textId="77777777" w:rsidR="004B3E9E" w:rsidRPr="000E4DC9" w:rsidRDefault="004B3E9E" w:rsidP="004B3E9E">
      <w:pPr>
        <w:pStyle w:val="Heading2"/>
      </w:pPr>
      <w:r w:rsidRPr="000E4DC9">
        <w:t>Purpose</w:t>
      </w:r>
    </w:p>
    <w:p w14:paraId="45E1C229" w14:textId="77777777" w:rsidR="004B3E9E" w:rsidRPr="000E4DC9" w:rsidRDefault="004B3E9E" w:rsidP="004B3E9E">
      <w:r w:rsidRPr="000E4DC9">
        <w:t xml:space="preserve">This document presents Project Tensei, a reimagination of the AWS Support Center designed for a world where humans and AI work as teammates rather than a world where customers file forms and wait. A team of seven interns designed, built, and integrated four AI-driven features into a shared frontend that demonstrates how proactive, transparent AI can transform the customer support experience. We present this work to leadership as a proof of concept for the next generation of AWS Support.</w:t>
      </w:r>
    </w:p>
    <w:p w14:paraId="0BF68DB2" w14:textId="77777777" w:rsidR="004B3E9E" w:rsidRPr="000E4DC9" w:rsidRDefault="004B3E9E" w:rsidP="004B3E9E">
      <w:pPr>
        <w:pStyle w:val="Heading2"/>
      </w:pPr>
      <w:r w:rsidRPr="000E4DC9">
        <w:t xml:space="preserve">Tenets </w:t>
      </w:r>
      <w:r>
        <w:t>[</w:t>
      </w:r>
      <w:r w:rsidRPr="005E2E05">
        <w:t>optional</w:t>
      </w:r>
      <w:r>
        <w:t>]</w:t>
      </w:r>
    </w:p>
    <w:p w14:paraId="0CA69D7E" w14:textId="77777777" w:rsidR="004B3E9E" w:rsidRPr="000E4DC9" w:rsidRDefault="004B3E9E" w:rsidP="004B3E9E">
      <w:pPr>
        <w:pStyle w:val="ListParagraph"/>
        <w:numPr>
          <w:ilvl w:val="0"/>
          <w:numId w:val="2"/>
        </w:numPr>
      </w:pPr>
      <w:r w:rsidRPr="000E4DC9">
        <w:t xml:space="preserve">Proactive over reactive — We help customers before the error, not after. The best support case is the one that never gets filed.</w:t>
      </w:r>
    </w:p>
    <w:p w14:paraId="6EF48FBF" w14:textId="77777777" w:rsidR="004B3E9E" w:rsidRPr="000E4DC9" w:rsidRDefault="004B3E9E" w:rsidP="004B3E9E">
      <w:pPr>
        <w:pStyle w:val="ListParagraph"/>
        <w:numPr>
          <w:ilvl w:val="0"/>
          <w:numId w:val="2"/>
        </w:numPr>
      </w:pPr>
      <w:r w:rsidRPr="000E4DC9">
        <w:t xml:space="preserve">Transparent, not magical — AI should show its work. Customers trust recommendations they can verify, not black-box answers they’re told to accept.</w:t>
      </w:r>
    </w:p>
    <w:p w14:paraId="6EF48FBF" w14:textId="77777777" w:rsidR="004B3E9E" w:rsidRPr="000E4DC9" w:rsidRDefault="004B3E9E" w:rsidP="004B3E9E">
      <w:pPr>
        <w:pStyle w:val="ListParagraph"/>
        <w:numPr>
          <w:ilvl w:val="0"/>
          <w:numId w:val="2"/>
        </w:numPr>
      </w:pPr>
      <w:r w:rsidRPr="000E4DC9">
        <w:t xml:space="preserve">Calm, not nagging — The system stays quiet with safe defaults and only raises a flag when something is genuinely risky. We refuse to become the pushy chat panel customers learn to ignore.</w:t>
      </w:r>
    </w:p>
    <w:p w14:paraId="6EF48FBF" w14:textId="77777777" w:rsidR="004B3E9E" w:rsidRPr="000E4DC9" w:rsidRDefault="004B3E9E" w:rsidP="004B3E9E">
      <w:pPr>
        <w:pStyle w:val="ListParagraph"/>
        <w:numPr>
          <w:ilvl w:val="0"/>
          <w:numId w:val="2"/>
        </w:numPr>
      </w:pPr>
      <w:r w:rsidRPr="000E4DC9">
        <w:t xml:space="preserve">Customer stays in control — AI recommends; humans decide. We never force a fix or override a customer’s judgment.</w:t>
      </w:r>
    </w:p>
    <w:p w14:paraId="4D2643AE" w14:textId="77777777" w:rsidR="004B3E9E" w:rsidRPr="000E4DC9" w:rsidRDefault="004B3E9E" w:rsidP="004B3E9E">
      <w:pPr>
        <w:pStyle w:val="Heading2"/>
      </w:pPr>
      <w:r w:rsidRPr="005E2E05">
        <w:t>Background</w:t>
      </w:r>
    </w:p>
    <w:p w14:paraId="4FFF421A" w14:textId="77777777" w:rsidR="004B3E9E" w:rsidRPr="000E4DC9" w:rsidRDefault="004B3E9E" w:rsidP="004B3E9E">
      <w:pPr>
        <w:rPr>
          <w:szCs w:val="22"/>
        </w:rPr>
      </w:pPr>
      <w:r w:rsidRPr="000E4DC9">
        <w:rPr>
          <w:szCs w:val="22"/>
        </w:rPr>
        <w:t xml:space="preserve">Today’s AWS Support Center follows a traditional reactive model: a customer encounters a problem, files a support case describing the issue, and waits for an engineer to investigate and respond. This workflow made sense when most infrastructure problems required deep human expertise to diagnose. But the landscape has changed. Many of the most common support cases—misconfigurations, scheduling failures, resource constraint issues—follow patterns that AI can recognize, diagnose, and even prevent before they cause customer impact.
At the same time, customers have grown skeptical of AI-generated answers. They’ve been burned by systems that confidently present wrong conclusions with no way to verify the reasoning. Any AI integration into AWS Support must earn trust through transparency, not demand it through authority.
Project Tensei was scoped as an internship project to explore what AWS Support could look like if AI were deeply integrated into the experience from the start. The team of seven was given a single guiding question: What does support look like when humans and AI are teammates?</w:t>
      </w:r>
    </w:p>
    <w:p w14:paraId="6E0AD2EC" w14:textId="77777777" w:rsidR="004B3E9E" w:rsidRDefault="004B3E9E" w:rsidP="004B3E9E">
      <w:pPr>
        <w:pStyle w:val="Heading2"/>
      </w:pPr>
      <w:r>
        <w:t>Problem / Opportunity</w:t>
      </w:r>
    </w:p>
    <w:p w14:paraId="304A9295" w14:textId="77777777" w:rsidR="004B3E9E" w:rsidRDefault="004B3E9E" w:rsidP="004B3E9E">
      <w:pPr>
        <w:rPr>
          <w:lang w:eastAsia="x-none"/>
        </w:rPr>
      </w:pPr>
      <w:r>
        <w:rPr>
          <w:lang w:eastAsia="x-none"/>
        </w:rPr>
        <w:t xml:space="preserve">AWS customers face two core pain points with the current support model:
The reactive gap. Customers only engage support after something has gone wrong. By that point, workloads are down, teams are scrambling, and the cost of the mistake has already been incurred. Many of these failures are preventable—configuration errors, missing tolerations, mismatched selectors—but there’s no mechanism to catch them before deployment.
The diagnostic black box. When customers do engage support or use AI-assisted tools, they’re often handed a conclusion with no visible reasoning. If the answer is wrong, there’s no way to tell where the logic broke down. If it’s right, there’s no way to build confidence for next time. Customers either blindly trust the AI or ignore it entirely—neither outcome is acceptable.
These two problems map to two distinct moments in a customer’s journey: Before deployment, the customer is making decisions and could benefit from a second pair of eyes. After something breaks, the customer needs to understand not just what went wrong but how the AI figured that out, so they can trust the diagnosis and apply the fix with confidence.</w:t>
      </w:r>
    </w:p>
    <w:p w14:paraId="19B0B980" w14:textId="77777777" w:rsidR="004B3E9E" w:rsidRPr="000E4DC9" w:rsidRDefault="004B3E9E" w:rsidP="004B3E9E">
      <w:pPr>
        <w:pStyle w:val="Heading2"/>
      </w:pPr>
      <w:r w:rsidRPr="000E4DC9">
        <w:t xml:space="preserve">Recommendation</w:t>
      </w:r>
    </w:p>
    <w:p w14:paraId="2BC93579" w14:textId="77777777" w:rsidR="004B3E9E" w:rsidRPr="000E4DC9" w:rsidRDefault="004B3E9E" w:rsidP="004B3E9E">
      <w:pPr>
        <w:rPr>
          <w:lang w:eastAsia="x-none"/>
        </w:rPr>
      </w:pPr>
      <w:r w:rsidRPr="000E4DC9">
        <w:rPr>
          <w:lang w:eastAsia="x-none"/>
        </w:rPr>
        <w:t xml:space="preserve">Project Tensei addresses both moments with purpose-built features. The demo follows a single customer problem from start to finish, with each feature taking over at the point in the journey where it matters most.
Config Assistant (Pre-Deployment Review): The Config Assistant is a proactive pre-deployment reviewer that lives inside the console and reads a workload’s configuration before it ships. It checks the configuration against AWS-wide knowledge and the account’s own history, catching problems while the customer can still change their mind. In the demo scenario, a team deploys a workload to a dedicated GPU node group. The platform team had tainted those nodes with dedicated=gpuGroup:NoSchedule so only intended workloads could land there, but the deploying team didn’t know that. Their Deployment manifest is missing the matching toleration. The Config Assistant catches this before any of it happens: it reads the manifest, recognizes the target nodes are tainted, sees there is no matching tolerations block, flags the gap inline in the YAML exactly where the block belongs, shows the precise toleration to add and inserts it with one click, and provides a finding panel explaining the cause in plain terms. The assistant draws on two layers of knowledge: common mistakes that hurt customers across AWS, plus mistakes from the account’s own history—making the advice specific and trustworthy.
Diagnostic Investigation Graph (Post-Failure Transparency): The Diagnostic Investigation Graph shows the work behind an AI’s diagnosis. Instead of handing a customer an answer and asking them to trust it, it walks them through how the AI got there, one step at a time, so they can follow the logic and check it for themselves. The graph uses two kinds of nodes: Evidence nodes (facts the AI actually found: scheduler logs, pod settings, configuration history) and Conclusion nodes (judgments the AI drew from those facts). Keeping them visually separate makes it easy to see where the AI is standing on solid ground versus where it’s making a judgment call. A confidence meter climbs as more independent pieces of evidence point to the same cause—a high score means several sources agree, not that the AI simply sounded sure. In the continued demo scenario, the team dismisses the Config Assistant’s recommendation and deploys anyway. The pods get stuck Pending. The Diagnostic Investigation Graph works through the usual suspects first (not enough capacity, resource requests too big, mismatched labels), rules each one out with evidence, finds the real problem (missing toleration for a taint on the nodes), and as a final check looks back through past records to discover this exact fix had been recommended before deployment and was never applied.
Two additional features built by other team members handle the investigation and resolution steps between the Config Assistant’s warning and the Diagnostic Investigation Graph’s final diagnosis, creating a complete end-to-end journey through the reimagined support experience.</w:t>
      </w:r>
    </w:p>
    <w:bookmarkEnd w:id="0"/>
    <w:p w14:paraId="45E6315F" w14:textId="77777777" w:rsidR="004B3E9E" w:rsidRPr="000E4DC9" w:rsidRDefault="004B3E9E" w:rsidP="004B3E9E">
      <w:pPr>
        <w:pStyle w:val="Heading2"/>
      </w:pPr>
      <w:r w:rsidRPr="000E4DC9">
        <w:lastRenderedPageBreak/>
        <w:t>Next steps</w:t>
      </w:r>
    </w:p>
    <w:p w14:paraId="2B00E586" w14:textId="77777777" w:rsidR="004B3E9E" w:rsidRPr="000E4DC9" w:rsidRDefault="004B3E9E" w:rsidP="004B3E9E">
      <w:pPr>
        <w:rPr>
          <w:szCs w:val="22"/>
          <w:shd w:val="clear" w:color="auto" w:fill="FFFFFF"/>
        </w:rPr>
      </w:pPr>
      <w:r w:rsidRPr="000E4DC9">
        <w:rPr>
          <w:szCs w:val="22"/>
          <w:shd w:val="clear" w:color="auto" w:fill="FFFFFF"/>
        </w:rPr>
        <w:t xml:space="preserve">Project Tensei demonstrates a proof of concept for AI-integrated AWS Support. Potential next steps include: customer research to validate the design with real AWS customers; data collection to quantify how many existing support cases could have been prevented; technical evaluation to assess integration paths into the existing AWS Support Console architecture; and expanded scenario coverage to extend beyond EKS/Kubernetes to other commonly misconfigured AWS services. The team welcomes leadership guidance on which of these directions to prioritize.</w:t>
      </w:r>
    </w:p>
    <w:bookmarkEnd w:id="1"/>
    <w:bookmarkEnd w:id="2"/>
    <w:p w14:paraId="21807F5F" w14:textId="77777777" w:rsidR="004B3E9E" w:rsidRPr="000E4DC9" w:rsidRDefault="004B3E9E" w:rsidP="004B3E9E">
      <w:pPr>
        <w:pStyle w:val="Heading2"/>
      </w:pPr>
      <w:r>
        <w:t>Summary [optional]</w:t>
      </w:r>
    </w:p>
    <w:p w14:paraId="59A3123D" w14:textId="77777777" w:rsidR="004B3E9E" w:rsidRPr="000E4DC9" w:rsidRDefault="004B3E9E" w:rsidP="004B3E9E">
      <w:pPr>
        <w:rPr>
          <w:lang w:eastAsia="x-none"/>
        </w:rPr>
      </w:pPr>
      <w:r w:rsidRPr="000E4DC9">
        <w:rPr>
          <w:lang w:eastAsia="x-none"/>
        </w:rPr>
        <w:t xml:space="preserve">Project Tensei reimagines AWS Support for an AI-native world. Seven interns built four integrated features demonstrating that AI can prevent support cases before they happen (Config Assistant) and earn customer trust when diagnosis is needed (Diagnostic Investigation Graph) by showing its reasoning transparently. The demo follows one realistic scenario—a misconfigured EKS deployment—from prevention opportunity through failure through transparent diagnosis, proving that the features work as a coherent system rather than isolated tools. We ask leadership to review this work as a directional proof of concept for the future of AWS Support.</w:t>
      </w:r>
    </w:p>
    <w:bookmarkEnd w:id="3"/>
    <w:p w14:paraId="68E61B9C" w14:textId="77777777" w:rsidR="004B3E9E" w:rsidRPr="000E4DC9" w:rsidRDefault="004B3E9E" w:rsidP="004B3E9E">
      <w:pPr>
        <w:pStyle w:val="Heading2"/>
      </w:pPr>
      <w:r w:rsidRPr="000E4DC9">
        <w:lastRenderedPageBreak/>
        <w:t>F</w:t>
      </w:r>
      <w:r>
        <w:t>requently Asked Questions (FAQs)</w:t>
      </w:r>
      <w:r w:rsidRPr="000E4DC9">
        <w:t xml:space="preserve"> </w:t>
      </w:r>
      <w:r>
        <w:t>[</w:t>
      </w:r>
      <w:r w:rsidRPr="000E4DC9">
        <w:t>optional</w:t>
      </w:r>
      <w:r>
        <w:t>]</w:t>
      </w:r>
    </w:p>
    <w:p w14:paraId="5EBE2083" w14:textId="77777777" w:rsidR="004B3E9E" w:rsidRPr="000E4DC9" w:rsidRDefault="004B3E9E" w:rsidP="004B3E9E">
      <w:pPr>
        <w:pStyle w:val="Heading3"/>
      </w:pPr>
      <w:r>
        <w:t xml:space="preserve">How does the Config Assistant avoid becoming noise that customers learn to ignore?</w:t>
      </w:r>
    </w:p>
    <w:p w14:paraId="3EF2308F" w14:textId="77777777" w:rsidR="004B3E9E" w:rsidRPr="000E4DC9" w:rsidRDefault="004B3E9E" w:rsidP="004B3E9E">
      <w:pPr>
        <w:rPr>
          <w:lang w:eastAsia="x-none"/>
        </w:rPr>
      </w:pPr>
      <w:r w:rsidRPr="000E4DC9">
        <w:rPr>
          <w:lang w:eastAsia="x-none"/>
        </w:rPr>
        <w:t xml:space="preserve">It only flags genuinely risky configurations by cross-referencing AWS-wide failure patterns and the account’s own history. Safe defaults produce no warnings. This “calm, not nagging” approach means that when it does speak up, customers have reason to listen.</w:t>
      </w:r>
    </w:p>
    <w:p w14:paraId="6C3DB829" w14:textId="77777777" w:rsidR="004B3E9E" w:rsidRPr="004B3E9E" w:rsidRDefault="004B3E9E" w:rsidP="004B3E9E">
      <w:pPr>
        <w:pStyle w:val="Heading3"/>
      </w:pPr>
      <w:r w:rsidRPr="004B3E9E">
        <w:t xml:space="preserve">What happens when the customer dismisses a Config Assistant recommendation?</w:t>
      </w:r>
    </w:p>
    <w:p w14:paraId="16CEF169" w14:textId="77777777" w:rsidR="004B3E9E" w:rsidRPr="000E4DC9" w:rsidRDefault="004B3E9E" w:rsidP="004B3E9E">
      <w:pPr>
        <w:rPr>
          <w:lang w:eastAsia="x-none"/>
        </w:rPr>
      </w:pPr>
      <w:r w:rsidRPr="000E4DC9">
        <w:rPr>
          <w:lang w:eastAsia="x-none"/>
        </w:rPr>
        <w:t xml:space="preserve">Nothing is forced. The deployment proceeds normally. But the recommendation is recorded, so if the predicted issue occurs, the Diagnostic Investigation Graph can reference it—creating a feedback loop that builds trust over time.</w:t>
      </w:r>
    </w:p>
    <w:p w14:paraId="2EF6136E" w14:textId="77777777" w:rsidR="004B3E9E" w:rsidRDefault="004B3E9E" w:rsidP="004B3E9E">
      <w:pPr>
        <w:pStyle w:val="Heading1"/>
      </w:pPr>
      <w:bookmarkStart w:id="4" w:name="_Hlk83378775"/>
      <w:r w:rsidRPr="000E4DC9">
        <w:t>Appendi</w:t>
      </w:r>
      <w:r>
        <w:t>ces</w:t>
      </w:r>
      <w:r w:rsidRPr="000E4DC9">
        <w:t xml:space="preserve"> </w:t>
      </w:r>
    </w:p>
    <w:p w14:paraId="31543F59" w14:textId="77777777" w:rsidR="004B3E9E" w:rsidRPr="000E4DC9" w:rsidRDefault="004B3E9E" w:rsidP="004B3E9E">
      <w:pPr>
        <w:pStyle w:val="AMZNH2"/>
      </w:pPr>
      <w:r>
        <w:t xml:space="preserve">Appendix A: Demo Scenario Flow</w:t>
      </w:r>
    </w:p>
    <w:bookmarkEnd w:id="4"/>
    <w:p w14:paraId="080F11C0" w14:textId="77777777" w:rsidR="004B3E9E" w:rsidRPr="000E4DC9" w:rsidRDefault="004B3E9E" w:rsidP="004B3E9E">
      <w:pPr>
        <w:rPr>
          <w:szCs w:val="22"/>
        </w:rPr>
      </w:pPr>
      <w:r w:rsidRPr="000E4DC9">
        <w:rPr>
          <w:szCs w:val="22"/>
        </w:rPr>
        <w:t xml:space="preserve">1. Config Assistant — Customer prepares EKS deployment manifest; assistant detects missing toleration for tainted GPU nodes; recommends fix inline.
2. Dismissal — Customer dismisses recommendation, deploys anyway.
3. Failure — Pods stuck in Pending, never schedule onto nodes.
4. Investigation (teammates’ features) — AI-assisted investigation and resolution workflow.
5. Diagnostic Investigation Graph — Transparent reasoning graph shows how AI eliminated alternatives and identified the missing toleration as root cause; references the earlier dismissed recommendation.</w:t>
      </w:r>
    </w:p>
    <w:p w14:paraId="62E9AD9B" w14:textId="77777777" w:rsidR="004B3E9E" w:rsidRDefault="004B3E9E" w:rsidP="004B3E9E"/>
    <w:sectPr w:rsidR="004B3E9E" w:rsidSect="004B3E9E">
      <w:headerReference w:type="default" r:id="rId9"/>
      <w:footerReference w:type="default" r:id="rId10"/>
      <w:pgSz w:w="12240" w:h="15840" w:code="1"/>
      <w:pgMar w:top="1440" w:right="1080" w:bottom="144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CEA8" w14:textId="77777777" w:rsidR="00BF12FE" w:rsidRDefault="00BF12FE">
      <w:pPr>
        <w:spacing w:after="0"/>
      </w:pPr>
      <w:r>
        <w:separator/>
      </w:r>
    </w:p>
  </w:endnote>
  <w:endnote w:type="continuationSeparator" w:id="0">
    <w:p w14:paraId="5DA9FC45" w14:textId="77777777" w:rsidR="00BF12FE" w:rsidRDefault="00BF12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EC4E7" w14:textId="77777777" w:rsidR="00000000" w:rsidRPr="00947BA2" w:rsidRDefault="004B3E9E" w:rsidP="00B267BC">
    <w:pPr>
      <w:pStyle w:val="Footer"/>
      <w:rPr>
        <w:sz w:val="20"/>
      </w:rPr>
    </w:pPr>
    <w:r w:rsidRPr="00947BA2">
      <w:rPr>
        <w:sz w:val="22"/>
      </w:rPr>
      <w:t>Amazon Confidential</w:t>
    </w:r>
    <w:r w:rsidRPr="00947BA2">
      <w:rPr>
        <w:sz w:val="22"/>
      </w:rPr>
      <w:ptab w:relativeTo="margin" w:alignment="center" w:leader="none"/>
    </w:r>
    <w:r w:rsidRPr="00947BA2">
      <w:rPr>
        <w:sz w:val="22"/>
      </w:rPr>
      <w:ptab w:relativeTo="margin" w:alignment="right" w:leader="none"/>
    </w:r>
    <w:r w:rsidRPr="00947BA2">
      <w:rPr>
        <w:sz w:val="22"/>
      </w:rPr>
      <w:t xml:space="preserve">Page </w:t>
    </w:r>
    <w:r w:rsidRPr="00947BA2">
      <w:rPr>
        <w:sz w:val="22"/>
      </w:rPr>
      <w:fldChar w:fldCharType="begin"/>
    </w:r>
    <w:r w:rsidRPr="00947BA2">
      <w:rPr>
        <w:sz w:val="22"/>
      </w:rPr>
      <w:instrText xml:space="preserve"> PAGE  \* Arabic  \* MERGEFORMAT </w:instrText>
    </w:r>
    <w:r w:rsidRPr="00947BA2">
      <w:rPr>
        <w:sz w:val="22"/>
      </w:rPr>
      <w:fldChar w:fldCharType="separate"/>
    </w:r>
    <w:r w:rsidRPr="00947BA2">
      <w:rPr>
        <w:sz w:val="22"/>
      </w:rPr>
      <w:t>1</w:t>
    </w:r>
    <w:r w:rsidRPr="00947BA2">
      <w:rPr>
        <w:sz w:val="22"/>
      </w:rPr>
      <w:fldChar w:fldCharType="end"/>
    </w:r>
    <w:r w:rsidRPr="00947BA2">
      <w:rPr>
        <w:sz w:val="22"/>
      </w:rPr>
      <w:t xml:space="preserve"> of </w:t>
    </w:r>
    <w:r w:rsidRPr="00947BA2">
      <w:rPr>
        <w:sz w:val="22"/>
      </w:rPr>
      <w:fldChar w:fldCharType="begin"/>
    </w:r>
    <w:r w:rsidRPr="00947BA2">
      <w:rPr>
        <w:sz w:val="22"/>
      </w:rPr>
      <w:instrText xml:space="preserve"> NUMPAGES  \* Arabic  \* MERGEFORMAT </w:instrText>
    </w:r>
    <w:r w:rsidRPr="00947BA2">
      <w:rPr>
        <w:sz w:val="22"/>
      </w:rPr>
      <w:fldChar w:fldCharType="separate"/>
    </w:r>
    <w:r w:rsidRPr="00947BA2">
      <w:rPr>
        <w:sz w:val="22"/>
      </w:rPr>
      <w:t>2</w:t>
    </w:r>
    <w:r w:rsidRPr="00947BA2">
      <w:rPr>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F048" w14:textId="77777777" w:rsidR="00BF12FE" w:rsidRDefault="00BF12FE">
      <w:pPr>
        <w:spacing w:after="0"/>
      </w:pPr>
      <w:r>
        <w:separator/>
      </w:r>
    </w:p>
  </w:footnote>
  <w:footnote w:type="continuationSeparator" w:id="0">
    <w:p w14:paraId="6AAF34FF" w14:textId="77777777" w:rsidR="00BF12FE" w:rsidRDefault="00BF12F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BD9B" w14:textId="57D3499A" w:rsidR="00000000" w:rsidRPr="00947BA2" w:rsidRDefault="00FA7D7E" w:rsidP="00B267BC">
    <w:pPr>
      <w:pStyle w:val="Header"/>
      <w:rPr>
        <w:sz w:val="20"/>
      </w:rPr>
    </w:pPr>
    <w:r>
      <w:rPr>
        <w:sz w:val="22"/>
      </w:rPr>
      <w:t>August</w:t>
    </w:r>
    <w:r w:rsidR="004B3E9E" w:rsidRPr="00947BA2">
      <w:rPr>
        <w:sz w:val="22"/>
      </w:rPr>
      <w:t xml:space="preserve"> </w:t>
    </w:r>
    <w:r>
      <w:rPr>
        <w:sz w:val="22"/>
      </w:rPr>
      <w:t>2026</w:t>
    </w:r>
    <w:r w:rsidR="004B3E9E" w:rsidRPr="00947BA2">
      <w:rPr>
        <w:sz w:val="22"/>
      </w:rPr>
      <w:t xml:space="preserve"> – </w:t>
    </w:r>
    <w:r>
      <w:rPr>
        <w:sz w:val="22"/>
      </w:rPr>
      <w:t>CSE Interns</w:t>
    </w:r>
    <w:r w:rsidR="004B3E9E" w:rsidRPr="00947BA2">
      <w:rPr>
        <w:sz w:val="22"/>
      </w:rPr>
      <w:t xml:space="preserve"> – </w:t>
    </w:r>
    <w:r>
      <w:rPr>
        <w:sz w:val="22"/>
      </w:rPr>
      <w:t>Project Tensei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94C23"/>
    <w:multiLevelType w:val="hybridMultilevel"/>
    <w:tmpl w:val="41A6F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F0C6CE5"/>
    <w:multiLevelType w:val="hybridMultilevel"/>
    <w:tmpl w:val="B1E4FAAA"/>
    <w:lvl w:ilvl="0" w:tplc="DEF019B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374042">
    <w:abstractNumId w:val="1"/>
  </w:num>
  <w:num w:numId="2" w16cid:durableId="2695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E9E"/>
    <w:rsid w:val="00025B41"/>
    <w:rsid w:val="004B3E9E"/>
    <w:rsid w:val="006E503B"/>
    <w:rsid w:val="00947BA2"/>
    <w:rsid w:val="00BF12FE"/>
    <w:rsid w:val="00FA7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CF28D"/>
  <w15:chartTrackingRefBased/>
  <w15:docId w15:val="{4A862575-EBB4-4471-88DB-F9DF9813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MZN Body"/>
    <w:qFormat/>
    <w:rsid w:val="004B3E9E"/>
    <w:pPr>
      <w:spacing w:after="120" w:line="240" w:lineRule="auto"/>
    </w:pPr>
    <w:rPr>
      <w:rFonts w:eastAsia="Calibri" w:cstheme="minorHAnsi"/>
      <w:szCs w:val="20"/>
    </w:rPr>
  </w:style>
  <w:style w:type="paragraph" w:styleId="Heading1">
    <w:name w:val="heading 1"/>
    <w:basedOn w:val="Normal"/>
    <w:next w:val="Normal"/>
    <w:link w:val="Heading1Char"/>
    <w:uiPriority w:val="9"/>
    <w:qFormat/>
    <w:rsid w:val="004B3E9E"/>
    <w:pPr>
      <w:keepNext/>
      <w:keepLines/>
      <w:pBdr>
        <w:bottom w:val="single" w:sz="18" w:space="1" w:color="auto"/>
      </w:pBdr>
      <w:spacing w:before="240" w:after="0"/>
      <w:outlineLvl w:val="0"/>
    </w:pPr>
    <w:rPr>
      <w:rFonts w:ascii="Calibri" w:eastAsiaTheme="majorEastAsia" w:hAnsi="Calibri" w:cstheme="majorBidi"/>
      <w:b/>
      <w:szCs w:val="32"/>
    </w:rPr>
  </w:style>
  <w:style w:type="paragraph" w:styleId="Heading2">
    <w:name w:val="heading 2"/>
    <w:basedOn w:val="Normal"/>
    <w:next w:val="Normal"/>
    <w:link w:val="Heading2Char"/>
    <w:uiPriority w:val="9"/>
    <w:unhideWhenUsed/>
    <w:qFormat/>
    <w:rsid w:val="004B3E9E"/>
    <w:pPr>
      <w:keepNext/>
      <w:keepLines/>
      <w:spacing w:before="40" w:after="0"/>
      <w:outlineLvl w:val="1"/>
    </w:pPr>
    <w:rPr>
      <w:rFonts w:ascii="Calibri" w:eastAsiaTheme="majorEastAsia" w:hAnsi="Calibri" w:cstheme="majorBidi"/>
      <w:b/>
      <w:szCs w:val="26"/>
    </w:rPr>
  </w:style>
  <w:style w:type="paragraph" w:styleId="Heading3">
    <w:name w:val="heading 3"/>
    <w:basedOn w:val="Normal"/>
    <w:next w:val="Normal"/>
    <w:link w:val="Heading3Char"/>
    <w:uiPriority w:val="9"/>
    <w:unhideWhenUsed/>
    <w:qFormat/>
    <w:rsid w:val="004B3E9E"/>
    <w:pPr>
      <w:keepNext/>
      <w:keepLines/>
      <w:spacing w:before="40" w:after="0"/>
      <w:outlineLvl w:val="2"/>
    </w:pPr>
    <w:rPr>
      <w:rFonts w:ascii="Calibri" w:eastAsiaTheme="majorEastAsia" w:hAnsi="Calibri" w:cstheme="majorBidi"/>
      <w:b/>
      <w:szCs w:val="24"/>
      <w:u w:val="single"/>
    </w:rPr>
  </w:style>
  <w:style w:type="paragraph" w:styleId="Heading4">
    <w:name w:val="heading 4"/>
    <w:basedOn w:val="Normal"/>
    <w:next w:val="Normal"/>
    <w:link w:val="Heading4Char"/>
    <w:uiPriority w:val="9"/>
    <w:semiHidden/>
    <w:unhideWhenUsed/>
    <w:qFormat/>
    <w:rsid w:val="004B3E9E"/>
    <w:pPr>
      <w:keepNext/>
      <w:keepLines/>
      <w:pBdr>
        <w:bottom w:val="dotted" w:sz="4" w:space="1" w:color="auto"/>
      </w:pBdr>
      <w:spacing w:before="40" w:after="0"/>
      <w:outlineLvl w:val="3"/>
    </w:pPr>
    <w:rPr>
      <w:rFonts w:ascii="Calibri" w:eastAsiaTheme="majorEastAsia" w:hAnsi="Calibr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4B3E9E"/>
    <w:rPr>
      <w:rFonts w:cs="Times New Roman"/>
      <w:color w:val="0000FF"/>
      <w:u w:val="single"/>
    </w:rPr>
  </w:style>
  <w:style w:type="character" w:customStyle="1" w:styleId="HeaderChar">
    <w:name w:val="Header Char"/>
    <w:link w:val="Header"/>
    <w:uiPriority w:val="99"/>
    <w:semiHidden/>
    <w:rsid w:val="004B3E9E"/>
    <w:rPr>
      <w:rFonts w:ascii="Calibri" w:eastAsia="Calibri" w:hAnsi="Calibri" w:cs="Times New Roman"/>
      <w:sz w:val="18"/>
      <w:szCs w:val="18"/>
    </w:rPr>
  </w:style>
  <w:style w:type="paragraph" w:styleId="Header">
    <w:name w:val="header"/>
    <w:basedOn w:val="Normal"/>
    <w:link w:val="HeaderChar"/>
    <w:uiPriority w:val="99"/>
    <w:semiHidden/>
    <w:rsid w:val="004B3E9E"/>
    <w:pPr>
      <w:tabs>
        <w:tab w:val="center" w:pos="4680"/>
        <w:tab w:val="right" w:pos="9360"/>
      </w:tabs>
    </w:pPr>
    <w:rPr>
      <w:rFonts w:ascii="Calibri" w:hAnsi="Calibri" w:cs="Times New Roman"/>
      <w:sz w:val="18"/>
      <w:szCs w:val="18"/>
    </w:rPr>
  </w:style>
  <w:style w:type="character" w:customStyle="1" w:styleId="HeaderChar1">
    <w:name w:val="Header Char1"/>
    <w:basedOn w:val="DefaultParagraphFont"/>
    <w:uiPriority w:val="99"/>
    <w:semiHidden/>
    <w:rsid w:val="004B3E9E"/>
    <w:rPr>
      <w:rFonts w:eastAsia="Calibri" w:cstheme="minorHAnsi"/>
      <w:szCs w:val="20"/>
    </w:rPr>
  </w:style>
  <w:style w:type="character" w:customStyle="1" w:styleId="FooterChar">
    <w:name w:val="Footer Char"/>
    <w:link w:val="Footer"/>
    <w:uiPriority w:val="99"/>
    <w:rsid w:val="004B3E9E"/>
    <w:rPr>
      <w:rFonts w:ascii="Calibri" w:eastAsia="Calibri" w:hAnsi="Calibri" w:cs="Times New Roman"/>
      <w:sz w:val="18"/>
      <w:szCs w:val="18"/>
    </w:rPr>
  </w:style>
  <w:style w:type="paragraph" w:styleId="Footer">
    <w:name w:val="footer"/>
    <w:basedOn w:val="Normal"/>
    <w:link w:val="FooterChar"/>
    <w:uiPriority w:val="99"/>
    <w:rsid w:val="004B3E9E"/>
    <w:pPr>
      <w:tabs>
        <w:tab w:val="center" w:pos="4680"/>
        <w:tab w:val="right" w:pos="9360"/>
      </w:tabs>
    </w:pPr>
    <w:rPr>
      <w:rFonts w:ascii="Calibri" w:hAnsi="Calibri" w:cs="Times New Roman"/>
      <w:sz w:val="18"/>
      <w:szCs w:val="18"/>
    </w:rPr>
  </w:style>
  <w:style w:type="character" w:customStyle="1" w:styleId="FooterChar1">
    <w:name w:val="Footer Char1"/>
    <w:basedOn w:val="DefaultParagraphFont"/>
    <w:uiPriority w:val="99"/>
    <w:semiHidden/>
    <w:rsid w:val="004B3E9E"/>
    <w:rPr>
      <w:rFonts w:eastAsia="Calibri" w:cstheme="minorHAnsi"/>
      <w:szCs w:val="20"/>
    </w:rPr>
  </w:style>
  <w:style w:type="paragraph" w:styleId="ListParagraph">
    <w:name w:val="List Paragraph"/>
    <w:basedOn w:val="Normal"/>
    <w:link w:val="ListParagraphChar"/>
    <w:uiPriority w:val="34"/>
    <w:rsid w:val="004B3E9E"/>
    <w:pPr>
      <w:numPr>
        <w:numId w:val="1"/>
      </w:numPr>
      <w:contextualSpacing/>
    </w:pPr>
    <w:rPr>
      <w:rFonts w:eastAsia="MS Mincho"/>
    </w:rPr>
  </w:style>
  <w:style w:type="character" w:customStyle="1" w:styleId="ListParagraphChar">
    <w:name w:val="List Paragraph Char"/>
    <w:link w:val="ListParagraph"/>
    <w:uiPriority w:val="34"/>
    <w:rsid w:val="004B3E9E"/>
    <w:rPr>
      <w:rFonts w:eastAsia="MS Mincho" w:cstheme="minorHAnsi"/>
      <w:szCs w:val="20"/>
    </w:rPr>
  </w:style>
  <w:style w:type="paragraph" w:customStyle="1" w:styleId="AMZNH1">
    <w:name w:val="AMZN H1"/>
    <w:basedOn w:val="Heading1"/>
    <w:next w:val="Normal"/>
    <w:link w:val="AMZNH1Char"/>
    <w:rsid w:val="004B3E9E"/>
    <w:pPr>
      <w:keepLines w:val="0"/>
      <w:pBdr>
        <w:bottom w:val="single" w:sz="4" w:space="1" w:color="auto"/>
      </w:pBdr>
      <w:shd w:val="clear" w:color="auto" w:fill="FFFFFF" w:themeFill="background1"/>
      <w:spacing w:before="120" w:after="120"/>
    </w:pPr>
    <w:rPr>
      <w:rFonts w:eastAsia="Times New Roman" w:cstheme="minorHAnsi"/>
      <w:b w:val="0"/>
      <w:bCs/>
      <w:kern w:val="32"/>
      <w:lang w:eastAsia="x-none"/>
    </w:rPr>
  </w:style>
  <w:style w:type="paragraph" w:customStyle="1" w:styleId="AMZNH2">
    <w:name w:val="AMZN H2"/>
    <w:basedOn w:val="Heading2"/>
    <w:next w:val="Normal"/>
    <w:link w:val="AMZNH2Char"/>
    <w:rsid w:val="004B3E9E"/>
    <w:pPr>
      <w:keepLines w:val="0"/>
      <w:spacing w:before="240" w:after="60"/>
    </w:pPr>
    <w:rPr>
      <w:rFonts w:eastAsia="Times New Roman" w:cstheme="minorHAnsi"/>
      <w:b w:val="0"/>
      <w:bCs/>
      <w:iCs/>
      <w:u w:val="single"/>
      <w:lang w:eastAsia="x-none"/>
    </w:rPr>
  </w:style>
  <w:style w:type="character" w:customStyle="1" w:styleId="AMZNH1Char">
    <w:name w:val="AMZN H1 Char"/>
    <w:basedOn w:val="Heading1Char"/>
    <w:link w:val="AMZNH1"/>
    <w:rsid w:val="004B3E9E"/>
    <w:rPr>
      <w:rFonts w:ascii="Calibri" w:eastAsia="Times New Roman" w:hAnsi="Calibri" w:cstheme="minorHAnsi"/>
      <w:b w:val="0"/>
      <w:bCs/>
      <w:kern w:val="32"/>
      <w:szCs w:val="32"/>
      <w:shd w:val="clear" w:color="auto" w:fill="FFFFFF" w:themeFill="background1"/>
      <w:lang w:eastAsia="x-none"/>
    </w:rPr>
  </w:style>
  <w:style w:type="character" w:customStyle="1" w:styleId="AMZNH2Char">
    <w:name w:val="AMZN H2 Char"/>
    <w:basedOn w:val="Heading2Char"/>
    <w:link w:val="AMZNH2"/>
    <w:rsid w:val="004B3E9E"/>
    <w:rPr>
      <w:rFonts w:ascii="Calibri" w:eastAsia="Times New Roman" w:hAnsi="Calibri" w:cstheme="minorHAnsi"/>
      <w:b w:val="0"/>
      <w:bCs/>
      <w:iCs/>
      <w:szCs w:val="26"/>
      <w:u w:val="single"/>
      <w:lang w:eastAsia="x-none"/>
    </w:rPr>
  </w:style>
  <w:style w:type="paragraph" w:customStyle="1" w:styleId="AMZNH3">
    <w:name w:val="AMZN H3"/>
    <w:basedOn w:val="Heading3"/>
    <w:next w:val="Normal"/>
    <w:link w:val="AMZNH3Char"/>
    <w:rsid w:val="004B3E9E"/>
    <w:pPr>
      <w:keepLines w:val="0"/>
      <w:shd w:val="clear" w:color="auto" w:fill="FFFFFF" w:themeFill="background1"/>
      <w:spacing w:before="60" w:after="60"/>
      <w:contextualSpacing/>
    </w:pPr>
    <w:rPr>
      <w:rFonts w:eastAsia="Times New Roman" w:cstheme="minorHAnsi"/>
      <w:bCs/>
      <w:szCs w:val="20"/>
      <w:lang w:eastAsia="x-none"/>
    </w:rPr>
  </w:style>
  <w:style w:type="character" w:customStyle="1" w:styleId="AMZNH3Char">
    <w:name w:val="AMZN H3 Char"/>
    <w:basedOn w:val="Heading3Char"/>
    <w:link w:val="AMZNH3"/>
    <w:rsid w:val="004B3E9E"/>
    <w:rPr>
      <w:rFonts w:ascii="Calibri" w:eastAsia="Times New Roman" w:hAnsi="Calibri" w:cstheme="minorHAnsi"/>
      <w:b/>
      <w:bCs/>
      <w:szCs w:val="20"/>
      <w:u w:val="single"/>
      <w:shd w:val="clear" w:color="auto" w:fill="FFFFFF" w:themeFill="background1"/>
      <w:lang w:eastAsia="x-none"/>
    </w:rPr>
  </w:style>
  <w:style w:type="paragraph" w:customStyle="1" w:styleId="InstructionHighlight">
    <w:name w:val="Instruction Highlight"/>
    <w:basedOn w:val="Normal"/>
    <w:qFormat/>
    <w:rsid w:val="004B3E9E"/>
    <w:pPr>
      <w:shd w:val="clear" w:color="auto" w:fill="F7CAAC" w:themeFill="accent2" w:themeFillTint="66"/>
      <w:spacing w:before="120"/>
    </w:pPr>
    <w:rPr>
      <w:szCs w:val="22"/>
    </w:rPr>
  </w:style>
  <w:style w:type="character" w:customStyle="1" w:styleId="Heading1Char">
    <w:name w:val="Heading 1 Char"/>
    <w:basedOn w:val="DefaultParagraphFont"/>
    <w:link w:val="Heading1"/>
    <w:uiPriority w:val="9"/>
    <w:rsid w:val="004B3E9E"/>
    <w:rPr>
      <w:rFonts w:ascii="Calibri" w:eastAsiaTheme="majorEastAsia" w:hAnsi="Calibri" w:cstheme="majorBidi"/>
      <w:b/>
      <w:szCs w:val="32"/>
    </w:rPr>
  </w:style>
  <w:style w:type="character" w:customStyle="1" w:styleId="Heading2Char">
    <w:name w:val="Heading 2 Char"/>
    <w:basedOn w:val="DefaultParagraphFont"/>
    <w:link w:val="Heading2"/>
    <w:uiPriority w:val="9"/>
    <w:rsid w:val="004B3E9E"/>
    <w:rPr>
      <w:rFonts w:ascii="Calibri" w:eastAsiaTheme="majorEastAsia" w:hAnsi="Calibri" w:cstheme="majorBidi"/>
      <w:b/>
      <w:szCs w:val="26"/>
    </w:rPr>
  </w:style>
  <w:style w:type="character" w:customStyle="1" w:styleId="Heading3Char">
    <w:name w:val="Heading 3 Char"/>
    <w:basedOn w:val="DefaultParagraphFont"/>
    <w:link w:val="Heading3"/>
    <w:uiPriority w:val="9"/>
    <w:rsid w:val="004B3E9E"/>
    <w:rPr>
      <w:rFonts w:ascii="Calibri" w:eastAsiaTheme="majorEastAsia" w:hAnsi="Calibri" w:cstheme="majorBidi"/>
      <w:b/>
      <w:szCs w:val="24"/>
      <w:u w:val="single"/>
    </w:rPr>
  </w:style>
  <w:style w:type="character" w:styleId="LineNumber">
    <w:name w:val="line number"/>
    <w:basedOn w:val="DefaultParagraphFont"/>
    <w:uiPriority w:val="99"/>
    <w:semiHidden/>
    <w:unhideWhenUsed/>
    <w:rsid w:val="004B3E9E"/>
  </w:style>
  <w:style w:type="character" w:customStyle="1" w:styleId="Heading4Char">
    <w:name w:val="Heading 4 Char"/>
    <w:basedOn w:val="DefaultParagraphFont"/>
    <w:link w:val="Heading4"/>
    <w:uiPriority w:val="9"/>
    <w:semiHidden/>
    <w:rsid w:val="004B3E9E"/>
    <w:rPr>
      <w:rFonts w:ascii="Calibri" w:eastAsiaTheme="majorEastAsia" w:hAnsi="Calibri" w:cstheme="majorBidi"/>
      <w:i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mazon.com/bin/view/WritingHub/Document_Repository/Tenets/" TargetMode="External"/><Relationship Id="rId3" Type="http://schemas.openxmlformats.org/officeDocument/2006/relationships/settings" Target="settings.xml"/><Relationship Id="rId7" Type="http://schemas.openxmlformats.org/officeDocument/2006/relationships/hyperlink" Target="https://w.amazon.com/index.php/Tene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Kim</dc:creator>
  <cp:keywords/>
  <dc:description/>
  <cp:lastModifiedBy>Ventura, Jarett</cp:lastModifiedBy>
  <cp:revision>3</cp:revision>
  <dcterms:created xsi:type="dcterms:W3CDTF">2023-04-25T21:42:00Z</dcterms:created>
  <dcterms:modified xsi:type="dcterms:W3CDTF">2026-08-03T13:41:00Z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2026-08-03T13:41:33Z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431d3e6d-2d23-440e-9517-c9dfd7d49256</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