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53967" w14:textId="0894556C" w:rsidR="005B2C33" w:rsidRPr="00402A88" w:rsidRDefault="005B2C33" w:rsidP="00EA721E">
      <w:pPr>
        <w:pStyle w:val="LFD"/>
        <w:numPr>
          <w:ilvl w:val="0"/>
          <w:numId w:val="4"/>
        </w:numPr>
        <w:spacing w:after="120"/>
        <w:jc w:val="both"/>
        <w:rPr>
          <w:rFonts w:asciiTheme="minorHAnsi" w:hAnsiTheme="minorHAnsi" w:cstheme="minorHAnsi"/>
          <w:sz w:val="24"/>
          <w:szCs w:val="24"/>
        </w:rPr>
      </w:pPr>
      <w:r w:rsidRPr="0004623D">
        <w:rPr>
          <w:rFonts w:asciiTheme="minorHAnsi" w:hAnsiTheme="minorHAnsi" w:cstheme="minorHAnsi"/>
          <w:sz w:val="24"/>
          <w:szCs w:val="24"/>
        </w:rPr>
        <w:t xml:space="preserve">Im Zuge der </w:t>
      </w:r>
      <w:r>
        <w:rPr>
          <w:rFonts w:asciiTheme="minorHAnsi" w:hAnsiTheme="minorHAnsi" w:cstheme="minorHAnsi"/>
          <w:sz w:val="24"/>
          <w:szCs w:val="24"/>
        </w:rPr>
        <w:t>[</w:t>
      </w:r>
      <w:r w:rsidRPr="0004623D">
        <w:rPr>
          <w:rFonts w:asciiTheme="minorHAnsi" w:hAnsiTheme="minorHAnsi" w:cstheme="minorHAnsi"/>
          <w:sz w:val="24"/>
          <w:szCs w:val="24"/>
          <w:highlight w:val="yellow"/>
        </w:rPr>
        <w:t>Umstellungs-</w:t>
      </w:r>
      <w:r>
        <w:rPr>
          <w:rFonts w:asciiTheme="minorHAnsi" w:hAnsiTheme="minorHAnsi" w:cstheme="minorHAnsi"/>
          <w:sz w:val="24"/>
          <w:szCs w:val="24"/>
          <w:highlight w:val="yellow"/>
        </w:rPr>
        <w:t xml:space="preserve"> </w:t>
      </w:r>
      <w:r w:rsidRPr="0004623D">
        <w:rPr>
          <w:rFonts w:asciiTheme="minorHAnsi" w:hAnsiTheme="minorHAnsi" w:cstheme="minorHAnsi"/>
          <w:sz w:val="24"/>
          <w:szCs w:val="24"/>
          <w:highlight w:val="yellow"/>
        </w:rPr>
        <w:t>/</w:t>
      </w:r>
      <w:r>
        <w:rPr>
          <w:rFonts w:asciiTheme="minorHAnsi" w:hAnsiTheme="minorHAnsi" w:cstheme="minorHAnsi"/>
          <w:sz w:val="24"/>
          <w:szCs w:val="24"/>
          <w:highlight w:val="yellow"/>
        </w:rPr>
        <w:t xml:space="preserve"> </w:t>
      </w:r>
      <w:r w:rsidRPr="0004623D">
        <w:rPr>
          <w:rFonts w:asciiTheme="minorHAnsi" w:hAnsiTheme="minorHAnsi" w:cstheme="minorHAnsi"/>
          <w:sz w:val="24"/>
          <w:szCs w:val="24"/>
          <w:highlight w:val="yellow"/>
        </w:rPr>
        <w:t>Anschlussarbeiten</w:t>
      </w:r>
      <w:r>
        <w:rPr>
          <w:rFonts w:asciiTheme="minorHAnsi" w:hAnsiTheme="minorHAnsi" w:cstheme="minorHAnsi"/>
          <w:sz w:val="24"/>
          <w:szCs w:val="24"/>
        </w:rPr>
        <w:t>]</w:t>
      </w:r>
      <w:r w:rsidRPr="0004623D">
        <w:rPr>
          <w:rFonts w:asciiTheme="minorHAnsi" w:hAnsiTheme="minorHAnsi" w:cstheme="minorHAnsi"/>
          <w:sz w:val="24"/>
          <w:szCs w:val="24"/>
        </w:rPr>
        <w:t xml:space="preserve"> der Entwässerung auf Ihrem Grundstück </w:t>
      </w:r>
      <w:r>
        <w:rPr>
          <w:rFonts w:asciiTheme="minorHAnsi" w:hAnsiTheme="minorHAnsi" w:cstheme="minorHAnsi"/>
          <w:sz w:val="24"/>
          <w:szCs w:val="24"/>
        </w:rPr>
        <w:t>[</w:t>
      </w:r>
      <w:r w:rsidRPr="0004623D">
        <w:rPr>
          <w:rFonts w:asciiTheme="minorHAnsi" w:hAnsiTheme="minorHAnsi" w:cstheme="minorHAnsi"/>
          <w:sz w:val="24"/>
          <w:szCs w:val="24"/>
          <w:highlight w:val="yellow"/>
        </w:rPr>
        <w:t>von Misch- auf Trennkanalisation</w:t>
      </w:r>
      <w:r>
        <w:rPr>
          <w:rFonts w:asciiTheme="minorHAnsi" w:hAnsiTheme="minorHAnsi" w:cstheme="minorHAnsi"/>
          <w:sz w:val="24"/>
          <w:szCs w:val="24"/>
          <w:highlight w:val="yellow"/>
        </w:rPr>
        <w:t xml:space="preserve"> </w:t>
      </w:r>
      <w:r w:rsidRPr="0004623D">
        <w:rPr>
          <w:rFonts w:asciiTheme="minorHAnsi" w:hAnsiTheme="minorHAnsi" w:cstheme="minorHAnsi"/>
          <w:sz w:val="24"/>
          <w:szCs w:val="24"/>
          <w:highlight w:val="yellow"/>
        </w:rPr>
        <w:t>/ an die öffentliche Schmutzwasserkanalisation</w:t>
      </w:r>
      <w:r>
        <w:rPr>
          <w:rFonts w:asciiTheme="minorHAnsi" w:hAnsiTheme="minorHAnsi" w:cstheme="minorHAnsi"/>
          <w:sz w:val="24"/>
          <w:szCs w:val="24"/>
        </w:rPr>
        <w:t>]</w:t>
      </w:r>
      <w:r w:rsidRPr="0004623D">
        <w:rPr>
          <w:rFonts w:asciiTheme="minorHAnsi" w:hAnsiTheme="minorHAnsi" w:cstheme="minorHAnsi"/>
          <w:sz w:val="24"/>
          <w:szCs w:val="24"/>
        </w:rPr>
        <w:t xml:space="preserve"> weisen die Entsorgungsbetriebe Lübeck auf die DIN 1986-30 hin. Danach soll für Anlagen zur Ableitung von häuslichem Abwasser der Nachweis erbracht werden, dass die </w:t>
      </w:r>
      <w:r w:rsidRPr="0004623D">
        <w:rPr>
          <w:rFonts w:asciiTheme="minorHAnsi" w:hAnsiTheme="minorHAnsi" w:cstheme="minorHAnsi"/>
          <w:sz w:val="24"/>
          <w:szCs w:val="24"/>
          <w:u w:val="single"/>
        </w:rPr>
        <w:t>vorhandenen Schmutzwassergrundleitungen</w:t>
      </w:r>
      <w:r w:rsidRPr="0004623D">
        <w:rPr>
          <w:rFonts w:asciiTheme="minorHAnsi" w:hAnsiTheme="minorHAnsi" w:cstheme="minorHAnsi"/>
          <w:sz w:val="24"/>
          <w:szCs w:val="24"/>
        </w:rPr>
        <w:t xml:space="preserve"> (SW-Leitungen unterhalb der Gebäudesohle bis zum Übergabeschacht) den Anforderungen an Dichtheit entsprechen. </w:t>
      </w:r>
      <w:r>
        <w:rPr>
          <w:rFonts w:asciiTheme="minorHAnsi" w:hAnsiTheme="minorHAnsi" w:cstheme="minorHAnsi"/>
          <w:sz w:val="24"/>
          <w:szCs w:val="24"/>
        </w:rPr>
        <w:tab/>
      </w:r>
      <w:r>
        <w:rPr>
          <w:rFonts w:asciiTheme="minorHAnsi" w:hAnsiTheme="minorHAnsi" w:cstheme="minorHAnsi"/>
          <w:sz w:val="24"/>
          <w:szCs w:val="24"/>
        </w:rPr>
        <w:br/>
      </w:r>
      <w:r w:rsidRPr="0004623D">
        <w:rPr>
          <w:rFonts w:asciiTheme="minorHAnsi" w:hAnsiTheme="minorHAnsi" w:cstheme="minorHAnsi"/>
          <w:sz w:val="24"/>
          <w:szCs w:val="24"/>
        </w:rPr>
        <w:t>Sollten auf Ihrem Grundstück im Zuge der o.a. Maßnahme umfangreiche Erdarbeiten erforderlich werden, raten wir Ihnen, diese Prüfung (Dichtheitsprüfung mit Luft oder Wasser oder Prüfung mit einer Kanalfernsehanlage mit Videoaufzeichnung) schon zum jetzigen Zeitpunkt von einem Fachunternehmen durchführen und protokollieren zu lassen. Sollten bei der Prüfung Undichtigkeiten/Schäden festgestellt werden, ist die Grundleitung entsprechend zu sanieren und im Anschluss eine Dichtheitsprüfung gem. den Anforderungen der DIN EN 1610 durchzuführen.</w:t>
      </w:r>
    </w:p>
    <w:sectPr w:rsidR="005B2C33" w:rsidRPr="00402A88" w:rsidSect="00685393">
      <w:headerReference w:type="even" r:id="rId7"/>
      <w:headerReference w:type="default" r:id="rId8"/>
      <w:foot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91432" w14:textId="77777777" w:rsidR="00402A88" w:rsidRDefault="00402A88">
      <w:pPr>
        <w:spacing w:after="0" w:line="240" w:lineRule="auto"/>
      </w:pPr>
      <w:r>
        <w:separator/>
      </w:r>
    </w:p>
  </w:endnote>
  <w:endnote w:type="continuationSeparator" w:id="0">
    <w:p w14:paraId="3CEB2376" w14:textId="77777777" w:rsidR="00402A88" w:rsidRDefault="00402A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E6716" w14:textId="77777777" w:rsidR="00402A88" w:rsidRPr="00EF3713" w:rsidRDefault="007135AD" w:rsidP="006436E5">
    <w:pPr>
      <w:jc w:val="center"/>
      <w:rPr>
        <w:sz w:val="16"/>
      </w:rPr>
    </w:pPr>
    <w:r w:rsidRPr="00EF3713">
      <w:rPr>
        <w:sz w:val="16"/>
      </w:rPr>
      <w:t xml:space="preserve">Seite </w:t>
    </w:r>
    <w:r w:rsidRPr="00EF3713">
      <w:rPr>
        <w:sz w:val="16"/>
      </w:rPr>
      <w:fldChar w:fldCharType="begin"/>
    </w:r>
    <w:r w:rsidRPr="00EF3713">
      <w:rPr>
        <w:sz w:val="16"/>
      </w:rPr>
      <w:instrText xml:space="preserve"> PAGE </w:instrText>
    </w:r>
    <w:r w:rsidRPr="00EF3713">
      <w:rPr>
        <w:sz w:val="16"/>
      </w:rPr>
      <w:fldChar w:fldCharType="separate"/>
    </w:r>
    <w:r>
      <w:rPr>
        <w:noProof/>
        <w:sz w:val="16"/>
      </w:rPr>
      <w:t>1</w:t>
    </w:r>
    <w:r w:rsidRPr="00EF3713">
      <w:rPr>
        <w:sz w:val="16"/>
      </w:rPr>
      <w:fldChar w:fldCharType="end"/>
    </w:r>
    <w:r w:rsidRPr="00EF3713">
      <w:rPr>
        <w:sz w:val="16"/>
      </w:rPr>
      <w:t xml:space="preserve"> von </w:t>
    </w:r>
    <w:r w:rsidRPr="00EF3713">
      <w:rPr>
        <w:sz w:val="16"/>
      </w:rPr>
      <w:fldChar w:fldCharType="begin"/>
    </w:r>
    <w:r w:rsidRPr="00EF3713">
      <w:rPr>
        <w:sz w:val="16"/>
      </w:rPr>
      <w:instrText xml:space="preserve"> NUMPAGES </w:instrText>
    </w:r>
    <w:r w:rsidRPr="00EF3713">
      <w:rPr>
        <w:sz w:val="16"/>
      </w:rPr>
      <w:fldChar w:fldCharType="separate"/>
    </w:r>
    <w:r>
      <w:rPr>
        <w:noProof/>
        <w:sz w:val="16"/>
      </w:rPr>
      <w:t>1</w:t>
    </w:r>
    <w:r w:rsidRPr="00EF371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2BA3E" w14:textId="77777777" w:rsidR="00402A88" w:rsidRDefault="00402A88">
      <w:pPr>
        <w:spacing w:after="0" w:line="240" w:lineRule="auto"/>
      </w:pPr>
      <w:r>
        <w:separator/>
      </w:r>
    </w:p>
  </w:footnote>
  <w:footnote w:type="continuationSeparator" w:id="0">
    <w:p w14:paraId="47EEED1D" w14:textId="77777777" w:rsidR="00402A88" w:rsidRDefault="00402A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CE39" w14:textId="77777777" w:rsidR="00402A88" w:rsidRDefault="00402A8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EBDE" w14:textId="77777777" w:rsidR="00402A88" w:rsidRPr="00B26A45" w:rsidRDefault="00402A88" w:rsidP="00B26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AAE90" w14:textId="77777777" w:rsidR="00402A88" w:rsidRDefault="00402A8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1DC0"/>
    <w:multiLevelType w:val="hybridMultilevel"/>
    <w:tmpl w:val="E746EACC"/>
    <w:lvl w:ilvl="0" w:tplc="A9DE44FC">
      <w:start w:val="1"/>
      <w:numFmt w:val="upperRoman"/>
      <w:lvlText w:val="%1."/>
      <w:lvlJc w:val="left"/>
      <w:pPr>
        <w:ind w:left="1080" w:hanging="72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5C4CEC"/>
    <w:multiLevelType w:val="hybridMultilevel"/>
    <w:tmpl w:val="8DD6BFAA"/>
    <w:lvl w:ilvl="0" w:tplc="0D86107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8272C9B"/>
    <w:multiLevelType w:val="singleLevel"/>
    <w:tmpl w:val="5C360C80"/>
    <w:lvl w:ilvl="0">
      <w:start w:val="1"/>
      <w:numFmt w:val="decimal"/>
      <w:pStyle w:val="LFD"/>
      <w:lvlText w:val="%1."/>
      <w:lvlJc w:val="left"/>
      <w:pPr>
        <w:tabs>
          <w:tab w:val="num" w:pos="502"/>
        </w:tabs>
        <w:ind w:left="502" w:hanging="360"/>
      </w:pPr>
    </w:lvl>
  </w:abstractNum>
  <w:abstractNum w:abstractNumId="3" w15:restartNumberingAfterBreak="0">
    <w:nsid w:val="6EBB547C"/>
    <w:multiLevelType w:val="hybridMultilevel"/>
    <w:tmpl w:val="7A2ECD78"/>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95609321">
    <w:abstractNumId w:val="2"/>
    <w:lvlOverride w:ilvl="0">
      <w:startOverride w:val="1"/>
    </w:lvlOverride>
  </w:num>
  <w:num w:numId="2" w16cid:durableId="1081949469">
    <w:abstractNumId w:val="2"/>
  </w:num>
  <w:num w:numId="3" w16cid:durableId="816148379">
    <w:abstractNumId w:val="1"/>
  </w:num>
  <w:num w:numId="4" w16cid:durableId="7371391">
    <w:abstractNumId w:val="3"/>
  </w:num>
  <w:num w:numId="5" w16cid:durableId="1166356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33"/>
    <w:rsid w:val="00402A88"/>
    <w:rsid w:val="005B2C33"/>
    <w:rsid w:val="007135AD"/>
    <w:rsid w:val="007314D3"/>
    <w:rsid w:val="00754E03"/>
    <w:rsid w:val="00887029"/>
    <w:rsid w:val="008E5CCC"/>
    <w:rsid w:val="00BA6239"/>
    <w:rsid w:val="00EA721E"/>
    <w:rsid w:val="00F85C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466D1"/>
  <w15:chartTrackingRefBased/>
  <w15:docId w15:val="{2DCEB0CE-F31A-48CB-B135-8F21DC0E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B2C33"/>
    <w:pPr>
      <w:tabs>
        <w:tab w:val="center" w:pos="4536"/>
        <w:tab w:val="right" w:pos="9072"/>
      </w:tabs>
      <w:spacing w:after="0" w:line="240" w:lineRule="auto"/>
    </w:pPr>
    <w:rPr>
      <w:rFonts w:ascii="Calibri" w:eastAsia="Times New Roman" w:hAnsi="Calibri" w:cs="Times New Roman"/>
      <w:sz w:val="24"/>
      <w:szCs w:val="16"/>
      <w:lang w:eastAsia="de-DE"/>
    </w:rPr>
  </w:style>
  <w:style w:type="character" w:customStyle="1" w:styleId="KopfzeileZchn">
    <w:name w:val="Kopfzeile Zchn"/>
    <w:basedOn w:val="Absatz-Standardschriftart"/>
    <w:link w:val="Kopfzeile"/>
    <w:rsid w:val="005B2C33"/>
    <w:rPr>
      <w:rFonts w:ascii="Calibri" w:eastAsia="Times New Roman" w:hAnsi="Calibri" w:cs="Times New Roman"/>
      <w:sz w:val="24"/>
      <w:szCs w:val="16"/>
      <w:lang w:eastAsia="de-DE"/>
    </w:rPr>
  </w:style>
  <w:style w:type="paragraph" w:styleId="Listenabsatz">
    <w:name w:val="List Paragraph"/>
    <w:basedOn w:val="Standard"/>
    <w:uiPriority w:val="34"/>
    <w:qFormat/>
    <w:rsid w:val="005B2C33"/>
    <w:pPr>
      <w:spacing w:after="0" w:line="240" w:lineRule="auto"/>
      <w:ind w:left="720"/>
      <w:contextualSpacing/>
    </w:pPr>
    <w:rPr>
      <w:rFonts w:ascii="Calibri" w:eastAsia="Times New Roman" w:hAnsi="Calibri" w:cs="Times New Roman"/>
      <w:sz w:val="24"/>
      <w:szCs w:val="16"/>
      <w:lang w:eastAsia="de-DE"/>
    </w:rPr>
  </w:style>
  <w:style w:type="character" w:styleId="Hyperlink">
    <w:name w:val="Hyperlink"/>
    <w:basedOn w:val="Absatz-Standardschriftart"/>
    <w:rsid w:val="005B2C33"/>
    <w:rPr>
      <w:color w:val="0000FF"/>
      <w:u w:val="single"/>
    </w:rPr>
  </w:style>
  <w:style w:type="paragraph" w:customStyle="1" w:styleId="LFD">
    <w:name w:val="LFD"/>
    <w:basedOn w:val="Standard"/>
    <w:rsid w:val="005B2C33"/>
    <w:pPr>
      <w:numPr>
        <w:numId w:val="1"/>
      </w:numPr>
      <w:spacing w:after="0" w:line="240" w:lineRule="auto"/>
    </w:pPr>
    <w:rPr>
      <w:rFonts w:ascii="Arial" w:eastAsia="Times New Roman" w:hAnsi="Arial" w:cs="Times New Roman"/>
      <w:szCs w:val="20"/>
      <w:lang w:eastAsia="de-DE"/>
    </w:rPr>
  </w:style>
  <w:style w:type="paragraph" w:customStyle="1" w:styleId="Default">
    <w:name w:val="Default"/>
    <w:rsid w:val="005B2C33"/>
    <w:pPr>
      <w:autoSpaceDE w:val="0"/>
      <w:autoSpaceDN w:val="0"/>
      <w:adjustRightInd w:val="0"/>
      <w:spacing w:after="0" w:line="240" w:lineRule="auto"/>
    </w:pPr>
    <w:rPr>
      <w:rFonts w:ascii="Arial" w:eastAsia="Times New Roman" w:hAnsi="Arial" w:cs="Arial"/>
      <w:color w:val="000000"/>
      <w:sz w:val="24"/>
      <w:szCs w:val="24"/>
      <w:lang w:eastAsia="de-DE"/>
    </w:rPr>
  </w:style>
  <w:style w:type="table" w:styleId="Tabellenraster">
    <w:name w:val="Table Grid"/>
    <w:basedOn w:val="NormaleTabelle"/>
    <w:uiPriority w:val="39"/>
    <w:rsid w:val="005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886</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Tappenbeck, Jan</dc:creator>
  <cp:keywords/>
  <dc:description/>
  <cp:lastModifiedBy>Tappenbeck, Jan</cp:lastModifiedBy>
  <cp:revision>4</cp:revision>
  <dcterms:created xsi:type="dcterms:W3CDTF">2023-07-17T12:59:00Z</dcterms:created>
  <dcterms:modified xsi:type="dcterms:W3CDTF">2026-09-11T06:38:00Z</dcterms:modified>
</cp:coreProperties>
</file>